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4F6B2A">
      <w:pPr>
        <w:jc w:val="center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分布式光伏管理业务线非功能需求分析</w:t>
      </w:r>
    </w:p>
    <w:p w14:paraId="19A2E8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>分布式光伏管理业务线作为智慧能源管理系统的核心业务模块，其非功能需求围绕数据采集、分析、存储及展示的全流程，结合能源管理实时性、可靠性、安全性的核心诉求，明确响应时间、安全性、可靠性、易用性、数据可恢复性等关键指标</w:t>
      </w:r>
      <w:r>
        <w:rPr>
          <w:rFonts w:hint="eastAsia"/>
          <w:sz w:val="24"/>
          <w:szCs w:val="24"/>
          <w:lang w:eastAsia="zh-CN"/>
        </w:rPr>
        <w:t>。</w:t>
      </w:r>
    </w:p>
    <w:p w14:paraId="617DF475">
      <w:pPr>
        <w:rPr>
          <w:rFonts w:hint="eastAsia"/>
          <w:sz w:val="24"/>
          <w:szCs w:val="24"/>
        </w:rPr>
      </w:pPr>
    </w:p>
    <w:p w14:paraId="78864AE3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一、响应时间需求</w:t>
      </w:r>
    </w:p>
    <w:p w14:paraId="0935B32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1. 数据采集响应：光伏设备（逆变器/汇流箱）按5分钟/次采集发电数据，数据上传至系统后，需在10秒内完成接收、校验与存储，确保实时监测的时效性。</w:t>
      </w:r>
    </w:p>
    <w:p w14:paraId="7C0A441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 查询响应：多维度数据查询（如按设备/时段/并网点查询发电数据）需在2秒内返回结果；复杂聚合查询（如按周/月统计偏差率、生成光伏汇总报表）响应时间不超过5秒。</w:t>
      </w:r>
    </w:p>
    <w:p w14:paraId="507F3DD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3. 告警响应：当逆变器效率低于85%或数据异常时，系统需在3秒内触发异常标记，同步推送提醒至相关角色，保障故障及时处置。</w:t>
      </w:r>
    </w:p>
    <w:p w14:paraId="6337172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4. 预测数据生成响应：预测模型基于历史数据生成次日小时级预测数据，需在每日凌晨2点前完成计算与存储，确保次日业务正常开展。</w:t>
      </w:r>
    </w:p>
    <w:p w14:paraId="4DF5B3D9">
      <w:pPr>
        <w:rPr>
          <w:rFonts w:hint="eastAsia"/>
          <w:sz w:val="24"/>
          <w:szCs w:val="24"/>
        </w:rPr>
      </w:pPr>
    </w:p>
    <w:p w14:paraId="13C96607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二、安全性需求</w:t>
      </w:r>
    </w:p>
    <w:p w14:paraId="49F5E00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1. 身份认证与权限控制：采用RBAC（基于角色的访问控制）机制，不同角色仅能访问对应权限的功能与数据</w:t>
      </w:r>
      <w:r>
        <w:rPr>
          <w:rFonts w:hint="eastAsia"/>
          <w:sz w:val="24"/>
          <w:szCs w:val="24"/>
          <w:lang w:eastAsia="zh-CN"/>
        </w:rPr>
        <w:t>。</w:t>
      </w:r>
      <w:r>
        <w:rPr>
          <w:rFonts w:hint="eastAsia"/>
          <w:sz w:val="24"/>
          <w:szCs w:val="24"/>
        </w:rPr>
        <w:t>数据分析师可操作预测模型优化，运维人员仅能查看异常数据与更新设备状态，企业管理层仅拥有报表查看权限，防止越权访问。</w:t>
      </w:r>
    </w:p>
    <w:p w14:paraId="12C2592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 数据传输安全：光伏设备与系统间通过4G/企业内网传输数据时，采用加密协议，防止数据被窃听、篡改。</w:t>
      </w:r>
    </w:p>
    <w:p w14:paraId="19335FB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3. 数据存储安全：发电数据、预测数据等核心业务数据需加密存储，数据库账号密码需加密，避免明文存储导致泄露；定期审计数据访问日志，留存至少90天，便于追溯异常访问行为。</w:t>
      </w:r>
    </w:p>
    <w:p w14:paraId="1E14012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4. 防SQL注入与攻击：系统接口需过滤非法SQL语句，对用户输入进行校验，防范SQL注入、XSS等常见网络攻击；部署防火墙，限制非法IP访问数据库服务器。</w:t>
      </w:r>
    </w:p>
    <w:p w14:paraId="02D87A68">
      <w:pPr>
        <w:rPr>
          <w:rFonts w:hint="eastAsia"/>
          <w:sz w:val="24"/>
          <w:szCs w:val="24"/>
        </w:rPr>
      </w:pPr>
    </w:p>
    <w:p w14:paraId="34C3598C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三、可靠性需求</w:t>
      </w:r>
    </w:p>
    <w:p w14:paraId="220302B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1. 数据完整性保障：采集的发电数据需通过字段校验（如核心字段非空、数值符合取值范围），标记“完整”或“不完整”状态，确保用于分析的数据集有效；预测数据与实际数据需成对存储，避免数据缺失导致偏差率计算失效。</w:t>
      </w:r>
    </w:p>
    <w:p w14:paraId="75BC467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 系统运行稳定性：系统需支持7×24小时连续运行，每月downtime不超过1小时，且故障恢复时间不超过15分钟；数据采集模块需具备断线重连功能，设备离线后恢复连接时，自动补传离线期间的采集数据。</w:t>
      </w:r>
    </w:p>
    <w:p w14:paraId="00AE467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3. 模型计算可靠性：预测模型生成数据时，需具备异常值过滤机制，排除极端天气、设备故障等特殊场景下的异常数据对预测结果的影响；偏差率计算逻辑需固化，确保结果一致性，连续3天偏差率超15%时，模型优化提醒不遗漏、不重复。</w:t>
      </w:r>
    </w:p>
    <w:p w14:paraId="38FFC35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4. 数据一致性保障：跨表关联数据需保持逻辑一致，修改核心关联字段时，通过外键约束、事务机制确保关联表数据同步更新，避免数据不一致。</w:t>
      </w:r>
    </w:p>
    <w:p w14:paraId="78613B58">
      <w:pPr>
        <w:rPr>
          <w:rFonts w:hint="eastAsia"/>
          <w:sz w:val="24"/>
          <w:szCs w:val="24"/>
        </w:rPr>
      </w:pPr>
    </w:p>
    <w:p w14:paraId="26655589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四、易用性需求</w:t>
      </w:r>
    </w:p>
    <w:p w14:paraId="72C6BD5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1. 界面操作便捷性：针对不同角色设计专属操作界面</w:t>
      </w:r>
      <w:r>
        <w:rPr>
          <w:rFonts w:hint="eastAsia"/>
          <w:sz w:val="24"/>
          <w:szCs w:val="24"/>
          <w:lang w:eastAsia="zh-CN"/>
        </w:rPr>
        <w:t>。</w:t>
      </w:r>
      <w:r>
        <w:rPr>
          <w:rFonts w:hint="eastAsia"/>
          <w:sz w:val="24"/>
          <w:szCs w:val="24"/>
        </w:rPr>
        <w:t>运维人员界面突出异常数据清单与状态更新入口，数据分析师界面简化模型参数配置与偏差分析操作，企业管理层界面聚焦报表展示与关键指标可视化，减少操作层级。</w:t>
      </w:r>
    </w:p>
    <w:p w14:paraId="42B4CB8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2</w:t>
      </w:r>
      <w:r>
        <w:rPr>
          <w:rFonts w:hint="eastAsia"/>
          <w:sz w:val="24"/>
          <w:szCs w:val="24"/>
        </w:rPr>
        <w:t>. 操作反馈明确性：用户执行关键操作（如更新设备状态、优化预测模型）后，系统需通过弹窗、提示语等方式明确反馈操作结果；数据录入错误时，提供具体的错误提示，辅助用户快速修正。</w:t>
      </w:r>
    </w:p>
    <w:p w14:paraId="3D762BC4">
      <w:pPr>
        <w:rPr>
          <w:rFonts w:hint="eastAsia"/>
          <w:sz w:val="24"/>
          <w:szCs w:val="24"/>
        </w:rPr>
      </w:pPr>
    </w:p>
    <w:p w14:paraId="7B74294B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五、数据可恢复性需求</w:t>
      </w:r>
    </w:p>
    <w:p w14:paraId="4D2B5C4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1. 数据备份策略：核心业务数据（光伏设备信息、发电数据、预测数据）采用每日增量备份</w:t>
      </w:r>
      <w:r>
        <w:rPr>
          <w:rFonts w:hint="eastAsia"/>
          <w:sz w:val="24"/>
          <w:szCs w:val="24"/>
          <w:lang w:eastAsia="zh-CN"/>
        </w:rPr>
        <w:t>、</w:t>
      </w:r>
      <w:r>
        <w:rPr>
          <w:rFonts w:hint="eastAsia"/>
          <w:sz w:val="24"/>
          <w:szCs w:val="24"/>
        </w:rPr>
        <w:t>每周全量备份机制，备份数据存储在异地服务器，防止本地存储设备故障导致数据丢失。</w:t>
      </w:r>
    </w:p>
    <w:p w14:paraId="7B174C2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 数据恢复能力：支持按时间点恢复数据，恢复范围可精准到单张表、单个时间段；数据恢复过程需在1小时内完成，且恢复后的数据完整性、一致性需符合业务要求，无数据损坏或丢失。</w:t>
      </w:r>
    </w:p>
    <w:p w14:paraId="2F5D6B8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3. 备份验证机制：每周全量备份后，自动校验备份数据的可用性，生成备份验证报告；若备份失败，系统及时触发告警，提醒管理员处理，确保备份数据有效。</w:t>
      </w:r>
    </w:p>
    <w:p w14:paraId="0886EB58">
      <w:pPr>
        <w:rPr>
          <w:rFonts w:hint="eastAsia"/>
          <w:sz w:val="24"/>
          <w:szCs w:val="24"/>
        </w:rPr>
      </w:pPr>
    </w:p>
    <w:p w14:paraId="391CB657">
      <w:pPr>
        <w:rPr>
          <w:rFonts w:hint="eastAsia"/>
          <w:b/>
          <w:bCs/>
          <w:sz w:val="24"/>
          <w:szCs w:val="24"/>
        </w:rPr>
      </w:pPr>
      <w:bookmarkStart w:id="0" w:name="_GoBack"/>
      <w:r>
        <w:rPr>
          <w:rFonts w:hint="eastAsia"/>
          <w:b/>
          <w:bCs/>
          <w:sz w:val="24"/>
          <w:szCs w:val="24"/>
        </w:rPr>
        <w:t>六、兼容性与扩展性需求</w:t>
      </w:r>
    </w:p>
    <w:bookmarkEnd w:id="0"/>
    <w:p w14:paraId="34828D6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1. 兼容性：系统需兼容主流数据库，支持不同版本的数据库环境部署；数据采集模块需适配RS485、Lora等通信协议，可对接不同型号的逆变器、汇流箱设备。</w:t>
      </w:r>
    </w:p>
    <w:p w14:paraId="795AEB3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 扩展性：支持新增光伏设备类型，新增设备的监测指标可灵活配置，无需大幅修改系统架构；支持预测模型迭代升级，新模型版本可平滑部署，与历史数据兼容。</w:t>
      </w:r>
    </w:p>
    <w:p w14:paraId="7BB26A2B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3. 系统交互扩展性：需支持与告警运维业务线、大屏数据展示业务线的数据交互，数据接口采用标准化设计，便于后续与其他能源管理模块对接。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A04AF1"/>
    <w:rsid w:val="7EA04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2025-12-17T07:14:00Z</dcterms:created>
  <dc:creator>温柔</dc:creator>
  <cp:lastModifiedBy>温柔</cp:lastModifiedBy>
  <dcterms:modified xsi:type="dcterms:W3CDTF">2025-12-17T07:30:59Z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CF53DD908C26402EB33CF8C9EEDC2925_11</vt:lpwstr>
  </property>
  <property fmtid="{D5CDD505-2E9C-101B-9397-08002B2CF9AE}" pid="4" name="KSOTemplateDocerSaveRecord">
    <vt:lpwstr>eyJoZGlkIjoiMjlhNjU4ZmI4NWNkZDlhZmVkZWE0ODVmYmM0M2Y5Y2QiLCJ1c2VySWQiOiI4MjI1MTI1NDYifQ==</vt:lpwstr>
  </property>
</Properties>
</file>