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6D8728">
      <w:pPr>
        <w:spacing w:line="360" w:lineRule="auto"/>
        <w:jc w:val="center"/>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t>分布式光伏管理业务线视图和索引的设计方案及适用范围</w:t>
      </w:r>
    </w:p>
    <w:p w14:paraId="40073D9C">
      <w:pPr>
        <w:spacing w:line="360" w:lineRule="auto"/>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索引</w:t>
      </w:r>
    </w:p>
    <w:p w14:paraId="7D06712E">
      <w:pPr>
        <w:spacing w:line="360" w:lineRule="auto"/>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索引</w:t>
      </w:r>
      <w:r>
        <w:rPr>
          <w:rFonts w:hint="eastAsia" w:ascii="宋体" w:hAnsi="宋体" w:eastAsia="宋体" w:cs="宋体"/>
          <w:sz w:val="24"/>
          <w:szCs w:val="24"/>
        </w:rPr>
        <w:t>idx_pv_genera</w:t>
      </w:r>
      <w:bookmarkStart w:id="0" w:name="_GoBack"/>
      <w:bookmarkEnd w:id="0"/>
      <w:r>
        <w:rPr>
          <w:rFonts w:hint="eastAsia" w:ascii="宋体" w:hAnsi="宋体" w:eastAsia="宋体" w:cs="宋体"/>
          <w:sz w:val="24"/>
          <w:szCs w:val="24"/>
        </w:rPr>
        <w:t>tion_time_device</w:t>
      </w:r>
      <w:r>
        <w:rPr>
          <w:rFonts w:hint="eastAsia" w:ascii="宋体" w:hAnsi="宋体" w:eastAsia="宋体" w:cs="宋体"/>
          <w:sz w:val="24"/>
          <w:szCs w:val="24"/>
          <w:lang w:eastAsia="zh-CN"/>
        </w:rPr>
        <w:t>（</w:t>
      </w:r>
      <w:r>
        <w:rPr>
          <w:rFonts w:hint="eastAsia" w:ascii="宋体" w:hAnsi="宋体" w:eastAsia="宋体" w:cs="宋体"/>
          <w:sz w:val="24"/>
          <w:szCs w:val="24"/>
        </w:rPr>
        <w:t>按采集时间倒序</w:t>
      </w:r>
      <w:r>
        <w:rPr>
          <w:rFonts w:hint="eastAsia" w:ascii="宋体" w:hAnsi="宋体" w:eastAsia="宋体" w:cs="宋体"/>
          <w:sz w:val="24"/>
          <w:szCs w:val="24"/>
          <w:lang w:val="en-US" w:eastAsia="zh-CN"/>
        </w:rPr>
        <w:t>和</w:t>
      </w:r>
      <w:r>
        <w:rPr>
          <w:rFonts w:hint="eastAsia" w:ascii="宋体" w:hAnsi="宋体" w:eastAsia="宋体" w:cs="宋体"/>
          <w:sz w:val="24"/>
          <w:szCs w:val="24"/>
        </w:rPr>
        <w:t>设备编号查询</w:t>
      </w:r>
      <w:r>
        <w:rPr>
          <w:rFonts w:hint="eastAsia" w:ascii="宋体" w:hAnsi="宋体" w:eastAsia="宋体" w:cs="宋体"/>
          <w:sz w:val="24"/>
          <w:szCs w:val="24"/>
          <w:lang w:eastAsia="zh-CN"/>
        </w:rPr>
        <w:t>）</w:t>
      </w:r>
    </w:p>
    <w:p w14:paraId="53F1DCE9">
      <w:pPr>
        <w:spacing w:line="360" w:lineRule="auto"/>
        <w:rPr>
          <w:rFonts w:hint="eastAsia" w:ascii="宋体" w:hAnsi="宋体" w:eastAsia="宋体" w:cs="宋体"/>
          <w:sz w:val="24"/>
          <w:szCs w:val="24"/>
        </w:rPr>
      </w:pPr>
      <w:r>
        <w:rPr>
          <w:rFonts w:hint="eastAsia" w:ascii="宋体" w:hAnsi="宋体" w:eastAsia="宋体" w:cs="宋体"/>
          <w:sz w:val="24"/>
          <w:szCs w:val="24"/>
        </w:rPr>
        <w:t>（一）设计方案</w:t>
      </w:r>
    </w:p>
    <w:p w14:paraId="3B87F6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设计目标方面，针对光伏发电数据表pv_generation数据量随采集时间持续增长、高频按时间和设备查询的业务特点，旨在通过索引优化避免全表扫描，提升指定设备发电数据的检索效率，缩短数据查询响应时间，满足系统对实时发电数据的快速调取需求，保障大数据量下的查询性能稳定。</w:t>
      </w:r>
    </w:p>
    <w:p w14:paraId="4D1BE1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设计逻辑方面，采用复合索引设计方式，选取数据表的核心查询字段collected_at与device_id构建索引，对采集时间字段设置降序排序规则，优先匹配业务中按最新时间查询的场景，通过组合字段同时命中设备编号与采集时间范围筛选的查询条件，高效定位目标数据，发挥索引的检索价值。</w:t>
      </w:r>
    </w:p>
    <w:p w14:paraId="412B32A9">
      <w:pPr>
        <w:spacing w:line="360" w:lineRule="auto"/>
        <w:rPr>
          <w:rFonts w:hint="eastAsia" w:ascii="宋体" w:hAnsi="宋体" w:eastAsia="宋体" w:cs="宋体"/>
          <w:sz w:val="24"/>
          <w:szCs w:val="24"/>
        </w:rPr>
      </w:pPr>
      <w:r>
        <w:rPr>
          <w:rFonts w:hint="eastAsia" w:ascii="宋体" w:hAnsi="宋体" w:eastAsia="宋体" w:cs="宋体"/>
          <w:sz w:val="24"/>
          <w:szCs w:val="24"/>
        </w:rPr>
        <w:t>（二）适用范围</w:t>
      </w:r>
    </w:p>
    <w:p w14:paraId="14B36F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该索引适用于光伏发电管理中按设备编号查询单台光伏设备近期发电数据、按时间区间筛选指定设备历史发电明细、前端展示设备实时发电状态等高频业务场景，适配光伏设备5分钟一次的海量实时采集数据检索需求，是</w:t>
      </w:r>
      <w:r>
        <w:rPr>
          <w:rFonts w:hint="eastAsia" w:ascii="宋体" w:hAnsi="宋体" w:eastAsia="宋体" w:cs="宋体"/>
          <w:sz w:val="24"/>
          <w:szCs w:val="24"/>
          <w:lang w:val="en-US" w:eastAsia="zh-CN"/>
        </w:rPr>
        <w:t>系统工作人员</w:t>
      </w:r>
      <w:r>
        <w:rPr>
          <w:rFonts w:hint="eastAsia" w:ascii="宋体" w:hAnsi="宋体" w:eastAsia="宋体" w:cs="宋体"/>
          <w:sz w:val="24"/>
          <w:szCs w:val="24"/>
        </w:rPr>
        <w:t>日常查询发电数据的核心性能支撑索引。</w:t>
      </w:r>
    </w:p>
    <w:p w14:paraId="5B1322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p>
    <w:p w14:paraId="71A990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视图</w:t>
      </w:r>
    </w:p>
    <w:p w14:paraId="3C3439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视图dbo.V_PV_Forecast_Deviation（</w:t>
      </w:r>
      <w:r>
        <w:rPr>
          <w:rFonts w:hint="eastAsia" w:ascii="宋体" w:hAnsi="宋体" w:eastAsia="宋体" w:cs="宋体"/>
          <w:b w:val="0"/>
          <w:bCs w:val="0"/>
          <w:sz w:val="24"/>
          <w:szCs w:val="24"/>
          <w:lang w:val="en-US" w:eastAsia="zh-CN"/>
        </w:rPr>
        <w:t>光伏预测偏差分析视图）</w:t>
      </w:r>
    </w:p>
    <w:p w14:paraId="1EF673C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（一）设计方案</w:t>
      </w:r>
    </w:p>
    <w:p w14:paraId="10CD6F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在设计目标方面，围绕光伏预测数据的偏差分析核心业务需求，旨在封装预测值与实际值的计算逻辑，统一偏差分析标准，减少重复SQL编写，保证数据计算结果的一致性，同时简化数据分析的操作流程，为模型优化提供精准、高效的分析数据，实现数据的规范化与轻量化管理。</w:t>
      </w:r>
    </w:p>
    <w:p w14:paraId="7B70C8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在设计逻辑方面，基于pv_forecast光伏预测数据表与pv_device光伏设备表进行关联查询，内置偏差值、偏差率的精准计算公式，通过函数处理空值与分母为零的异常情况，过滤无效数据后直接输出包含设备信息、预测数据、实际数据及分析结果的完整数据集合，将复杂的多表关联与计算逻辑封装为简洁的视图查询。</w:t>
      </w:r>
    </w:p>
    <w:p w14:paraId="4FA1C13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（二）适用范围</w:t>
      </w:r>
    </w:p>
    <w:p w14:paraId="57287D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该视图适用于数据分析师开展光伏预测模型精度分析、筛选偏差率超阈值的预测数据、优化预测模型参数的核心工作场景，同时适用于管理</w:t>
      </w:r>
      <w:r>
        <w:rPr>
          <w:rFonts w:hint="eastAsia" w:ascii="宋体" w:hAnsi="宋体" w:eastAsia="宋体" w:cs="宋体"/>
          <w:b w:val="0"/>
          <w:bCs w:val="0"/>
          <w:sz w:val="24"/>
          <w:szCs w:val="24"/>
          <w:lang w:val="en-US" w:eastAsia="zh-CN"/>
        </w:rPr>
        <w:t>层</w:t>
      </w:r>
      <w:r>
        <w:rPr>
          <w:rFonts w:hint="default" w:ascii="宋体" w:hAnsi="宋体" w:eastAsia="宋体" w:cs="宋体"/>
          <w:b w:val="0"/>
          <w:bCs w:val="0"/>
          <w:sz w:val="24"/>
          <w:szCs w:val="24"/>
          <w:lang w:val="en-US" w:eastAsia="zh-CN"/>
        </w:rPr>
        <w:t>查看全设备预测精准度、评估预测模型价值的决策场景，是光伏管理业务线中预测分析的核心数据载体。</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45052F"/>
    <w:rsid w:val="0C450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2026-01-06T02:17:00Z</dcterms:created>
  <dc:creator>温柔</dc:creator>
  <cp:lastModifiedBy>温柔</cp:lastModifiedBy>
  <dcterms:modified xsi:type="dcterms:W3CDTF">2026-01-06T02:36:52Z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8FF8CF12EF0D43CDA492858796064E78_11</vt:lpwstr>
  </property>
  <property fmtid="{D5CDD505-2E9C-101B-9397-08002B2CF9AE}" pid="4" name="KSOTemplateDocerSaveRecord">
    <vt:lpwstr>eyJoZGlkIjoiMjlhNjU4ZmI4NWNkZDlhZmVkZWE0ODVmYmM0M2Y5Y2QiLCJ1c2VySWQiOiI4MjI1MTI1NDYifQ==</vt:lpwstr>
  </property>
</Properties>
</file>