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2100B">
      <w:pPr>
        <w:jc w:val="center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分布式光伏管理业务线关系模式文档</w:t>
      </w:r>
    </w:p>
    <w:p w14:paraId="2E0FB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本系统的各关系模式均由 UML 类图及全局 E-R 图按照关系模式转换原则得到，又经数轮关系模式规范化和模式评价以优化改进。</w:t>
      </w:r>
    </w:p>
    <w:p w14:paraId="145FD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当前所有关系模式中的属性均为不可再分的原子值，未包含重复组或多值属性，因此整体满足第一范式（1NF）。</w:t>
      </w:r>
    </w:p>
    <w:p w14:paraId="3F944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对于存在联合主码的关系模式，已确保所有非主属性均完全函数依赖于整个主码，不存在仅依赖于主码真子集的情况；对可能产生部分依赖风险的属性，已通过合理拆分关系模式予以消除，因此整体满足第二范式（2NF）。</w:t>
      </w:r>
    </w:p>
    <w:p w14:paraId="2CB13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在此基础上，针对各关系模式中可能存在的传递依赖问题，结合具体业务语义对各个关系模式及其范式进行进一步分析与说明：</w:t>
      </w:r>
    </w:p>
    <w:p w14:paraId="37ECF02D">
      <w:pPr>
        <w:rPr>
          <w:rFonts w:hint="eastAsia" w:ascii="Times New Roman" w:hAnsi="Times New Roman" w:eastAsiaTheme="minorEastAsia"/>
          <w:sz w:val="24"/>
          <w:szCs w:val="24"/>
        </w:rPr>
      </w:pPr>
    </w:p>
    <w:p w14:paraId="3346BA3B">
      <w:pPr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（1）光伏设备表（关系模式 R1）</w:t>
      </w:r>
    </w:p>
    <w:p w14:paraId="482CA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关系模式：</w:t>
      </w:r>
    </w:p>
    <w:p w14:paraId="0D28F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光伏设备</w:t>
      </w:r>
      <w:r>
        <w:rPr>
          <w:rFonts w:hint="eastAsia" w:ascii="Times New Roman" w:hAnsi="Times New Roman" w:eastAsiaTheme="minorEastAsia"/>
          <w:sz w:val="24"/>
          <w:szCs w:val="24"/>
        </w:rPr>
        <w:t>(设备编号，设备类型，安装位置，装机容量，投运时间，校准周期，运行状态，通信协议，并网点编号)</w:t>
      </w:r>
    </w:p>
    <w:p w14:paraId="12626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主码：</w:t>
      </w:r>
    </w:p>
    <w:p w14:paraId="2D78A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设备编号</w:t>
      </w:r>
    </w:p>
    <w:p w14:paraId="671BD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外码：</w:t>
      </w:r>
    </w:p>
    <w:p w14:paraId="759E4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无</w:t>
      </w:r>
    </w:p>
    <w:p w14:paraId="52C51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范式结论：</w:t>
      </w:r>
    </w:p>
    <w:p w14:paraId="52EB0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BCNF</w:t>
      </w:r>
    </w:p>
    <w:p w14:paraId="64A3A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范式依据：</w:t>
      </w:r>
    </w:p>
    <w:p w14:paraId="4B3B7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本关系模式以设备编号为主码，设备编号唯一决定该表的各项非主属性，即存在函数依赖：设备编号 → 设备类型、安装位置、装机容量、投运时间、校准周期、运行状态、通信协议、并网点编号。从业务语义来看，各非主属性均为光伏设备的独立基础特征，彼此之间不存在确定性的函数依赖关系</w:t>
      </w:r>
      <w:r>
        <w:rPr>
          <w:rFonts w:hint="eastAsia" w:ascii="Times New Roman" w:hAnsi="Times New Roman" w:eastAsiaTheme="minorEastAsia"/>
          <w:sz w:val="24"/>
          <w:szCs w:val="24"/>
          <w:lang w:eastAsia="zh-CN"/>
        </w:rPr>
        <w:t>。</w:t>
      </w:r>
      <w:r>
        <w:rPr>
          <w:rFonts w:hint="eastAsia" w:ascii="Times New Roman" w:hAnsi="Times New Roman" w:eastAsiaTheme="minorEastAsia"/>
          <w:sz w:val="24"/>
          <w:szCs w:val="24"/>
        </w:rPr>
        <w:t>因此，本关系模式不存在传递依赖，满足第三范式（3NF）。</w:t>
      </w:r>
    </w:p>
    <w:p w14:paraId="54CD5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进一步来看，除主码设备编号引出的函数依赖外，本表无其他非平凡函数依赖，所有非平凡函数依赖的决定因素均为超码，故该关系模式满足 BCNF。</w:t>
      </w:r>
    </w:p>
    <w:p w14:paraId="18AD48DB">
      <w:pPr>
        <w:rPr>
          <w:rFonts w:hint="eastAsia" w:ascii="Times New Roman" w:hAnsi="Times New Roman" w:eastAsiaTheme="minorEastAsia"/>
          <w:sz w:val="24"/>
          <w:szCs w:val="24"/>
        </w:rPr>
      </w:pPr>
    </w:p>
    <w:p w14:paraId="4349930C">
      <w:pPr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（2）光伏发电数据表（关系模式 R2）</w:t>
      </w:r>
    </w:p>
    <w:p w14:paraId="5A999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关系模式：</w:t>
      </w:r>
    </w:p>
    <w:p w14:paraId="33BBB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光伏发电数据</w:t>
      </w:r>
      <w:r>
        <w:rPr>
          <w:rFonts w:hint="eastAsia" w:ascii="Times New Roman" w:hAnsi="Times New Roman" w:eastAsiaTheme="minorEastAsia"/>
          <w:sz w:val="24"/>
          <w:szCs w:val="24"/>
        </w:rPr>
        <w:t>(数据编号，采集时间，发电量，上网电量，自用电量，逆变器效率，汇流箱组串电压，汇流箱组串电流，设备编号)</w:t>
      </w:r>
    </w:p>
    <w:p w14:paraId="73DCE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主码：</w:t>
      </w:r>
    </w:p>
    <w:p w14:paraId="6356B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数据编号</w:t>
      </w:r>
    </w:p>
    <w:p w14:paraId="0610D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外码：</w:t>
      </w:r>
    </w:p>
    <w:p w14:paraId="1DF92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设备编号 → 光伏设备表(设备编号)</w:t>
      </w:r>
    </w:p>
    <w:p w14:paraId="74105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范式结论：</w:t>
      </w:r>
    </w:p>
    <w:p w14:paraId="25B1E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BCNF</w:t>
      </w:r>
    </w:p>
    <w:p w14:paraId="6E446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范式依据：</w:t>
      </w:r>
    </w:p>
    <w:p w14:paraId="4F904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本关系模式以数据编号为主码，数据编号决定该表的所有非主属性，即函数依赖：数据编号 → 采集时间、发电量、上网电量、自用电量、逆变器效率、汇流箱组串电压、汇流箱组串电流、设备编号。因此，本表无传递依赖，满足第三范式（3NF）。</w:t>
      </w:r>
    </w:p>
    <w:p w14:paraId="0EAF6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此外，本表所有非主属性均无法作为决定因素形成新的非平凡函数依赖，所有非平凡函数依赖的决定因素仅为主码数据编号（超码），故该关系模式满足 BCNF。</w:t>
      </w:r>
    </w:p>
    <w:p w14:paraId="45763DFA">
      <w:pPr>
        <w:rPr>
          <w:rFonts w:hint="eastAsia" w:ascii="Times New Roman" w:hAnsi="Times New Roman" w:eastAsiaTheme="minorEastAsia"/>
          <w:sz w:val="24"/>
          <w:szCs w:val="24"/>
        </w:rPr>
      </w:pPr>
    </w:p>
    <w:p w14:paraId="7A56BBD1">
      <w:pPr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（3）光伏预测数据表（关系模式 R3）</w:t>
      </w:r>
    </w:p>
    <w:p w14:paraId="7BCA7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关系模式：</w:t>
      </w:r>
    </w:p>
    <w:p w14:paraId="54119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光伏预测数据</w:t>
      </w:r>
      <w:r>
        <w:rPr>
          <w:rFonts w:hint="eastAsia" w:ascii="Times New Roman" w:hAnsi="Times New Roman" w:eastAsiaTheme="minorEastAsia"/>
          <w:sz w:val="24"/>
          <w:szCs w:val="24"/>
        </w:rPr>
        <w:t>(预测编号，预测日期，预测时段，预测发电量，实际发电量，预测模型版本，设备编号)</w:t>
      </w:r>
    </w:p>
    <w:p w14:paraId="727BF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主码：</w:t>
      </w:r>
    </w:p>
    <w:p w14:paraId="33928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预测编号</w:t>
      </w:r>
    </w:p>
    <w:p w14:paraId="77B48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外码：</w:t>
      </w:r>
    </w:p>
    <w:p w14:paraId="28E70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设备编号 → 光伏设备表(设备编号)</w:t>
      </w:r>
    </w:p>
    <w:p w14:paraId="737B2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范式结论：</w:t>
      </w:r>
    </w:p>
    <w:p w14:paraId="11624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BCNF</w:t>
      </w:r>
    </w:p>
    <w:p w14:paraId="41A8C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范式依据：</w:t>
      </w:r>
    </w:p>
    <w:p w14:paraId="76BDF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本关系模式以预测编号为主码，预测编号唯一决定该表的全部非主属性，即函数依赖：预测编号 → 预测日期、预测时段、预测发电量、实际发电量、预测模型版本、设备编号。因此，本表不存在传递依赖，满足第三范式（3NF）。</w:t>
      </w:r>
    </w:p>
    <w:p w14:paraId="31452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进一步分析，本表除主码预测编号外，无其他属性可作为决定因素形成非平凡函数依赖，所有非平凡函数依赖的决定因素均为超码，故该关系模式满足 BCNF。</w:t>
      </w:r>
    </w:p>
    <w:p w14:paraId="194EC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Theme="minorEastAsia"/>
          <w:sz w:val="24"/>
          <w:szCs w:val="24"/>
        </w:rPr>
      </w:pPr>
    </w:p>
    <w:p w14:paraId="3CCC0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（4）光伏发电_预测关联表（关系模式 R4）</w:t>
      </w:r>
    </w:p>
    <w:p w14:paraId="46195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关系模式：</w:t>
      </w:r>
    </w:p>
    <w:p w14:paraId="28A3A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光伏发电_预测关联 (数据编号，预</w:t>
      </w:r>
      <w:bookmarkStart w:id="0" w:name="_GoBack"/>
      <w:bookmarkEnd w:id="0"/>
      <w:r>
        <w:rPr>
          <w:rFonts w:hint="eastAsia" w:ascii="Times New Roman" w:hAnsi="Times New Roman" w:eastAsiaTheme="minorEastAsia"/>
          <w:sz w:val="24"/>
          <w:szCs w:val="24"/>
        </w:rPr>
        <w:t>测编号)</w:t>
      </w:r>
    </w:p>
    <w:p w14:paraId="3C408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主码：</w:t>
      </w:r>
    </w:p>
    <w:p w14:paraId="34E30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数据编号</w:t>
      </w:r>
    </w:p>
    <w:p w14:paraId="48D3D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外码：</w:t>
      </w:r>
    </w:p>
    <w:p w14:paraId="3C685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  <w:lang w:eastAsia="zh-CN"/>
        </w:rPr>
      </w:pPr>
      <w:r>
        <w:rPr>
          <w:rFonts w:hint="eastAsia" w:ascii="Times New Roman" w:hAnsi="Times New Roman" w:eastAsiaTheme="minorEastAsia"/>
          <w:sz w:val="24"/>
          <w:szCs w:val="24"/>
        </w:rPr>
        <w:t>预测编号 → 光伏预测数据表 (预测编号)</w:t>
      </w:r>
      <w:r>
        <w:rPr>
          <w:rFonts w:hint="eastAsia" w:ascii="Times New Roman" w:hAnsi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数据</w:t>
      </w:r>
      <w:r>
        <w:rPr>
          <w:rFonts w:hint="eastAsia" w:ascii="Times New Roman" w:hAnsi="Times New Roman" w:eastAsiaTheme="minorEastAsia"/>
          <w:sz w:val="24"/>
          <w:szCs w:val="24"/>
        </w:rPr>
        <w:t>编号 → 光伏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发电</w:t>
      </w:r>
      <w:r>
        <w:rPr>
          <w:rFonts w:hint="eastAsia" w:ascii="Times New Roman" w:hAnsi="Times New Roman" w:eastAsiaTheme="minorEastAsia"/>
          <w:sz w:val="24"/>
          <w:szCs w:val="24"/>
        </w:rPr>
        <w:t>数据表 (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数据</w:t>
      </w:r>
      <w:r>
        <w:rPr>
          <w:rFonts w:hint="eastAsia" w:ascii="Times New Roman" w:hAnsi="Times New Roman" w:eastAsiaTheme="minorEastAsia"/>
          <w:sz w:val="24"/>
          <w:szCs w:val="24"/>
        </w:rPr>
        <w:t>编号)</w:t>
      </w:r>
    </w:p>
    <w:p w14:paraId="05C75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范式结论：</w:t>
      </w:r>
    </w:p>
    <w:p w14:paraId="7529A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BCNF</w:t>
      </w:r>
    </w:p>
    <w:p w14:paraId="0580F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范式依据：</w:t>
      </w:r>
    </w:p>
    <w:p w14:paraId="6A66E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本关系模式以数据编号为主码，核心作用是建立单条光伏发电数据与对应光伏预测数据的精准关联。依据系统业务约束，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光伏发电数据和预测数据成对存在，</w:t>
      </w:r>
      <w:r>
        <w:rPr>
          <w:rFonts w:hint="eastAsia" w:ascii="Times New Roman" w:hAnsi="Times New Roman" w:eastAsiaTheme="minorEastAsia"/>
          <w:sz w:val="24"/>
          <w:szCs w:val="24"/>
        </w:rPr>
        <w:t>每条光伏发电数据记录对应一条预测记录，存在函数依赖：数据编号 → 预测编号。从范式合规性分析：</w:t>
      </w:r>
    </w:p>
    <w:p w14:paraId="7E805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满足3NF：非主属性预测编号仅依赖于主码数据编号，不存在传递依赖；</w:t>
      </w:r>
    </w:p>
    <w:p w14:paraId="11C73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满足BCNF：主码数据编号是唯一的超码，所有非平凡函数依赖的决定因素均为超码，因此该关系模式满足BCNF。</w:t>
      </w:r>
    </w:p>
    <w:p w14:paraId="413CC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</w:p>
    <w:p w14:paraId="3C196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75"/>
        <w:textAlignment w:val="auto"/>
        <w:rPr>
          <w:rFonts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综上所述，本系统中全部关系模式均满足BCNF，有效避免了数据冗余以及插入、删除和更新异常，符合分布式光伏管理业务线的数据存储与关联需求。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8D48D3"/>
    <w:rsid w:val="02005598"/>
    <w:rsid w:val="18045ECA"/>
    <w:rsid w:val="22226190"/>
    <w:rsid w:val="2FC11881"/>
    <w:rsid w:val="46647A66"/>
    <w:rsid w:val="4D8D48D3"/>
    <w:rsid w:val="536E75A1"/>
    <w:rsid w:val="747A09F5"/>
    <w:rsid w:val="759E2DDC"/>
    <w:rsid w:val="7C350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1505</Words>
  <Characters>1556</Characters>
  <Lines>0</Lines>
  <Paragraphs>0</Paragraphs>
  <TotalTime>57</TotalTime>
  <ScaleCrop>false</ScaleCrop>
  <LinksUpToDate>false</LinksUpToDate>
  <CharactersWithSpaces>1586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2025-12-17T06:10:00Z</dcterms:created>
  <dc:creator>温柔</dc:creator>
  <cp:lastModifiedBy>温柔</cp:lastModifiedBy>
  <dcterms:modified xsi:type="dcterms:W3CDTF">2026-01-03T09:09:42Z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4B077199A453477B93C10251ED912080_13</vt:lpwstr>
  </property>
  <property fmtid="{D5CDD505-2E9C-101B-9397-08002B2CF9AE}" pid="4" name="KSOTemplateDocerSaveRecord">
    <vt:lpwstr>eyJoZGlkIjoiMjlhNjU4ZmI4NWNkZDlhZmVkZWE0ODVmYmM0M2Y5Y2QiLCJ1c2VySWQiOiI4MjI1MTI1NDYifQ==</vt:lpwstr>
  </property>
</Properties>
</file>