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F30B4">
      <w:pPr>
        <w:rPr>
          <w:rFonts w:hint="eastAsia"/>
        </w:rPr>
      </w:pPr>
      <w:r>
        <w:rPr>
          <w:rFonts w:hint="eastAsia"/>
        </w:rPr>
        <w:t># 分布式光伏管理业务线需求分析</w:t>
      </w:r>
    </w:p>
    <w:p w14:paraId="01A13B2F">
      <w:pPr>
        <w:rPr>
          <w:rFonts w:hint="eastAsia"/>
        </w:rPr>
      </w:pPr>
      <w:r>
        <w:rPr>
          <w:rFonts w:hint="eastAsia"/>
        </w:rPr>
        <w:t>## 一、业务概述（200-300字，1.5倍行距，5号宋体）</w:t>
      </w:r>
    </w:p>
    <w:p w14:paraId="72A77583">
      <w:pPr>
        <w:rPr>
          <w:rFonts w:hint="eastAsia"/>
        </w:rPr>
      </w:pPr>
      <w:r>
        <w:rPr>
          <w:rFonts w:hint="eastAsia"/>
        </w:rPr>
        <w:t>分布式光伏管理业务线是智慧能源管理系统的核心业务模块之一，聚焦工业企业光伏能源的“数据采集-实时监测-预测优化-高效运维”全流程管理。该业务线通过整合光伏设备运行数据、发电数据与预测数据，实现对逆变器、汇流箱等设备的实时状态监控、发电量精准统计及预测模型动态优化。核心目标是解决传统光伏管理中“数据孤岛、预测偏差大、设备故障响应滞后”等痛点，为企业最大化利用清洁能源、降低用电成本提供数据支撑。业务覆盖光伏设备信息维护、发电数据实时采集、发电量预测与偏差分析、设备异常告警四大核心场景，数据采集频率为5分钟/次，预测数据按小时级生成，异常情况（如逆变器效率过低）实时触发提醒，形成闭环管理。</w:t>
      </w:r>
    </w:p>
    <w:p w14:paraId="29B3755C">
      <w:pPr>
        <w:rPr>
          <w:rFonts w:hint="eastAsia"/>
        </w:rPr>
      </w:pPr>
    </w:p>
    <w:p w14:paraId="1B28ACEA">
      <w:pPr>
        <w:rPr>
          <w:rFonts w:hint="eastAsia"/>
        </w:rPr>
      </w:pPr>
      <w:r>
        <w:rPr>
          <w:rFonts w:hint="eastAsia"/>
        </w:rPr>
        <w:t>## 二、角色与用例分析</w:t>
      </w:r>
    </w:p>
    <w:p w14:paraId="0EAD08AB">
      <w:pPr>
        <w:rPr>
          <w:rFonts w:hint="eastAsia"/>
        </w:rPr>
      </w:pPr>
      <w:r>
        <w:rPr>
          <w:rFonts w:hint="eastAsia"/>
        </w:rPr>
        <w:t>### （一）核心角色</w:t>
      </w:r>
    </w:p>
    <w:p w14:paraId="72836118">
      <w:pPr>
        <w:rPr>
          <w:rFonts w:hint="eastAsia"/>
        </w:rPr>
      </w:pPr>
      <w:r>
        <w:rPr>
          <w:rFonts w:hint="eastAsia"/>
        </w:rPr>
        <w:t>1. **系统管理员**：维护光伏设备基础信息（如安装位置、校准周期）、配置预测模型参数、管理角色权限。</w:t>
      </w:r>
    </w:p>
    <w:p w14:paraId="3BE8C432">
      <w:pPr>
        <w:rPr>
          <w:rFonts w:hint="eastAsia"/>
        </w:rPr>
      </w:pPr>
      <w:r>
        <w:rPr>
          <w:rFonts w:hint="eastAsia"/>
        </w:rPr>
        <w:t>2. **运维人员**：接收设备异常告警，处理故障（如逆变器离线），更新设备运行状态，记录维修记录。</w:t>
      </w:r>
    </w:p>
    <w:p w14:paraId="64E8728E">
      <w:pPr>
        <w:rPr>
          <w:rFonts w:hint="eastAsia"/>
        </w:rPr>
      </w:pPr>
      <w:r>
        <w:rPr>
          <w:rFonts w:hint="eastAsia"/>
        </w:rPr>
        <w:t>3. **数据分析师**：分析预测数据与实际数据的偏差率，优化预测模型（如调整天气因子权重），生成光伏能源分析报告。</w:t>
      </w:r>
    </w:p>
    <w:p w14:paraId="5AC53EC5">
      <w:pPr>
        <w:rPr>
          <w:rFonts w:hint="eastAsia"/>
        </w:rPr>
      </w:pPr>
      <w:r>
        <w:rPr>
          <w:rFonts w:hint="eastAsia"/>
        </w:rPr>
        <w:t>4. **企业管理层**：查看光伏总发电量、自用电量、上网电量等核心指标，评估光伏项目收益。</w:t>
      </w:r>
    </w:p>
    <w:p w14:paraId="2FA192BA">
      <w:pPr>
        <w:rPr>
          <w:rFonts w:hint="eastAsia"/>
        </w:rPr>
      </w:pPr>
    </w:p>
    <w:p w14:paraId="2DD62EDB">
      <w:pPr>
        <w:rPr>
          <w:rFonts w:hint="eastAsia"/>
        </w:rPr>
      </w:pPr>
      <w:r>
        <w:rPr>
          <w:rFonts w:hint="eastAsia"/>
        </w:rPr>
        <w:t>### （二）用例图（文字描述+图形逻辑）</w:t>
      </w:r>
    </w:p>
    <w:p w14:paraId="7E862EE7">
      <w:pPr>
        <w:rPr>
          <w:rFonts w:hint="eastAsia"/>
        </w:rPr>
      </w:pPr>
      <w:r>
        <w:rPr>
          <w:rFonts w:hint="eastAsia"/>
        </w:rPr>
        <w:t>#### 用例图核心元素</w:t>
      </w:r>
    </w:p>
    <w:p w14:paraId="4C043D41">
      <w:pPr>
        <w:rPr>
          <w:rFonts w:hint="eastAsia"/>
        </w:rPr>
      </w:pPr>
      <w:r>
        <w:rPr>
          <w:rFonts w:hint="eastAsia"/>
        </w:rPr>
        <w:t>- **参与者**：系统管理员、运维人员、数据分析师、企业管理层。</w:t>
      </w:r>
    </w:p>
    <w:p w14:paraId="34068654">
      <w:pPr>
        <w:rPr>
          <w:rFonts w:hint="eastAsia"/>
        </w:rPr>
      </w:pPr>
      <w:r>
        <w:rPr>
          <w:rFonts w:hint="eastAsia"/>
        </w:rPr>
        <w:t>- **核心用例**：</w:t>
      </w:r>
    </w:p>
    <w:p w14:paraId="5B0C53A7">
      <w:pPr>
        <w:rPr>
          <w:rFonts w:hint="eastAsia"/>
        </w:rPr>
      </w:pPr>
      <w:r>
        <w:rPr>
          <w:rFonts w:hint="eastAsia"/>
        </w:rPr>
        <w:t xml:space="preserve">  1. 设备信息管理（查询/新增/修改/删除光伏设备信息）；</w:t>
      </w:r>
    </w:p>
    <w:p w14:paraId="067A7E59">
      <w:pPr>
        <w:rPr>
          <w:rFonts w:hint="eastAsia"/>
        </w:rPr>
      </w:pPr>
      <w:r>
        <w:rPr>
          <w:rFonts w:hint="eastAsia"/>
        </w:rPr>
        <w:t xml:space="preserve">  2. 发电数据采集与上传（智能设备自动采集+系统接收存储）；</w:t>
      </w:r>
    </w:p>
    <w:p w14:paraId="529982F2">
      <w:pPr>
        <w:rPr>
          <w:rFonts w:hint="eastAsia"/>
        </w:rPr>
      </w:pPr>
      <w:r>
        <w:rPr>
          <w:rFonts w:hint="eastAsia"/>
        </w:rPr>
        <w:t xml:space="preserve">  3. 发电量预测（系统生成次日每小时预测数据）；</w:t>
      </w:r>
    </w:p>
    <w:p w14:paraId="663EB9B0">
      <w:pPr>
        <w:rPr>
          <w:rFonts w:hint="eastAsia"/>
        </w:rPr>
      </w:pPr>
      <w:r>
        <w:rPr>
          <w:rFonts w:hint="eastAsia"/>
        </w:rPr>
        <w:t xml:space="preserve">  4. 偏差分析（计算预测值与实际值偏差率，触发模型优化提醒）；</w:t>
      </w:r>
    </w:p>
    <w:p w14:paraId="187E52C8">
      <w:pPr>
        <w:rPr>
          <w:rFonts w:hint="eastAsia"/>
        </w:rPr>
      </w:pPr>
      <w:r>
        <w:rPr>
          <w:rFonts w:hint="eastAsia"/>
        </w:rPr>
        <w:t xml:space="preserve">  5. 异常监测与告警（筛选逆变器效率过低、设备离线等异常）；</w:t>
      </w:r>
    </w:p>
    <w:p w14:paraId="2FD51A85">
      <w:pPr>
        <w:rPr>
          <w:rFonts w:hint="eastAsia"/>
        </w:rPr>
      </w:pPr>
      <w:r>
        <w:rPr>
          <w:rFonts w:hint="eastAsia"/>
        </w:rPr>
        <w:t xml:space="preserve">  6. 数据查询与报表生成（多角色按需查询数据，生成统计报表）。</w:t>
      </w:r>
    </w:p>
    <w:p w14:paraId="0F16AA89">
      <w:pPr>
        <w:rPr>
          <w:rFonts w:hint="eastAsia"/>
        </w:rPr>
      </w:pPr>
    </w:p>
    <w:p w14:paraId="17B326BE">
      <w:pPr>
        <w:rPr>
          <w:rFonts w:hint="eastAsia"/>
        </w:rPr>
      </w:pPr>
      <w:r>
        <w:rPr>
          <w:rFonts w:hint="eastAsia"/>
        </w:rPr>
        <w:t>#### 用例图逻辑关系</w:t>
      </w:r>
    </w:p>
    <w:p w14:paraId="4573E4EA">
      <w:pPr>
        <w:rPr>
          <w:rFonts w:hint="eastAsia"/>
        </w:rPr>
      </w:pPr>
      <w:r>
        <w:rPr>
          <w:rFonts w:hint="eastAsia"/>
        </w:rPr>
        <w:t>- 系统管理员 ↔ 设备信息管理用例（一对一，唯一操作权限）；</w:t>
      </w:r>
    </w:p>
    <w:p w14:paraId="694A5AAF">
      <w:pPr>
        <w:rPr>
          <w:rFonts w:hint="eastAsia"/>
        </w:rPr>
      </w:pPr>
      <w:r>
        <w:rPr>
          <w:rFonts w:hint="eastAsia"/>
        </w:rPr>
        <w:t>- 运维人员 ↔ 异常监测与告警用例、设备信息修改用例（一对多，仅操作负责区域设备）；</w:t>
      </w:r>
    </w:p>
    <w:p w14:paraId="60765A36">
      <w:pPr>
        <w:rPr>
          <w:rFonts w:hint="eastAsia"/>
        </w:rPr>
      </w:pPr>
      <w:r>
        <w:rPr>
          <w:rFonts w:hint="eastAsia"/>
        </w:rPr>
        <w:t>- 数据分析师 ↔ 发电量预测用例、偏差分析用例（一对一，专属优化权限）；</w:t>
      </w:r>
    </w:p>
    <w:p w14:paraId="18B04C17">
      <w:pPr>
        <w:rPr>
          <w:rFonts w:hint="eastAsia"/>
        </w:rPr>
      </w:pPr>
      <w:r>
        <w:rPr>
          <w:rFonts w:hint="eastAsia"/>
        </w:rPr>
        <w:t>- 企业管理层 ↔ 数据查询与报表生成用例（只读权限，仅查看汇总数据）；</w:t>
      </w:r>
    </w:p>
    <w:p w14:paraId="7D26AE31">
      <w:pPr>
        <w:rPr>
          <w:rFonts w:hint="eastAsia"/>
        </w:rPr>
      </w:pPr>
      <w:r>
        <w:rPr>
          <w:rFonts w:hint="eastAsia"/>
        </w:rPr>
        <w:t>- 发电数据采集与上传用例 → 关联至发电量预测用例、异常监测与告警用例（数据输入依赖）。</w:t>
      </w:r>
    </w:p>
    <w:p w14:paraId="461A8C04">
      <w:pPr>
        <w:rPr>
          <w:rFonts w:hint="eastAsia"/>
        </w:rPr>
      </w:pPr>
    </w:p>
    <w:p w14:paraId="7D147FAF">
      <w:pPr>
        <w:rPr>
          <w:rFonts w:hint="eastAsia"/>
        </w:rPr>
      </w:pPr>
      <w:r>
        <w:rPr>
          <w:rFonts w:hint="eastAsia"/>
        </w:rPr>
        <w:t>### （三）鲁棒图（文字描述+组件关联）</w:t>
      </w:r>
    </w:p>
    <w:p w14:paraId="2B2F7967">
      <w:pPr>
        <w:rPr>
          <w:rFonts w:hint="eastAsia"/>
        </w:rPr>
      </w:pPr>
      <w:r>
        <w:rPr>
          <w:rFonts w:hint="eastAsia"/>
        </w:rPr>
        <w:t>#### 鲁棒图核心组件</w:t>
      </w:r>
    </w:p>
    <w:p w14:paraId="5BB2D293">
      <w:pPr>
        <w:rPr>
          <w:rFonts w:hint="eastAsia"/>
        </w:rPr>
      </w:pPr>
      <w:r>
        <w:rPr>
          <w:rFonts w:hint="eastAsia"/>
        </w:rPr>
        <w:t>- **边界对象**：光伏数据采集接口（接收设备上传数据）、系统管理界面（角色操作入口）、报表展示界面（数据输出入口）；</w:t>
      </w:r>
    </w:p>
    <w:p w14:paraId="35F1EA6E">
      <w:pPr>
        <w:rPr>
          <w:rFonts w:hint="eastAsia"/>
        </w:rPr>
      </w:pPr>
      <w:r>
        <w:rPr>
          <w:rFonts w:hint="eastAsia"/>
        </w:rPr>
        <w:t>- **控制对象**：数据校验控制（验证采集数据完整性）、预测模型控制（生成预测数据）、偏差分析控制（计算偏差率）、异常判定控制（筛选异常数据）；</w:t>
      </w:r>
    </w:p>
    <w:p w14:paraId="4BFEEDC7">
      <w:pPr>
        <w:rPr>
          <w:rFonts w:hint="eastAsia"/>
        </w:rPr>
      </w:pPr>
      <w:r>
        <w:rPr>
          <w:rFonts w:hint="eastAsia"/>
        </w:rPr>
        <w:t>- **实体对象**：光伏设备信息实体、光伏发电数据实体、光伏预测数据实体。</w:t>
      </w:r>
    </w:p>
    <w:p w14:paraId="1CF6263E">
      <w:pPr>
        <w:rPr>
          <w:rFonts w:hint="eastAsia"/>
        </w:rPr>
      </w:pPr>
    </w:p>
    <w:p w14:paraId="2CB86F6F">
      <w:pPr>
        <w:rPr>
          <w:rFonts w:hint="eastAsia"/>
        </w:rPr>
      </w:pPr>
      <w:r>
        <w:rPr>
          <w:rFonts w:hint="eastAsia"/>
        </w:rPr>
        <w:t>#### 组件交互关系</w:t>
      </w:r>
    </w:p>
    <w:p w14:paraId="06E4D8A9">
      <w:pPr>
        <w:rPr>
          <w:rFonts w:hint="eastAsia"/>
        </w:rPr>
      </w:pPr>
      <w:r>
        <w:rPr>
          <w:rFonts w:hint="eastAsia"/>
        </w:rPr>
        <w:t>1. 光伏数据采集接口（边界）→ 数据校验控制（控制）：上传采集数据，校验字段完整性（如设备编号、发电量不能为空）；</w:t>
      </w:r>
    </w:p>
    <w:p w14:paraId="385CE171">
      <w:pPr>
        <w:rPr>
          <w:rFonts w:hint="eastAsia"/>
        </w:rPr>
      </w:pPr>
      <w:r>
        <w:rPr>
          <w:rFonts w:hint="eastAsia"/>
        </w:rPr>
        <w:t>2. 数据校验控制（控制）→ 光伏发电数据实体（实体）：存储校验通过的发电数据；</w:t>
      </w:r>
    </w:p>
    <w:p w14:paraId="3C47012E">
      <w:pPr>
        <w:rPr>
          <w:rFonts w:hint="eastAsia"/>
        </w:rPr>
      </w:pPr>
      <w:r>
        <w:rPr>
          <w:rFonts w:hint="eastAsia"/>
        </w:rPr>
        <w:t>3. 预测模型控制（控制）→ 光伏预测数据实体（实体）：读取历史发电数据，生成次日预测数据并存储；</w:t>
      </w:r>
    </w:p>
    <w:p w14:paraId="79933EDB">
      <w:pPr>
        <w:rPr>
          <w:rFonts w:hint="eastAsia"/>
        </w:rPr>
      </w:pPr>
      <w:r>
        <w:rPr>
          <w:rFonts w:hint="eastAsia"/>
        </w:rPr>
        <w:t>4. 偏差分析控制（控制）→ 光伏发电数据实体/光伏预测数据实体（实体）：关联查询同一时段实际与预测数据，计算偏差率；</w:t>
      </w:r>
    </w:p>
    <w:p w14:paraId="58338209">
      <w:pPr>
        <w:rPr>
          <w:rFonts w:hint="eastAsia"/>
        </w:rPr>
      </w:pPr>
      <w:r>
        <w:rPr>
          <w:rFonts w:hint="eastAsia"/>
        </w:rPr>
        <w:t>5. 异常判定控制（控制）→ 光伏设备信息实体/光伏发电数据实体（实体）：筛选逆变器效率&lt;85%、设备运行状态为“故障”的记录，触发告警；</w:t>
      </w:r>
    </w:p>
    <w:p w14:paraId="502354C8">
      <w:pPr>
        <w:rPr>
          <w:rFonts w:hint="eastAsia"/>
        </w:rPr>
      </w:pPr>
      <w:r>
        <w:rPr>
          <w:rFonts w:hint="eastAsia"/>
        </w:rPr>
        <w:t>6. 系统管理界面/报表展示界面（边界）→ 各控制对象：角色发起操作请求，控制对象返回处理结果。</w:t>
      </w:r>
    </w:p>
    <w:p w14:paraId="1E470B31">
      <w:pPr>
        <w:rPr>
          <w:rFonts w:hint="eastAsia"/>
        </w:rPr>
      </w:pPr>
    </w:p>
    <w:p w14:paraId="62784779">
      <w:pPr>
        <w:rPr>
          <w:rFonts w:hint="eastAsia"/>
        </w:rPr>
      </w:pPr>
      <w:r>
        <w:rPr>
          <w:rFonts w:hint="eastAsia"/>
        </w:rPr>
        <w:t>## 三、数据项分析（含类型与描述）</w:t>
      </w:r>
    </w:p>
    <w:p w14:paraId="64399170">
      <w:pPr>
        <w:rPr>
          <w:rFonts w:hint="eastAsia"/>
        </w:rPr>
      </w:pPr>
      <w:r>
        <w:rPr>
          <w:rFonts w:hint="eastAsia"/>
        </w:rPr>
        <w:t>| 数据项名称       | 数据类型       | 简要描述                                                                 | 约束条件                     |</w:t>
      </w:r>
    </w:p>
    <w:p w14:paraId="2C1303D1">
      <w:pPr>
        <w:rPr>
          <w:rFonts w:hint="eastAsia"/>
        </w:rPr>
      </w:pPr>
      <w:r>
        <w:rPr>
          <w:rFonts w:hint="eastAsia"/>
        </w:rPr>
        <w:t>|------------------|----------------|--------------------------------------------------------------------------|------------------------------|</w:t>
      </w:r>
    </w:p>
    <w:p w14:paraId="77736C2D">
      <w:pPr>
        <w:rPr>
          <w:rFonts w:hint="eastAsia"/>
        </w:rPr>
      </w:pPr>
      <w:r>
        <w:rPr>
          <w:rFonts w:hint="eastAsia"/>
        </w:rPr>
        <w:t>| 设备编号         | 字符型（VARCHAR(20)） | 光伏设备唯一标识（如INV-001/BOX-002，INV代表逆变器，BOX代表汇流箱）     | 主键、非空、唯一             |</w:t>
      </w:r>
    </w:p>
    <w:p w14:paraId="0BCD5C58">
      <w:pPr>
        <w:rPr>
          <w:rFonts w:hint="eastAsia"/>
        </w:rPr>
      </w:pPr>
      <w:r>
        <w:rPr>
          <w:rFonts w:hint="eastAsia"/>
        </w:rPr>
        <w:t>| 设备类型         | 字符型（VARCHAR(10)） | 设备类别，可选值：“逆变器”“汇流箱”                                       | 非空、枚举约束               |</w:t>
      </w:r>
    </w:p>
    <w:p w14:paraId="50E37E93">
      <w:pPr>
        <w:rPr>
          <w:rFonts w:hint="eastAsia"/>
        </w:rPr>
      </w:pPr>
      <w:r>
        <w:rPr>
          <w:rFonts w:hint="eastAsia"/>
        </w:rPr>
        <w:t>| 安装位置         | 字符型（VARCHAR(50)） | 设备安装的屋顶区域编号（如“屋顶A区-1排”“屋顶B区-3列”）                   | 非空                         |</w:t>
      </w:r>
    </w:p>
    <w:p w14:paraId="760F55ED">
      <w:pPr>
        <w:rPr>
          <w:rFonts w:hint="eastAsia"/>
        </w:rPr>
      </w:pPr>
      <w:r>
        <w:rPr>
          <w:rFonts w:hint="eastAsia"/>
        </w:rPr>
        <w:t>| 装机容量         | 数字型（DECIMAL(10,2)） | 设备装机容量，单位：kWP                                                 | 非空、大于0                  |</w:t>
      </w:r>
    </w:p>
    <w:p w14:paraId="73A083DD">
      <w:pPr>
        <w:rPr>
          <w:rFonts w:hint="eastAsia"/>
        </w:rPr>
      </w:pPr>
      <w:r>
        <w:rPr>
          <w:rFonts w:hint="eastAsia"/>
        </w:rPr>
        <w:t>| 投运时间         | 日期时间型（DATETIME） | 设备正式投入运行的时间                                                   | 非空                         |</w:t>
      </w:r>
    </w:p>
    <w:p w14:paraId="70025943">
      <w:pPr>
        <w:rPr>
          <w:rFonts w:hint="eastAsia"/>
        </w:rPr>
      </w:pPr>
      <w:r>
        <w:rPr>
          <w:rFonts w:hint="eastAsia"/>
        </w:rPr>
        <w:t>| 校准周期         | 数字型（INT）   | 设备校准周期，单位：月（如6代表每6个月校准一次）                           | 非空、大于0                  |</w:t>
      </w:r>
    </w:p>
    <w:p w14:paraId="12C14E5A">
      <w:pPr>
        <w:rPr>
          <w:rFonts w:hint="eastAsia"/>
        </w:rPr>
      </w:pPr>
      <w:r>
        <w:rPr>
          <w:rFonts w:hint="eastAsia"/>
        </w:rPr>
        <w:t>| 运行状态         | 字符型（VARCHAR(10)） | 设备当前状态，可选值：“正常”“故障”“离线”                                 | 非空、枚举约束               |</w:t>
      </w:r>
    </w:p>
    <w:p w14:paraId="621902A2">
      <w:pPr>
        <w:rPr>
          <w:rFonts w:hint="eastAsia"/>
        </w:rPr>
      </w:pPr>
      <w:r>
        <w:rPr>
          <w:rFonts w:hint="eastAsia"/>
        </w:rPr>
        <w:t>| 通信协议         | 字符型（VARCHAR(10)） | 设备数据传输协议，可选值：“RS485”“Lora”                                   | 非空、枚举约束               |</w:t>
      </w:r>
    </w:p>
    <w:p w14:paraId="66B26D69">
      <w:pPr>
        <w:rPr>
          <w:rFonts w:hint="eastAsia"/>
        </w:rPr>
      </w:pPr>
      <w:r>
        <w:rPr>
          <w:rFonts w:hint="eastAsia"/>
        </w:rPr>
        <w:t>| 数据编号         | 字符型（VARCHAR(30)） | 光伏发电数据唯一标识（如PWR-20250101-001）                               | 主键、非空、唯一             |</w:t>
      </w:r>
    </w:p>
    <w:p w14:paraId="1176C3F3">
      <w:pPr>
        <w:rPr>
          <w:rFonts w:hint="eastAsia"/>
        </w:rPr>
      </w:pPr>
      <w:r>
        <w:rPr>
          <w:rFonts w:hint="eastAsia"/>
        </w:rPr>
        <w:t>| 并网点编号       | 字符型（VARCHAR(20)） | 光伏电力并入电网的节点编号（如POINT-001）                                 | 非空、外键（关联电网节点表） |</w:t>
      </w:r>
    </w:p>
    <w:p w14:paraId="50AC0C32">
      <w:pPr>
        <w:rPr>
          <w:rFonts w:hint="eastAsia"/>
        </w:rPr>
      </w:pPr>
      <w:r>
        <w:rPr>
          <w:rFonts w:hint="eastAsia"/>
        </w:rPr>
        <w:t>| 采集时间         | 日期时间型（DATETIME） | 发电数据采集的时间（精确到分钟）                                         | 非空                         |</w:t>
      </w:r>
    </w:p>
    <w:p w14:paraId="6A01E509">
      <w:pPr>
        <w:rPr>
          <w:rFonts w:hint="eastAsia"/>
        </w:rPr>
      </w:pPr>
      <w:r>
        <w:rPr>
          <w:rFonts w:hint="eastAsia"/>
        </w:rPr>
        <w:t>| 发电量           | 数字型（DECIMAL(10,2)） | 采集时段内的发电量，单位：kWh                                             | 非空、大于等于0              |</w:t>
      </w:r>
    </w:p>
    <w:p w14:paraId="5165009C">
      <w:pPr>
        <w:rPr>
          <w:rFonts w:hint="eastAsia"/>
        </w:rPr>
      </w:pPr>
      <w:r>
        <w:rPr>
          <w:rFonts w:hint="eastAsia"/>
        </w:rPr>
        <w:t>| 上网电量         | 数字型（DECIMAL(10,2)） | 并入电网的电量，单位：kWh                                                 | 非空、大于等于0              |</w:t>
      </w:r>
    </w:p>
    <w:p w14:paraId="56F3B9A2">
      <w:pPr>
        <w:rPr>
          <w:rFonts w:hint="eastAsia"/>
        </w:rPr>
      </w:pPr>
      <w:r>
        <w:rPr>
          <w:rFonts w:hint="eastAsia"/>
        </w:rPr>
        <w:t>| 自用电量         | 数字型（DECIMAL(10,2)） | 企业自行消耗的电量，单位：kWh                                             | 非空、大于等于0              |</w:t>
      </w:r>
    </w:p>
    <w:p w14:paraId="31682291">
      <w:pPr>
        <w:rPr>
          <w:rFonts w:hint="eastAsia"/>
        </w:rPr>
      </w:pPr>
      <w:r>
        <w:rPr>
          <w:rFonts w:hint="eastAsia"/>
        </w:rPr>
        <w:t>| 逆变器效率       | 数字型（DECIMAL(5,2)） | 逆变器能量转换效率，单位：%（仅逆变器设备有该字段）                         | 非空（逆变器）、0-100之间    |</w:t>
      </w:r>
    </w:p>
    <w:p w14:paraId="33E34B7F">
      <w:pPr>
        <w:rPr>
          <w:rFonts w:hint="eastAsia"/>
        </w:rPr>
      </w:pPr>
      <w:r>
        <w:rPr>
          <w:rFonts w:hint="eastAsia"/>
        </w:rPr>
        <w:t>| 汇流箱组串电压   | 数字型（DECIMAL(8,2)） | 汇流箱组串电压，单位：V（仅汇流箱设备有该字段）                           | 非空（汇流箱）、大于等于0    |</w:t>
      </w:r>
    </w:p>
    <w:p w14:paraId="2B0CD81E">
      <w:pPr>
        <w:rPr>
          <w:rFonts w:hint="eastAsia"/>
        </w:rPr>
      </w:pPr>
      <w:r>
        <w:rPr>
          <w:rFonts w:hint="eastAsia"/>
        </w:rPr>
        <w:t>| 汇流箱组串电流   | 数字型（DECIMAL(8,2)） | 汇流箱组串电流，单位：A（仅汇流箱设备有该字段）                           | 非空（汇流箱）、大于等于0    |</w:t>
      </w:r>
    </w:p>
    <w:p w14:paraId="69A90242">
      <w:pPr>
        <w:rPr>
          <w:rFonts w:hint="eastAsia"/>
        </w:rPr>
      </w:pPr>
      <w:r>
        <w:rPr>
          <w:rFonts w:hint="eastAsia"/>
        </w:rPr>
        <w:t>| 预测编号         | 字符型（VARCHAR(30)） | 光伏预测数据唯一标识（如PRE-20250102-001）                               | 主键、非空、唯一             |</w:t>
      </w:r>
    </w:p>
    <w:p w14:paraId="1FFB2952">
      <w:pPr>
        <w:rPr>
          <w:rFonts w:hint="eastAsia"/>
        </w:rPr>
      </w:pPr>
      <w:r>
        <w:rPr>
          <w:rFonts w:hint="eastAsia"/>
        </w:rPr>
        <w:t>| 预测日期         | 日期型（DATE）  | 预测对应的日期                                                           | 非空                         |</w:t>
      </w:r>
    </w:p>
    <w:p w14:paraId="0FC01146">
      <w:pPr>
        <w:rPr>
          <w:rFonts w:hint="eastAsia"/>
        </w:rPr>
      </w:pPr>
      <w:r>
        <w:rPr>
          <w:rFonts w:hint="eastAsia"/>
        </w:rPr>
        <w:t>| 预测时段         | 字符型（VARCHAR(10)） | 预测的小时时段（如“08:00-09:00”“14:00-15:00”）                           | 非空                         |</w:t>
      </w:r>
    </w:p>
    <w:p w14:paraId="4D82F6CE">
      <w:pPr>
        <w:rPr>
          <w:rFonts w:hint="eastAsia"/>
        </w:rPr>
      </w:pPr>
      <w:r>
        <w:rPr>
          <w:rFonts w:hint="eastAsia"/>
        </w:rPr>
        <w:t>| 预测发电量       | 数字型（DECIMAL(10,2)） | 预测时段内的发电量，单位：kWh                                             | 非空、大于等于0              |</w:t>
      </w:r>
    </w:p>
    <w:p w14:paraId="2AD5BDBD">
      <w:pPr>
        <w:rPr>
          <w:rFonts w:hint="eastAsia"/>
        </w:rPr>
      </w:pPr>
      <w:r>
        <w:rPr>
          <w:rFonts w:hint="eastAsia"/>
        </w:rPr>
        <w:t>| 实际发电量       | 数字型（DECIMAL(10,2)） | 预测时段对应的实际发电量，单位：kWh                                       | 可为空（未到采集时间）、大于等于0 |</w:t>
      </w:r>
    </w:p>
    <w:p w14:paraId="558E10F5">
      <w:pPr>
        <w:rPr>
          <w:rFonts w:hint="eastAsia"/>
        </w:rPr>
      </w:pPr>
      <w:r>
        <w:rPr>
          <w:rFonts w:hint="eastAsia"/>
        </w:rPr>
        <w:t>| 偏差率           | 数字型（DECIMAL(5,2)） | （预测发电量-实际发电量）/实际发电量×100%，单位：%                         | 可为空（实际发电量未录入）   |</w:t>
      </w:r>
    </w:p>
    <w:p w14:paraId="4782D1C3">
      <w:pPr>
        <w:rPr>
          <w:rFonts w:hint="eastAsia"/>
        </w:rPr>
      </w:pPr>
      <w:r>
        <w:rPr>
          <w:rFonts w:hint="eastAsia"/>
        </w:rPr>
        <w:t>| 预测模型版本     | 字符型（VARCHAR(20)） | 生成预测数据所使用的模型版本（如“V2.1”“V2.2”）                           | 非空                         |</w:t>
      </w:r>
    </w:p>
    <w:p w14:paraId="32313607">
      <w:pPr>
        <w:rPr>
          <w:rFonts w:hint="eastAsia"/>
        </w:rPr>
      </w:pPr>
    </w:p>
    <w:p w14:paraId="0540ACC0">
      <w:pPr>
        <w:rPr>
          <w:rFonts w:hint="eastAsia"/>
        </w:rPr>
      </w:pPr>
      <w:r>
        <w:rPr>
          <w:rFonts w:hint="eastAsia"/>
        </w:rPr>
        <w:t>## 四、非功能性需求（300-500字，1.5倍行距，5号宋体）</w:t>
      </w:r>
    </w:p>
    <w:p w14:paraId="23EC071F">
      <w:pPr>
        <w:rPr>
          <w:rFonts w:hint="eastAsia"/>
        </w:rPr>
      </w:pPr>
      <w:r>
        <w:rPr>
          <w:rFonts w:hint="eastAsia"/>
        </w:rPr>
        <w:t>### （一）安全性需求</w:t>
      </w:r>
    </w:p>
    <w:p w14:paraId="2AC4FB8F">
      <w:pPr>
        <w:rPr>
          <w:rFonts w:hint="eastAsia"/>
        </w:rPr>
      </w:pPr>
      <w:r>
        <w:rPr>
          <w:rFonts w:hint="eastAsia"/>
        </w:rPr>
        <w:t>1. 数据传输安全：光伏设备上传数据需通过加密协议（如HTTPS）传输，防止数据被窃取或篡改；采集数据存储时，对设备编号、并网点编号等核心标识字段进行脱敏处理（如部分字符替换为“*”），避免敏感信息泄露。</w:t>
      </w:r>
    </w:p>
    <w:p w14:paraId="4F5B1C84">
      <w:pPr>
        <w:rPr>
          <w:rFonts w:hint="eastAsia"/>
        </w:rPr>
      </w:pPr>
      <w:r>
        <w:rPr>
          <w:rFonts w:hint="eastAsia"/>
        </w:rPr>
        <w:t>2. 访问权限控制：基于RBAC权限模型，严格划分角色权限——系统管理员拥有全量操作权限，运维人员仅能查看和修改负责区域设备数据，数据分析师仅能查询数据和优化模型，企业管理层仅能查看汇总报表，禁止越权操作。</w:t>
      </w:r>
    </w:p>
    <w:p w14:paraId="79B3B668">
      <w:pPr>
        <w:rPr>
          <w:rFonts w:hint="eastAsia"/>
        </w:rPr>
      </w:pPr>
      <w:r>
        <w:rPr>
          <w:rFonts w:hint="eastAsia"/>
        </w:rPr>
        <w:t>3. 操作日志审计：记录所有角色的关键操作（如设备信息修改、预测模型更新、异常告警处理），日志包含操作人、操作时间、操作内容、操作结果，留存时间不少于6个月，便于安全审计和问题追溯。</w:t>
      </w:r>
    </w:p>
    <w:p w14:paraId="157A1B1A">
      <w:pPr>
        <w:rPr>
          <w:rFonts w:hint="eastAsia"/>
        </w:rPr>
      </w:pPr>
    </w:p>
    <w:p w14:paraId="2998A208">
      <w:pPr>
        <w:rPr>
          <w:rFonts w:hint="eastAsia"/>
        </w:rPr>
      </w:pPr>
      <w:r>
        <w:rPr>
          <w:rFonts w:hint="eastAsia"/>
        </w:rPr>
        <w:t>### （二）完整性需求</w:t>
      </w:r>
    </w:p>
    <w:p w14:paraId="380E1390">
      <w:pPr>
        <w:rPr>
          <w:rFonts w:hint="eastAsia"/>
        </w:rPr>
      </w:pPr>
      <w:r>
        <w:rPr>
          <w:rFonts w:hint="eastAsia"/>
        </w:rPr>
        <w:t>1. 数据完整性约束：通过数据库约束确保核心数据不缺失、不重复——设备编号、数据编号、预测编号作为主键唯一标识；非空字段（如安装位置、采集时间、发电量）禁止为空；枚举字段（如运行状态、通信协议）严格限制可选值；数值型字段（如装机容量、逆变器效率）设置合理范围（大于0、0-100等），避免无效数据录入。</w:t>
      </w:r>
    </w:p>
    <w:p w14:paraId="6415161D">
      <w:pPr>
        <w:rPr>
          <w:rFonts w:hint="eastAsia"/>
        </w:rPr>
      </w:pPr>
      <w:r>
        <w:rPr>
          <w:rFonts w:hint="eastAsia"/>
        </w:rPr>
        <w:t>2. 关联数据一致性：并网点编号需关联电网节点表的有效记录，确保数据溯源；预测数据与实际发电数据需按“预测日期+预测时段+设备编号”唯一关联，避免一对多或多对多的混乱关联；当设备状态更新为“报废”时，需同步限制该设备的发电数据采集与预测数据生成。</w:t>
      </w:r>
    </w:p>
    <w:p w14:paraId="24EA7C74">
      <w:pPr>
        <w:rPr>
          <w:rFonts w:hint="eastAsia"/>
        </w:rPr>
      </w:pPr>
      <w:r>
        <w:rPr>
          <w:rFonts w:hint="eastAsia"/>
        </w:rPr>
        <w:t>3. 数据质量校验：系统自动校验采集数据的合理性，如发电量单日波动超50%、逆变器效率骤降至50%以下时，标记为“数据异常”并触发人工复核；预测数据与实际数据的偏差率连续3天超15%时，自动触发“预测模型优化提醒”，确保数据可用性。</w:t>
      </w:r>
    </w:p>
    <w:p w14:paraId="1D29501E">
      <w:pPr>
        <w:rPr>
          <w:rFonts w:hint="eastAsia"/>
        </w:rPr>
      </w:pPr>
    </w:p>
    <w:p w14:paraId="66C75FD4">
      <w:pPr>
        <w:rPr>
          <w:rFonts w:hint="eastAsia"/>
        </w:rPr>
      </w:pPr>
      <w:r>
        <w:rPr>
          <w:rFonts w:hint="eastAsia"/>
        </w:rPr>
        <w:t>### （三）性能需求</w:t>
      </w:r>
    </w:p>
    <w:p w14:paraId="2EAB9AE9">
      <w:pPr>
        <w:rPr>
          <w:rFonts w:hint="eastAsia"/>
        </w:rPr>
      </w:pPr>
      <w:r>
        <w:rPr>
          <w:rFonts w:hint="eastAsia"/>
        </w:rPr>
        <w:t>1. 数据采集与更新性能：支持5分钟/次的高频数据采集，单设备单次数据上传响应时间≤1秒，批量上传（≤100台设备）响应时间≤5秒；实时汇总数据（如光伏总发电量）更新频率≤1分钟，满足大屏展示等实时性需求。</w:t>
      </w:r>
    </w:p>
    <w:p w14:paraId="18B92D83">
      <w:pPr>
        <w:rPr>
          <w:rFonts w:hint="eastAsia"/>
        </w:rPr>
      </w:pPr>
      <w:r>
        <w:rPr>
          <w:rFonts w:hint="eastAsia"/>
        </w:rPr>
        <w:t>2. 查询性能：单表查询（如查询某设备某时段发电数据）响应时间≤0.5秒；多表关联查询（如关联预测数据与实际数据计算偏差率）响应时间≤1秒；复杂统计查询（如月度发电量同比/环比分析）响应时间≤3秒，通过索引优化提升查询效率。</w:t>
      </w:r>
    </w:p>
    <w:p w14:paraId="597540D7">
      <w:pPr>
        <w:rPr>
          <w:rFonts w:hint="eastAsia"/>
        </w:rPr>
      </w:pPr>
    </w:p>
    <w:p w14:paraId="6624164B">
      <w:pPr>
        <w:rPr>
          <w:rFonts w:hint="eastAsia"/>
        </w:rPr>
      </w:pPr>
      <w:r>
        <w:rPr>
          <w:rFonts w:hint="eastAsia"/>
        </w:rPr>
        <w:t>### （四）可靠性需求</w:t>
      </w:r>
    </w:p>
    <w:p w14:paraId="29C6BD01">
      <w:pPr>
        <w:rPr>
          <w:rFonts w:hint="eastAsia"/>
        </w:rPr>
      </w:pPr>
      <w:r>
        <w:rPr>
          <w:rFonts w:hint="eastAsia"/>
        </w:rPr>
        <w:t>1. 数据备份与恢复：采用“每日增量备份+每周全量备份”策略，备份数据存储在异地服务器，防止数据丢失；支持按时间点恢复数据，恢复成功率≥99.9%，恢复时间≤30分钟。</w:t>
      </w:r>
    </w:p>
    <w:p w14:paraId="490BC2C9">
      <w:r>
        <w:rPr>
          <w:rFonts w:hint="eastAsia"/>
        </w:rPr>
        <w:t>2. 系统可用性：设备数据采集接口支持高并发访问（并发量≥500次/分钟），无故障运行时间≥99.5%；当系统出现临时故障时，支持数据缓存（缓存时间≥2小时），故障恢复后自动同步缓存数据，避免数据丢失。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9D39E0"/>
    <w:rsid w:val="489D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2025-11-27T08:24:00Z</dcterms:created>
  <dc:creator>温柔</dc:creator>
  <cp:lastModifiedBy>温柔</cp:lastModifiedBy>
  <dcterms:modified xsi:type="dcterms:W3CDTF">2025-11-27T08:29:58Z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261736CCDD65451EAC4C8839A5A19C4A_11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