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81657">
      <w:pPr>
        <w:pStyle w:val="2"/>
        <w:numPr>
          <w:ilvl w:val="0"/>
          <w:numId w:val="1"/>
        </w:numPr>
        <w:ind w:left="0" w:leftChars="0" w:firstLine="0" w:firstLineChars="0"/>
        <w:rPr>
          <w:b w:val="0"/>
        </w:rPr>
      </w:pPr>
      <w:r>
        <w:t>系统业务</w:t>
      </w:r>
    </w:p>
    <w:p w14:paraId="3CB9A31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分布式光伏管理业务</w:t>
      </w:r>
      <w:r>
        <w:rPr>
          <w:rFonts w:hint="eastAsia"/>
          <w:sz w:val="24"/>
          <w:szCs w:val="24"/>
          <w:lang w:val="en-US" w:eastAsia="zh-CN"/>
        </w:rPr>
        <w:t>是通过整合光伏设备运行数据、发电数据与预测数据，实现对逆变器、汇流箱等光伏设备的实时状态监控、发电量精准统计及预测模型动态优化。</w:t>
      </w:r>
      <w:r>
        <w:rPr>
          <w:rFonts w:hint="eastAsia"/>
          <w:sz w:val="24"/>
          <w:szCs w:val="24"/>
        </w:rPr>
        <w:t>数据采集频率为5分钟/次，预测数据按小时级生成，异常情况（如逆变器效率过低）实时触发提醒，</w:t>
      </w:r>
      <w:r>
        <w:rPr>
          <w:rFonts w:hint="eastAsia"/>
          <w:sz w:val="24"/>
          <w:szCs w:val="24"/>
          <w:lang w:val="en-US" w:eastAsia="zh-CN"/>
        </w:rPr>
        <w:t>数据分析师计算数据偏差率，若连续3天偏差率超15%，则优化预测模型</w:t>
      </w:r>
      <w:r>
        <w:rPr>
          <w:rFonts w:hint="eastAsia"/>
          <w:sz w:val="24"/>
          <w:szCs w:val="24"/>
        </w:rPr>
        <w:t>。</w:t>
      </w:r>
    </w:p>
    <w:p w14:paraId="4EFE9252">
      <w:pPr>
        <w:keepNext w:val="0"/>
        <w:keepLines w:val="0"/>
        <w:pageBreakBefore w:val="0"/>
        <w:widowControl w:val="0"/>
        <w:kinsoku/>
        <w:wordWrap/>
        <w:overflowPunct/>
        <w:topLinePunct w:val="0"/>
        <w:autoSpaceDE/>
        <w:autoSpaceDN/>
        <w:bidi w:val="0"/>
        <w:adjustRightInd/>
        <w:snapToGrid/>
        <w:textAlignment w:val="auto"/>
        <w:rPr>
          <w:rFonts w:hint="eastAsia" w:eastAsiaTheme="minorEastAsia"/>
          <w:sz w:val="24"/>
          <w:szCs w:val="24"/>
          <w:lang w:eastAsia="zh-CN"/>
        </w:rPr>
      </w:pPr>
      <w:r>
        <w:rPr>
          <w:rFonts w:hint="eastAsia" w:eastAsiaTheme="minorEastAsia"/>
          <w:sz w:val="24"/>
          <w:szCs w:val="24"/>
          <w:lang w:eastAsia="zh-CN"/>
        </w:rPr>
        <w:drawing>
          <wp:inline distT="0" distB="0" distL="114300" distR="114300">
            <wp:extent cx="5266690" cy="4872355"/>
            <wp:effectExtent l="0" t="0" r="3810" b="4445"/>
            <wp:docPr id="2" name="图片 2" descr="数据流图和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数据流图和用例图"/>
                    <pic:cNvPicPr>
                      <a:picLocks noChangeAspect="1"/>
                    </pic:cNvPicPr>
                  </pic:nvPicPr>
                  <pic:blipFill>
                    <a:blip r:embed="rId4"/>
                    <a:stretch>
                      <a:fillRect/>
                    </a:stretch>
                  </pic:blipFill>
                  <pic:spPr>
                    <a:xfrm>
                      <a:off x="0" y="0"/>
                      <a:ext cx="5266690" cy="4872355"/>
                    </a:xfrm>
                    <a:prstGeom prst="rect">
                      <a:avLst/>
                    </a:prstGeom>
                  </pic:spPr>
                </pic:pic>
              </a:graphicData>
            </a:graphic>
          </wp:inline>
        </w:drawing>
      </w:r>
    </w:p>
    <w:p w14:paraId="575EC776">
      <w:pPr>
        <w:keepNext w:val="0"/>
        <w:keepLines w:val="0"/>
        <w:pageBreakBefore w:val="0"/>
        <w:widowControl w:val="0"/>
        <w:kinsoku/>
        <w:wordWrap/>
        <w:overflowPunct/>
        <w:topLinePunct w:val="0"/>
        <w:autoSpaceDE/>
        <w:autoSpaceDN/>
        <w:bidi w:val="0"/>
        <w:adjustRightInd/>
        <w:snapToGrid/>
        <w:jc w:val="center"/>
        <w:textAlignment w:val="auto"/>
        <w:rPr>
          <w:rFonts w:hint="eastAsia"/>
          <w:sz w:val="21"/>
          <w:szCs w:val="21"/>
          <w:lang w:val="en-US" w:eastAsia="zh-CN"/>
        </w:rPr>
      </w:pPr>
      <w:r>
        <w:rPr>
          <w:rFonts w:hint="eastAsia"/>
          <w:sz w:val="21"/>
          <w:szCs w:val="21"/>
          <w:lang w:val="en-US" w:eastAsia="zh-CN"/>
        </w:rPr>
        <w:t>图x-x 分布式光伏管理业务数据流图</w:t>
      </w:r>
    </w:p>
    <w:p w14:paraId="401C8A43">
      <w:pPr>
        <w:keepNext w:val="0"/>
        <w:keepLines w:val="0"/>
        <w:pageBreakBefore w:val="0"/>
        <w:widowControl w:val="0"/>
        <w:kinsoku/>
        <w:wordWrap/>
        <w:overflowPunct/>
        <w:topLinePunct w:val="0"/>
        <w:autoSpaceDE/>
        <w:autoSpaceDN/>
        <w:bidi w:val="0"/>
        <w:adjustRightInd/>
        <w:snapToGrid/>
        <w:jc w:val="center"/>
        <w:textAlignment w:val="auto"/>
        <w:rPr>
          <w:rFonts w:hint="eastAsia"/>
          <w:sz w:val="21"/>
          <w:szCs w:val="21"/>
          <w:lang w:val="en-US" w:eastAsia="zh-CN"/>
        </w:rPr>
      </w:pPr>
    </w:p>
    <w:p w14:paraId="175D07B9">
      <w:pPr>
        <w:pStyle w:val="5"/>
        <w:widowControl/>
        <w:rPr>
          <w:rFonts w:hint="eastAsia"/>
          <w:lang w:val="en-US" w:eastAsia="zh-CN"/>
        </w:rPr>
      </w:pPr>
      <w:r>
        <w:rPr>
          <w:rFonts w:hint="eastAsia"/>
          <w:lang w:val="en-US" w:eastAsia="zh-CN"/>
        </w:rPr>
        <w:t>在分布式光伏管理</w:t>
      </w:r>
      <w:r>
        <w:t>业务</w:t>
      </w:r>
      <w:r>
        <w:rPr>
          <w:rFonts w:hint="eastAsia"/>
          <w:lang w:val="en-US" w:eastAsia="zh-CN"/>
        </w:rPr>
        <w:t>中，光伏设备实时产生发电数据，对数据进行采集并校验，若数据异常（如逆变器效率低于85%），则标记为设备异常，告警运维系统监测到数据异常，运维人员查看异常数据清单。正常数据存入光伏发电数据表中。预测模型根据原始发电数据进行预测，生成光伏预测数据并写入光伏预测数据表中。数据分析师每周对比原始数据和预测数据，计算其偏差率，若连续3天偏差率超15%，则对预测模型进行优化并更新模型版本。光伏设备信息、光伏发电原始数据和预测数据被整合成光伏汇总报表递交至大屏数据展示业务，用于企业管理层对光伏数据的总览监测。</w:t>
      </w:r>
    </w:p>
    <w:p w14:paraId="12F4CC91">
      <w:pPr>
        <w:pStyle w:val="5"/>
        <w:widowControl/>
        <w:numPr>
          <w:ilvl w:val="0"/>
          <w:numId w:val="1"/>
        </w:numPr>
        <w:ind w:left="0" w:leftChars="0" w:firstLine="0" w:firstLineChars="0"/>
        <w:rPr>
          <w:rFonts w:hint="eastAsia" w:ascii="黑体" w:hAnsi="黑体" w:eastAsia="黑体" w:cs="黑体"/>
          <w:b w:val="0"/>
          <w:sz w:val="32"/>
          <w:szCs w:val="32"/>
        </w:rPr>
      </w:pPr>
      <w:bookmarkStart w:id="0" w:name="_GoBack"/>
      <w:r>
        <w:rPr>
          <w:rFonts w:hint="eastAsia" w:ascii="黑体" w:hAnsi="黑体" w:eastAsia="黑体" w:cs="黑体"/>
          <w:sz w:val="32"/>
          <w:szCs w:val="32"/>
        </w:rPr>
        <w:t>系统实现业务的角色、功能和信息需求</w:t>
      </w:r>
    </w:p>
    <w:p w14:paraId="6F3B9FA3">
      <w:pPr>
        <w:keepNext w:val="0"/>
        <w:keepLines w:val="0"/>
        <w:widowControl/>
        <w:suppressLineNumbers w:val="0"/>
        <w:spacing w:line="240" w:lineRule="auto"/>
        <w:jc w:val="center"/>
        <w:rPr>
          <w:woUserID w:val="1"/>
        </w:rPr>
      </w:pPr>
      <w:r>
        <w:drawing>
          <wp:inline distT="0" distB="0" distL="114300" distR="114300">
            <wp:extent cx="5269865" cy="6151880"/>
            <wp:effectExtent l="0" t="0" r="63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6151880"/>
                    </a:xfrm>
                    <a:prstGeom prst="rect">
                      <a:avLst/>
                    </a:prstGeom>
                    <a:noFill/>
                    <a:ln>
                      <a:noFill/>
                    </a:ln>
                  </pic:spPr>
                </pic:pic>
              </a:graphicData>
            </a:graphic>
          </wp:inline>
        </w:drawing>
      </w:r>
    </w:p>
    <w:p w14:paraId="2CB75414">
      <w:pPr>
        <w:spacing w:line="360" w:lineRule="auto"/>
        <w:ind w:firstLine="420" w:firstLineChars="0"/>
        <w:jc w:val="center"/>
        <w:rPr>
          <w:rFonts w:hint="eastAsia" w:ascii="宋体" w:hAnsi="宋体" w:eastAsia="宋体" w:cs="宋体"/>
          <w:sz w:val="21"/>
          <w:szCs w:val="21"/>
          <w:lang w:eastAsia="zh"/>
          <w:woUserID w:val="1"/>
        </w:rPr>
      </w:pPr>
      <w:r>
        <w:rPr>
          <w:rFonts w:ascii="宋体" w:hAnsi="宋体" w:eastAsia="宋体" w:cs="宋体"/>
          <w:sz w:val="21"/>
          <w:szCs w:val="21"/>
          <w:woUserID w:val="1"/>
        </w:rPr>
        <w:t xml:space="preserve">图 </w:t>
      </w:r>
      <w:r>
        <w:rPr>
          <w:rFonts w:hint="eastAsia" w:ascii="宋体" w:hAnsi="宋体" w:eastAsia="宋体" w:cs="宋体"/>
          <w:sz w:val="21"/>
          <w:szCs w:val="21"/>
          <w:lang w:eastAsia="zh"/>
          <w:woUserID w:val="1"/>
        </w:rPr>
        <w:t>x</w:t>
      </w:r>
      <w:r>
        <w:rPr>
          <w:rFonts w:ascii="宋体" w:hAnsi="宋体" w:eastAsia="宋体" w:cs="宋体"/>
          <w:sz w:val="21"/>
          <w:szCs w:val="21"/>
          <w:woUserID w:val="1"/>
        </w:rPr>
        <w:t>-</w:t>
      </w:r>
      <w:r>
        <w:rPr>
          <w:rFonts w:hint="eastAsia" w:ascii="宋体" w:hAnsi="宋体" w:eastAsia="宋体" w:cs="宋体"/>
          <w:sz w:val="21"/>
          <w:szCs w:val="21"/>
          <w:lang w:eastAsia="zh"/>
          <w:woUserID w:val="1"/>
        </w:rPr>
        <w:t>x</w:t>
      </w:r>
      <w:r>
        <w:rPr>
          <w:rFonts w:ascii="宋体" w:hAnsi="宋体" w:eastAsia="宋体" w:cs="宋体"/>
          <w:sz w:val="21"/>
          <w:szCs w:val="21"/>
          <w:woUserID w:val="1"/>
        </w:rPr>
        <w:t xml:space="preserve"> </w:t>
      </w:r>
      <w:r>
        <w:rPr>
          <w:rFonts w:hint="eastAsia"/>
          <w:sz w:val="21"/>
          <w:szCs w:val="21"/>
          <w:lang w:val="en-US" w:eastAsia="zh-CN"/>
        </w:rPr>
        <w:t>分布式光伏管理业务</w:t>
      </w:r>
      <w:r>
        <w:rPr>
          <w:rFonts w:hint="eastAsia" w:ascii="宋体" w:hAnsi="宋体" w:eastAsia="宋体" w:cs="宋体"/>
          <w:sz w:val="21"/>
          <w:szCs w:val="21"/>
          <w:lang w:eastAsia="zh"/>
          <w:woUserID w:val="1"/>
        </w:rPr>
        <w:t>用例图</w:t>
      </w:r>
    </w:p>
    <w:p w14:paraId="34282810">
      <w:pPr>
        <w:spacing w:line="360" w:lineRule="auto"/>
        <w:ind w:firstLine="420" w:firstLineChars="0"/>
        <w:jc w:val="center"/>
        <w:rPr>
          <w:rFonts w:hint="eastAsia" w:ascii="宋体" w:hAnsi="宋体" w:eastAsia="宋体" w:cs="宋体"/>
          <w:sz w:val="21"/>
          <w:szCs w:val="21"/>
          <w:lang w:eastAsia="zh"/>
          <w:woUserID w:val="1"/>
        </w:rPr>
      </w:pPr>
    </w:p>
    <w:p w14:paraId="35539F02">
      <w:pPr>
        <w:pStyle w:val="5"/>
        <w:rPr>
          <w:rFonts w:hint="eastAsia"/>
        </w:rPr>
      </w:pPr>
      <w:r>
        <w:rPr>
          <w:rFonts w:hint="eastAsia"/>
        </w:rPr>
        <w:t>本业务线用例图清晰划分了分布式光伏管理场景下3类核心角色的职责边界</w:t>
      </w:r>
      <w:r>
        <w:rPr>
          <w:rFonts w:hint="eastAsia"/>
          <w:lang w:eastAsia="zh-CN"/>
        </w:rPr>
        <w:t>。</w:t>
      </w:r>
      <w:r>
        <w:rPr>
          <w:rFonts w:hint="eastAsia"/>
        </w:rPr>
        <w:t>设备管理员负责光伏设备信息管理，具体涵盖设备编号、类型、装机容量、安装位置等基础信息的录入、更新与维护，同时需定期同步设备校准周期等关键参数，为后续发电数据采集与预测分析提供基础数据支撑</w:t>
      </w:r>
      <w:r>
        <w:rPr>
          <w:rFonts w:hint="eastAsia"/>
          <w:lang w:eastAsia="zh-CN"/>
        </w:rPr>
        <w:t>。</w:t>
      </w:r>
      <w:r>
        <w:rPr>
          <w:rFonts w:hint="eastAsia"/>
        </w:rPr>
        <w:t>运维人员承担处理异常数据与更新设备状态</w:t>
      </w:r>
      <w:r>
        <w:rPr>
          <w:rFonts w:hint="eastAsia"/>
          <w:lang w:val="en-US" w:eastAsia="zh-CN"/>
        </w:rPr>
        <w:t>功能</w:t>
      </w:r>
      <w:r>
        <w:rPr>
          <w:rFonts w:hint="eastAsia"/>
        </w:rPr>
        <w:t>，需接收系统推送的异常数据清单，现场排查设备故障后，将设备状态从异常更新为正常或待检修，实现故障的闭环处理</w:t>
      </w:r>
      <w:r>
        <w:rPr>
          <w:rFonts w:hint="eastAsia"/>
          <w:lang w:eastAsia="zh-CN"/>
        </w:rPr>
        <w:t>。</w:t>
      </w:r>
      <w:r>
        <w:rPr>
          <w:rFonts w:hint="eastAsia"/>
        </w:rPr>
        <w:t>数据分析师</w:t>
      </w:r>
      <w:r>
        <w:rPr>
          <w:rFonts w:hint="eastAsia"/>
          <w:lang w:val="en-US" w:eastAsia="zh-CN"/>
        </w:rPr>
        <w:t>负责</w:t>
      </w:r>
      <w:r>
        <w:rPr>
          <w:rFonts w:hint="eastAsia"/>
        </w:rPr>
        <w:t>预测偏差分析与预测模型优化，需调取同一时段的预测发电量与实际发电数据，计算偏差率，针对连续3天偏差率超15%的设备，调整预测模型参数完成优化，提升发电量预测精度。</w:t>
      </w:r>
    </w:p>
    <w:p w14:paraId="68BDD415">
      <w:pPr>
        <w:pStyle w:val="5"/>
        <w:rPr>
          <w:rFonts w:hint="eastAsia"/>
        </w:rPr>
      </w:pPr>
      <w:r>
        <w:rPr>
          <w:rFonts w:hint="eastAsia"/>
        </w:rPr>
        <w:t>信息需求方面，用例所需的输入信息包括：设备管理员需获取设备</w:t>
      </w:r>
      <w:r>
        <w:rPr>
          <w:rFonts w:hint="eastAsia"/>
          <w:lang w:val="en-US" w:eastAsia="zh-CN"/>
        </w:rPr>
        <w:t>实际信息</w:t>
      </w:r>
      <w:r>
        <w:rPr>
          <w:rFonts w:hint="eastAsia"/>
        </w:rPr>
        <w:t>资料；运维人员需接收系统推送的异常数据清单、设备当前运行状态；数据分析师需调取光伏发电数据表的实际发电量、光伏预测数据表的预测发电量及模型版本信息。处理过程所需的信息包括：设备信息管理需关联设备台账；异常处理需匹配设备故障</w:t>
      </w:r>
      <w:r>
        <w:rPr>
          <w:rFonts w:hint="eastAsia"/>
          <w:lang w:val="en-US" w:eastAsia="zh-CN"/>
        </w:rPr>
        <w:t>识别</w:t>
      </w:r>
      <w:r>
        <w:rPr>
          <w:rFonts w:hint="eastAsia"/>
        </w:rPr>
        <w:t>与解决方案；偏差分析需调用历史数据的偏差率阈值标准。输出信息则包括：设备管理员生成的光伏设备信息台账；运维人员更新后的设备状态数据、故障处理记录；数据分析师输出的预测偏差分析、优化后的预测模型参数</w:t>
      </w:r>
      <w:r>
        <w:rPr>
          <w:rFonts w:hint="eastAsia"/>
          <w:lang w:val="en-US" w:eastAsia="zh-CN"/>
        </w:rPr>
        <w:t>和版本</w:t>
      </w:r>
      <w:r>
        <w:rPr>
          <w:rFonts w:hint="eastAsia"/>
        </w:rPr>
        <w:t>。</w:t>
      </w:r>
    </w:p>
    <w:bookmarkEnd w:id="0"/>
    <w:p w14:paraId="456F5060">
      <w:pPr>
        <w:pStyle w:val="3"/>
        <w:numPr>
          <w:ilvl w:val="0"/>
          <w:numId w:val="1"/>
        </w:numPr>
        <w:ind w:left="0" w:leftChars="0" w:firstLine="0" w:firstLineChars="0"/>
        <w:rPr>
          <w:rFonts w:hint="eastAsia" w:ascii="黑体" w:hAnsi="黑体" w:eastAsia="黑体" w:cs="黑体"/>
          <w:b w:val="0"/>
          <w:sz w:val="32"/>
          <w:szCs w:val="32"/>
        </w:rPr>
      </w:pPr>
      <w:r>
        <w:rPr>
          <w:sz w:val="32"/>
          <w:szCs w:val="32"/>
        </w:rPr>
        <w:t>数据字典</w:t>
      </w:r>
    </w:p>
    <w:tbl>
      <w:tblPr>
        <w:tblStyle w:val="6"/>
        <w:tblW w:w="1089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91"/>
        <w:gridCol w:w="1564"/>
        <w:gridCol w:w="2373"/>
        <w:gridCol w:w="756"/>
        <w:gridCol w:w="3710"/>
      </w:tblGrid>
      <w:tr w14:paraId="57F33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2491" w:type="dxa"/>
            <w:tcBorders>
              <w:top w:val="single" w:color="000000" w:themeColor="dark1" w:sz="8" w:space="0"/>
              <w:left w:val="nil"/>
              <w:bottom w:val="single" w:color="000000" w:themeColor="dark1" w:sz="8" w:space="0"/>
              <w:right w:val="single" w:color="999999" w:themeColor="dark1" w:themeTint="66" w:sz="6" w:space="0"/>
            </w:tcBorders>
            <w:shd w:val="clear" w:color="auto" w:fill="FFFFFF"/>
            <w:vAlign w:val="center"/>
          </w:tcPr>
          <w:p w14:paraId="461365A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数据项名</w:t>
            </w:r>
          </w:p>
          <w:p w14:paraId="19FCDD0D">
            <w:pPr>
              <w:keepNext w:val="0"/>
              <w:keepLines w:val="0"/>
              <w:widowControl/>
              <w:suppressLineNumbers w:val="0"/>
              <w:snapToGrid w:val="0"/>
              <w:ind w:left="0" w:leftChars="0" w:right="0" w:rightChars="0" w:firstLine="0" w:firstLineChars="0"/>
              <w:jc w:val="center"/>
              <w:textAlignment w:val="center"/>
              <w:rPr>
                <w:rFonts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（别名）</w:t>
            </w:r>
          </w:p>
        </w:tc>
        <w:tc>
          <w:tcPr>
            <w:tcW w:w="1564"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6E5963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数据类型</w:t>
            </w:r>
          </w:p>
        </w:tc>
        <w:tc>
          <w:tcPr>
            <w:tcW w:w="2373"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3CB11BB4">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取值约束</w:t>
            </w:r>
          </w:p>
        </w:tc>
        <w:tc>
          <w:tcPr>
            <w:tcW w:w="756" w:type="dxa"/>
            <w:tcBorders>
              <w:top w:val="single" w:color="000000" w:themeColor="dark1" w:sz="8" w:space="0"/>
              <w:left w:val="single" w:color="999999" w:themeColor="dark1" w:themeTint="66" w:sz="6" w:space="0"/>
              <w:bottom w:val="single" w:color="000000" w:themeColor="dark1" w:sz="8" w:space="0"/>
              <w:right w:val="single" w:color="999999" w:themeColor="dark1" w:themeTint="66" w:sz="6" w:space="0"/>
            </w:tcBorders>
            <w:shd w:val="clear" w:color="auto" w:fill="FFFFFF"/>
            <w:vAlign w:val="center"/>
          </w:tcPr>
          <w:p w14:paraId="00DB8A7C">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含义说明</w:t>
            </w:r>
          </w:p>
        </w:tc>
        <w:tc>
          <w:tcPr>
            <w:tcW w:w="3710" w:type="dxa"/>
            <w:tcBorders>
              <w:top w:val="single" w:color="000000" w:themeColor="dark1" w:sz="8" w:space="0"/>
              <w:left w:val="single" w:color="999999" w:themeColor="dark1" w:themeTint="66" w:sz="6" w:space="0"/>
              <w:bottom w:val="single" w:color="000000" w:themeColor="dark1" w:sz="8" w:space="0"/>
              <w:right w:val="nil"/>
            </w:tcBorders>
            <w:shd w:val="clear" w:color="auto" w:fill="FFFFFF"/>
            <w:vAlign w:val="center"/>
          </w:tcPr>
          <w:p w14:paraId="47F3C825">
            <w:pPr>
              <w:keepNext w:val="0"/>
              <w:keepLines w:val="0"/>
              <w:widowControl/>
              <w:suppressLineNumbers w:val="0"/>
              <w:snapToGrid w:val="0"/>
              <w:ind w:left="0" w:leftChars="0" w:right="0" w:rightChars="0" w:firstLine="0" w:firstLineChars="0"/>
              <w:jc w:val="center"/>
              <w:textAlignment w:val="center"/>
              <w:rPr>
                <w:rFonts w:hint="eastAsia" w:ascii="微软雅黑" w:hAnsi="微软雅黑" w:eastAsia="微软雅黑" w:cs="微软雅黑"/>
                <w:b/>
                <w:bCs/>
                <w:i w:val="0"/>
                <w:iCs w:val="0"/>
                <w:color w:val="000000" w:themeColor="dark1"/>
                <w:sz w:val="20"/>
                <w:szCs w:val="20"/>
                <w:u w:val="none"/>
                <w14:textFill>
                  <w14:solidFill>
                    <w14:schemeClr w14:val="dk1"/>
                  </w14:solidFill>
                </w14:textFill>
              </w:rPr>
            </w:pPr>
            <w:r>
              <w:rPr>
                <w:rFonts w:hint="eastAsia" w:ascii="微软雅黑" w:hAnsi="微软雅黑" w:eastAsia="微软雅黑" w:cs="微软雅黑"/>
                <w:b/>
                <w:bCs/>
                <w:i w:val="0"/>
                <w:iCs w:val="0"/>
                <w:color w:val="000000" w:themeColor="dark1"/>
                <w:kern w:val="0"/>
                <w:sz w:val="20"/>
                <w:szCs w:val="20"/>
                <w:u w:val="none"/>
                <w:lang w:val="en-US" w:eastAsia="zh-CN" w:bidi="ar"/>
                <w14:textFill>
                  <w14:solidFill>
                    <w14:schemeClr w14:val="dk1"/>
                  </w14:solidFill>
                </w14:textFill>
              </w:rPr>
              <w:t>与其他数据项的关系</w:t>
            </w:r>
          </w:p>
        </w:tc>
      </w:tr>
      <w:tr w14:paraId="7B74B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auto"/>
            <w:vAlign w:val="center"/>
          </w:tcPr>
          <w:p w14:paraId="38E1733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grid_point_id（并网点编号）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auto"/>
            <w:vAlign w:val="center"/>
          </w:tcPr>
          <w:p w14:paraId="6805723B">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auto"/>
            <w:vAlign w:val="center"/>
          </w:tcPr>
          <w:p w14:paraId="4064D12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格式：GP-XXXXX（前缀 + 5 位流水号）</w:t>
            </w:r>
          </w:p>
          <w:p w14:paraId="2DF79EA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示例：GP-00001</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auto"/>
            <w:vAlign w:val="center"/>
          </w:tcPr>
          <w:p w14:paraId="7989CCC1">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光伏设备并入电网的节点标识，用于按节点统计。</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auto"/>
            <w:vAlign w:val="center"/>
          </w:tcPr>
          <w:p w14:paraId="5A01F164">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xml:space="preserve">• 关联 </w:t>
            </w:r>
          </w:p>
          <w:p w14:paraId="1370E40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与光伏发电和预测数据表的grid_point_id相对应。</w:t>
            </w:r>
          </w:p>
        </w:tc>
      </w:tr>
      <w:tr w14:paraId="57CF4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0389AE7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communication_protocol（通信协议）</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CDEA11B">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807518F">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枚举值：“RS485”、“Lora”</w:t>
            </w:r>
          </w:p>
          <w:p w14:paraId="72E6CE2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示例：RS485</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AD55E0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设备与系统的数据传输协议，用于适配采集接口。</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5C5F34D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无关联</w:t>
            </w:r>
          </w:p>
          <w:p w14:paraId="23219BF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仅作为数据采集的配置参数。</w:t>
            </w:r>
          </w:p>
        </w:tc>
      </w:tr>
      <w:tr w14:paraId="3F6C2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315FB84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device_id（设备编号）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4C08690">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5EA946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格式：TTXXXXX（类型码 + 5 位流水号）</w:t>
            </w:r>
          </w:p>
          <w:p w14:paraId="12EBFF1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类型码 (TT)：IN = 逆变器、BO = 汇流箱</w:t>
            </w:r>
          </w:p>
          <w:p w14:paraId="05D725A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示例：IN00001、BO00002</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8D04BD6">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光伏设备的唯一标识符，区分不同类型的光伏设备。</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3E2D32C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主键</w:t>
            </w:r>
          </w:p>
          <w:p w14:paraId="3B9C78D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光伏设备信息表的唯一标识。</w:t>
            </w:r>
          </w:p>
          <w:p w14:paraId="6F866A7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外键引用</w:t>
            </w:r>
          </w:p>
          <w:p w14:paraId="6FA7AA0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被光伏发电数据表（pv_generation）引用，关联设备基础信息与发电数据。</w:t>
            </w:r>
          </w:p>
        </w:tc>
      </w:tr>
      <w:tr w14:paraId="5A89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396392B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device_type（设备类型）</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0EE2FF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440986F">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 xml:space="preserve">• </w:t>
            </w:r>
            <w:r>
              <w:rPr>
                <w:rFonts w:hint="eastAsia" w:ascii="微软雅黑" w:hAnsi="微软雅黑" w:eastAsia="微软雅黑" w:cs="微软雅黑"/>
                <w:i w:val="0"/>
                <w:iCs w:val="0"/>
                <w:caps w:val="0"/>
                <w:color w:val="000000"/>
                <w:spacing w:val="0"/>
                <w:kern w:val="0"/>
                <w:sz w:val="18"/>
                <w:szCs w:val="18"/>
                <w:lang w:val="en-US" w:eastAsia="zh-CN" w:bidi="ar"/>
              </w:rPr>
              <w:t>枚举值：“逆变器”、“汇流箱”</w:t>
            </w:r>
          </w:p>
          <w:p w14:paraId="6CF147A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示例：逆变器</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3B7835B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标识光伏设备的类别，区分功能不同的设备。</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23A5C47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关联约束</w:t>
            </w:r>
          </w:p>
          <w:p w14:paraId="2043E47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匹配光伏发电数据表的专属属性（逆变器对应inverter_efficiency，汇流箱对应 combiner_voltage/combiner_current）。</w:t>
            </w:r>
          </w:p>
        </w:tc>
      </w:tr>
      <w:tr w14:paraId="6EA0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75997FA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install_location（安装位置）</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1666BF0">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NVARCHAR(50)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F41F24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格式：“屋顶 [区域] 区 -[排 / 列]”</w:t>
            </w:r>
          </w:p>
          <w:p w14:paraId="7CA87F0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示例：屋顶A区-1排</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35F677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光伏设备的物理安装位置，用于运维定位。</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5966323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无关联</w:t>
            </w:r>
          </w:p>
          <w:p w14:paraId="0EA8431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仅作为设备基础描述字段。</w:t>
            </w:r>
          </w:p>
        </w:tc>
      </w:tr>
      <w:tr w14:paraId="2BD95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65340C3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capacity_kwp（装机容量）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632421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DECIMAL(5,1)</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D15EC8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范围：0.0–999.9（单位：kWP）</w:t>
            </w:r>
          </w:p>
          <w:p w14:paraId="3DC7B66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示例：50.0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B6B079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光伏设备的额定装机功率，是发电量计算的基准参数。</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3D18E26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无关联</w:t>
            </w:r>
          </w:p>
          <w:p w14:paraId="5C8B290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作为预测模型的输入参数之一。</w:t>
            </w:r>
          </w:p>
        </w:tc>
      </w:tr>
      <w:tr w14:paraId="040DB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190C8B21">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commission_time（投运时间）</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AE29D1F">
            <w:pPr>
              <w:keepNext w:val="0"/>
              <w:keepLines w:val="0"/>
              <w:widowControl/>
              <w:suppressLineNumbers w:val="0"/>
              <w:spacing w:before="0" w:beforeAutospacing="0" w:after="0" w:afterAutospacing="0" w:line="280" w:lineRule="atLeast"/>
              <w:ind w:left="0" w:leftChars="0" w:right="0" w:rightChars="0" w:firstLine="0" w:firstLineChars="0"/>
              <w:jc w:val="left"/>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datetime2(0)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F67B86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格式：YYYY-MM-DD HH:MM:SS</w:t>
            </w:r>
          </w:p>
          <w:p w14:paraId="7A1F80F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示例：2023-06-15 09:00:00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55F69D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设备正式投入运行的时间，用于统计运行时长。</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5C9ECF7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4E237E5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与calibration_cycle_month 共同计算下次校准时间。</w:t>
            </w:r>
          </w:p>
        </w:tc>
      </w:tr>
      <w:tr w14:paraId="242E2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702BFE5B">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calibration_cycle_month（校准周期）</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F3EDAC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INT</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13A6F5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范围：1–24（单位：月）• 示例：6</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65E2EF7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设备的校准间隔周期，用于触发校准提醒。</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31B4F04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1713F432">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与commission_time 共同计算下次校准时间。</w:t>
            </w:r>
          </w:p>
        </w:tc>
      </w:tr>
      <w:tr w14:paraId="258CD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1F48475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operation_status（运行状态）</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E16107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NVARCHAR(5)</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808E6A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枚举值：“正常”、“故障”、“离线”</w:t>
            </w:r>
          </w:p>
          <w:p w14:paraId="5B69F64F">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示例：正常</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F976E2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标识设备当前的运行状态，用于异常管理。</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3A9D06D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0E70E12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状态为“故障 / 离线”时，限制光伏发电数据表接收该设备数据。</w:t>
            </w:r>
          </w:p>
        </w:tc>
      </w:tr>
      <w:tr w14:paraId="06344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432ED9E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record_id（数据编号）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770767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6BAE8B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格式：REC-YYYYMMDD-XXXXX（前缀+日期+流水号）</w:t>
            </w:r>
          </w:p>
          <w:p w14:paraId="46F970E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示例：REC-20251202-00001</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540BE6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每条发电数据的唯一标识符，用于数据追溯。</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3A5DEF0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主键</w:t>
            </w:r>
          </w:p>
          <w:p w14:paraId="22EDB07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光伏发电数据表的唯一标识。</w:t>
            </w:r>
          </w:p>
        </w:tc>
      </w:tr>
      <w:tr w14:paraId="0E25F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3610FDE1">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device_id（设备编号）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78B0FB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1C788CF">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同光伏设备信息表的 device_id 约束</w:t>
            </w:r>
          </w:p>
          <w:p w14:paraId="376A99E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示例：IN00001</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F0F23D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关联对应的光伏设备，标识数据所属设备。</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6B4FA89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外键引用</w:t>
            </w:r>
          </w:p>
          <w:p w14:paraId="2FBA802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引用光伏设备信息表的device_id，关联设备与发电数据。</w:t>
            </w:r>
          </w:p>
        </w:tc>
      </w:tr>
      <w:tr w14:paraId="43AEA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1254494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grid_point_id（并网点编号）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0308821">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D85953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格式：GP-XXXXX（前缀 + 5 位流水号）</w:t>
            </w:r>
          </w:p>
          <w:p w14:paraId="32D8BFE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示例：GP-00001</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A3B368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对应的光伏设备并入电网的节点标识，用于按节点统计。</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54D06B87">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xml:space="preserve">• 关联 </w:t>
            </w:r>
          </w:p>
          <w:p w14:paraId="7715289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与光伏预测数据表的grid_point_id一致。</w:t>
            </w:r>
          </w:p>
        </w:tc>
      </w:tr>
      <w:tr w14:paraId="31A60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0DCA417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collected_at（采集时间）</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01CE754">
            <w:pPr>
              <w:keepNext w:val="0"/>
              <w:keepLines w:val="0"/>
              <w:widowControl/>
              <w:suppressLineNumbers w:val="0"/>
              <w:spacing w:before="0" w:beforeAutospacing="0" w:after="0" w:afterAutospacing="0" w:line="280" w:lineRule="atLeast"/>
              <w:ind w:left="0" w:leftChars="0" w:right="0" w:rightChars="0" w:firstLine="0" w:firstLineChars="0"/>
              <w:jc w:val="left"/>
              <w:rPr>
                <w:rFonts w:hint="default"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b w:val="0"/>
                <w:i w:val="0"/>
                <w:iCs w:val="0"/>
                <w:color w:val="000000"/>
                <w:kern w:val="0"/>
                <w:sz w:val="18"/>
                <w:szCs w:val="18"/>
                <w:u w:val="none"/>
                <w:lang w:val="en-US" w:eastAsia="zh-CN" w:bidi="ar"/>
              </w:rPr>
              <w:t>datetime2(0)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7603F4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格式：YYYY-MM-DD HH:MM:SS</w:t>
            </w:r>
          </w:p>
          <w:p w14:paraId="3C40A92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采集间隔：5分钟/次</w:t>
            </w:r>
          </w:p>
          <w:p w14:paraId="7444D35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示例：2025-12-02 10:05:00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77412C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发电数据的采集时间，用于时间维度分析。</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275E45E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345A855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匹配光伏预测数据表的 forecast_date+forecast_period，实现数据时段对齐。</w:t>
            </w:r>
          </w:p>
        </w:tc>
      </w:tr>
      <w:tr w14:paraId="17B7E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57EB3AE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generation_kwh（发电量）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69A549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C3DE53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范围：-99999.99–99999.99（单位：kWh）</w:t>
            </w:r>
          </w:p>
          <w:p w14:paraId="7E11CAB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示例：25.50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557A00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采集时段内设备的总发电量，核心监测指标。</w:t>
            </w:r>
          </w:p>
          <w:p w14:paraId="4DAFBCDF">
            <w:pPr>
              <w:keepNext w:val="0"/>
              <w:keepLines w:val="0"/>
              <w:widowControl/>
              <w:suppressLineNumbers w:val="0"/>
              <w:spacing w:before="0" w:beforeAutospacing="0" w:after="0" w:afterAutospacing="0" w:line="280" w:lineRule="atLeast"/>
              <w:ind w:left="0" w:leftChars="0" w:right="0" w:rightChars="0" w:firstLine="0" w:firstLineChars="0"/>
              <w:jc w:val="left"/>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发电量为零或正值时正常，为负值时视为异常。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0A98BC6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28D3879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是feeding_kwh 与selfuse_kwh 的总和；同步至光伏预测数据表的 actual_generation_kwh。</w:t>
            </w:r>
          </w:p>
        </w:tc>
      </w:tr>
      <w:tr w14:paraId="0C15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5B26F890">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feeding_kwh（上网电量）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86F703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9A6E58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范围：-99999.99–99999.99（单位：kWh）</w:t>
            </w:r>
          </w:p>
          <w:p w14:paraId="7A54189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不大于generation_kwh</w:t>
            </w:r>
          </w:p>
          <w:p w14:paraId="244CE60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示例：10.20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809E25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采集时段内并入电网的电量，用于收益核算。</w:t>
            </w:r>
          </w:p>
          <w:p w14:paraId="7FA5C0B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上网电量为零或正值时正常，为负值时视为异常。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7BC8D77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3A082CF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是generation_kwh的子集，与 selfuse_kwh 共同构成总发电量。</w:t>
            </w:r>
          </w:p>
        </w:tc>
      </w:tr>
      <w:tr w14:paraId="44C22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6DAE20E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selfuse_kwh（自用电量）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71788D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1A1AAF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范围：-99999.99–99999.99（单位：kWh）</w:t>
            </w:r>
          </w:p>
          <w:p w14:paraId="775BD80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不大于generation_kwh</w:t>
            </w:r>
          </w:p>
          <w:p w14:paraId="42DF289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示例：15.30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6578580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采集时段内企业自耗的电量，用于成本核算。</w:t>
            </w:r>
          </w:p>
          <w:p w14:paraId="53051B3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自用电量为零或正值时正常，为负值时视为异常。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50B1C02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0650B37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是generation_kwh的子集，与 feeding_kwh 共同构成总发电量。</w:t>
            </w:r>
          </w:p>
        </w:tc>
      </w:tr>
      <w:tr w14:paraId="3CFA2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224FAF6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inverter_efficiency（逆变器效率）</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9201F9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DECIMAL(5,2)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F84993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范围：0.00–100.00（单位：%）</w:t>
            </w:r>
          </w:p>
          <w:p w14:paraId="478547B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仅逆变器设备有值，汇流箱为NULL</w:t>
            </w:r>
          </w:p>
          <w:p w14:paraId="243937A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示例：95.20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B65DEB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逆变器的能量转换效率，评估设备性能。</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73EBC202">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关联约束</w:t>
            </w:r>
          </w:p>
          <w:p w14:paraId="23EC275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仅当 device_type 为“逆变器”时填充。</w:t>
            </w:r>
          </w:p>
        </w:tc>
      </w:tr>
      <w:tr w14:paraId="2E284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5AF6569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combiner_voltage（汇流箱组串电压）</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0878745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DECIMAL(4,1)</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F648DD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范围：-999.9–999.9（单位：V）</w:t>
            </w:r>
          </w:p>
          <w:p w14:paraId="1511028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仅汇流箱设备有值，逆变器为NULL</w:t>
            </w:r>
          </w:p>
          <w:p w14:paraId="2D62B37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示例：380.0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06180FD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汇流箱组串的电压值，监测光伏板状态。</w:t>
            </w:r>
          </w:p>
          <w:p w14:paraId="615FDED6">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电压为零或正值时正常，为负值时视为异常。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277727C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关联约束</w:t>
            </w:r>
          </w:p>
          <w:p w14:paraId="039D5AE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仅当device_type 为“汇流箱”时填充。</w:t>
            </w:r>
          </w:p>
        </w:tc>
      </w:tr>
      <w:tr w14:paraId="762F3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0BA8F3EB">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combiner_current（汇流箱组串电流）</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4C93E9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DECIMAL(4,1)</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26DC5C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范围：-999.9–999.9（单位：A）</w:t>
            </w:r>
          </w:p>
          <w:p w14:paraId="741AEFA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仅汇流箱设备有值，逆变器为NULL</w:t>
            </w:r>
          </w:p>
          <w:p w14:paraId="3380DF9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示例：15.5</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73A7EC23">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汇流箱组串的电流值，监测光伏板状态。</w:t>
            </w:r>
          </w:p>
          <w:p w14:paraId="631FF48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电流为零或正值时正常，为负值时视为异常。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3CF3537D">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关联约束</w:t>
            </w:r>
          </w:p>
          <w:p w14:paraId="10F5B30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仅当device_type 为“汇流箱”时填充。</w:t>
            </w:r>
          </w:p>
        </w:tc>
      </w:tr>
      <w:tr w14:paraId="62A3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0773F37C">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grid_point_id（并网点编号）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9C6AEB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06B1255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同光伏发电数据表的 grid_point_id 约束</w:t>
            </w:r>
          </w:p>
          <w:p w14:paraId="44C30A6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示例：GP-00001</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3B84A8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预测数据对应的并网点标识，用于按节点汇总。</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2DD2A56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06877D5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匹配光伏发电数据表的grid_point_id，实现数据节点对齐。</w:t>
            </w:r>
          </w:p>
        </w:tc>
      </w:tr>
      <w:tr w14:paraId="5F28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277EB91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forecast_date（预测日期）</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66B128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DATE</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E0041C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格式：YYYY-MM-DD</w:t>
            </w:r>
          </w:p>
          <w:p w14:paraId="68E8FB8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示例：2025-12-03</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5CC789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预测数据对应的日期，用于匹配实际数据。</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25D35C2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4ECBE4A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匹配collected_at的日期部分，实现数据日期对齐。</w:t>
            </w:r>
          </w:p>
        </w:tc>
      </w:tr>
      <w:tr w14:paraId="270A1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775D253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forecast_period（预测时段）</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438B6137">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D7FA6B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格式：“HH:MM-HH:MM”（1 小时 / 段）</w:t>
            </w:r>
          </w:p>
          <w:p w14:paraId="7E13E69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示例：08:00-09:00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6A8BB06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预测数据对应的小时时段，用于匹配实际数据。</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324BC414">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1AE6C6F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匹配collected_at的时间部分，实现数据时段对齐。</w:t>
            </w:r>
          </w:p>
        </w:tc>
      </w:tr>
      <w:tr w14:paraId="1AC23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2A88591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predicted_generation_kwh（预测发电量）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40FF232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F613F5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范围：-99999.9–99999.99（单位：kWh）</w:t>
            </w:r>
          </w:p>
          <w:p w14:paraId="0C74C149">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示例：26.00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1CA7350">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预测时段内的理论发电量，模型输出结果。</w:t>
            </w:r>
          </w:p>
          <w:p w14:paraId="52DC2E0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预测发电量为零或正值时正常，为负值时视为异常。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0266A09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7F999982">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与actual_generation_kwh共同计算 deviation_rate。</w:t>
            </w:r>
          </w:p>
        </w:tc>
      </w:tr>
      <w:tr w14:paraId="58998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0DBDD93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actual_generation_kwh（实际发电量）</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A03F40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DECIMAL(8,2)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10E7AAA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范围：-99999.99–99999.99（单位：kWh）</w:t>
            </w:r>
          </w:p>
          <w:p w14:paraId="7E917DF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从光伏发电数据表同步</w:t>
            </w:r>
          </w:p>
          <w:p w14:paraId="6DAA183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示例：25.50</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37287A5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预测时段对应的实际发电量，验证预测精度。</w:t>
            </w:r>
          </w:p>
          <w:p w14:paraId="1BFBA09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实际发电量为零或正值时正常，为负值时视为异常。</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themeFill="dark1" w:themeFillTint="19"/>
            <w:vAlign w:val="center"/>
          </w:tcPr>
          <w:p w14:paraId="2BF0448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1FD3E17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从光伏发电数据表的generation_kwh同步；与predicted_generation_kwh共同计算deviation_rate。</w:t>
            </w:r>
          </w:p>
        </w:tc>
      </w:tr>
      <w:tr w14:paraId="1700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7740438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deviation_rate（偏差率）</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668C351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DECIMAL(5,2)</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018143F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范围：-100.00–100.00（单位：%）</w:t>
            </w:r>
          </w:p>
          <w:p w14:paraId="241A5C2C">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公式：(预测-实际)/ 实际 ×100%</w:t>
            </w:r>
          </w:p>
          <w:p w14:paraId="4197C91B">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示例：1.96</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121F229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预测与实际数据的偏差程度，评估模型精度。</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121EB97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048A62F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非表中字段，由 predicted_generation</w:t>
            </w:r>
          </w:p>
          <w:p w14:paraId="35B98527">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_kwh和 actual_generation_kwh计算得出，仅在视图中存在；超阈值触发模型优化。</w:t>
            </w:r>
          </w:p>
        </w:tc>
      </w:tr>
      <w:tr w14:paraId="2E260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themeFill="dark1" w:themeFillTint="19"/>
            <w:vAlign w:val="center"/>
          </w:tcPr>
          <w:p w14:paraId="69D375B9">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model_version（预测模型版本）</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519FE8A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2F84CD10">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格式：V [主版本].[次版本]• 示例：V2.1</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themeFill="dark1" w:themeFillTint="19"/>
            <w:vAlign w:val="center"/>
          </w:tcPr>
          <w:p w14:paraId="72F8256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生成预测数据的模型版本，用于模型迭代。</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vAlign w:val="center"/>
          </w:tcPr>
          <w:p w14:paraId="6BBD3B0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关联</w:t>
            </w:r>
          </w:p>
          <w:p w14:paraId="3D79C12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关联数据分析师的“预测模型优化”操作，模型更新后同步版本号。</w:t>
            </w:r>
          </w:p>
        </w:tc>
      </w:tr>
      <w:tr w14:paraId="6B9AC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FFFFFF"/>
            <w:vAlign w:val="center"/>
          </w:tcPr>
          <w:p w14:paraId="3A6F85BF">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forecast_id（预测编号）</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5C22F33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NVARCHAR(20)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255DB765">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格式：FOR-YYYYMMDD-XXXXX（前缀+日期+流水号）</w:t>
            </w:r>
          </w:p>
          <w:p w14:paraId="6F67AEA6">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示例：FOR-20251203-00001</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vAlign w:val="center"/>
          </w:tcPr>
          <w:p w14:paraId="36D873C3">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每条预测数据的唯一标识符，用于数据管理。</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FFFFFF"/>
            <w:vAlign w:val="center"/>
          </w:tcPr>
          <w:p w14:paraId="4FFF4F11">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主键</w:t>
            </w:r>
          </w:p>
          <w:p w14:paraId="5CD85FBA">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b w:val="0"/>
                <w:i w:val="0"/>
                <w:iCs w:val="0"/>
                <w:color w:val="000000"/>
                <w:kern w:val="0"/>
                <w:sz w:val="18"/>
                <w:szCs w:val="18"/>
                <w:u w:val="none"/>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光伏预测数据表的唯一标识。</w:t>
            </w:r>
          </w:p>
        </w:tc>
      </w:tr>
      <w:tr w14:paraId="011D1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E5E5E5"/>
            <w:vAlign w:val="center"/>
          </w:tcPr>
          <w:p w14:paraId="189A1404">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spacing w:val="0"/>
                <w:sz w:val="18"/>
                <w:szCs w:val="18"/>
                <w:shd w:val="clear" w:fill="FFFFFF"/>
              </w:rPr>
              <w:t>data_integrity（数据完整性）</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vAlign w:val="center"/>
          </w:tcPr>
          <w:p w14:paraId="08B65EB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spacing w:val="0"/>
                <w:sz w:val="18"/>
                <w:szCs w:val="18"/>
                <w:shd w:val="clear" w:fill="FFFFFF"/>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vAlign w:val="center"/>
          </w:tcPr>
          <w:p w14:paraId="58C4ACA2">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spacing w:val="0"/>
                <w:sz w:val="18"/>
                <w:szCs w:val="18"/>
                <w:shd w:val="clear" w:fill="FFFFFF"/>
              </w:rPr>
            </w:pPr>
            <w:r>
              <w:rPr>
                <w:rFonts w:hint="eastAsia" w:ascii="微软雅黑" w:hAnsi="微软雅黑" w:eastAsia="微软雅黑" w:cs="微软雅黑"/>
                <w:i w:val="0"/>
                <w:iCs w:val="0"/>
                <w:caps w:val="0"/>
                <w:color w:val="000000"/>
                <w:spacing w:val="0"/>
                <w:kern w:val="0"/>
                <w:sz w:val="18"/>
                <w:szCs w:val="18"/>
                <w:lang w:val="en-US" w:eastAsia="zh-CN" w:bidi="ar"/>
              </w:rPr>
              <w:t xml:space="preserve">• </w:t>
            </w:r>
            <w:r>
              <w:rPr>
                <w:rFonts w:hint="eastAsia" w:ascii="微软雅黑" w:hAnsi="微软雅黑" w:eastAsia="微软雅黑" w:cs="微软雅黑"/>
                <w:i w:val="0"/>
                <w:iCs w:val="0"/>
                <w:caps w:val="0"/>
                <w:spacing w:val="0"/>
                <w:sz w:val="18"/>
                <w:szCs w:val="18"/>
                <w:shd w:val="clear" w:fill="FFFFFF"/>
              </w:rPr>
              <w:t>枚举值：“完整”“</w:t>
            </w:r>
            <w:r>
              <w:rPr>
                <w:rFonts w:hint="eastAsia" w:ascii="微软雅黑" w:hAnsi="微软雅黑" w:eastAsia="微软雅黑" w:cs="微软雅黑"/>
                <w:i w:val="0"/>
                <w:iCs w:val="0"/>
                <w:caps w:val="0"/>
                <w:spacing w:val="0"/>
                <w:sz w:val="18"/>
                <w:szCs w:val="18"/>
                <w:shd w:val="clear" w:fill="FFFFFF"/>
                <w:lang w:val="en-US" w:eastAsia="zh-CN"/>
              </w:rPr>
              <w:t>不完整</w:t>
            </w:r>
            <w:r>
              <w:rPr>
                <w:rFonts w:hint="eastAsia" w:ascii="微软雅黑" w:hAnsi="微软雅黑" w:eastAsia="微软雅黑" w:cs="微软雅黑"/>
                <w:i w:val="0"/>
                <w:iCs w:val="0"/>
                <w:caps w:val="0"/>
                <w:spacing w:val="0"/>
                <w:sz w:val="18"/>
                <w:szCs w:val="18"/>
                <w:shd w:val="clear" w:fill="FFFFFF"/>
              </w:rPr>
              <w:t>”</w:t>
            </w:r>
          </w:p>
          <w:p w14:paraId="07BFA3E2">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xml:space="preserve">• </w:t>
            </w:r>
            <w:r>
              <w:rPr>
                <w:rFonts w:hint="eastAsia" w:ascii="微软雅黑" w:hAnsi="微软雅黑" w:eastAsia="微软雅黑" w:cs="微软雅黑"/>
                <w:i w:val="0"/>
                <w:iCs w:val="0"/>
                <w:caps w:val="0"/>
                <w:spacing w:val="0"/>
                <w:sz w:val="18"/>
                <w:szCs w:val="18"/>
                <w:shd w:val="clear" w:fill="FFFFFF"/>
              </w:rPr>
              <w:t>示例：完整</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E5E5E5"/>
            <w:vAlign w:val="center"/>
          </w:tcPr>
          <w:p w14:paraId="2CF05238">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spacing w:val="0"/>
                <w:sz w:val="18"/>
                <w:szCs w:val="18"/>
                <w:shd w:val="clear" w:fill="FFFFFF"/>
              </w:rPr>
            </w:pPr>
            <w:r>
              <w:rPr>
                <w:rFonts w:hint="eastAsia" w:ascii="微软雅黑" w:hAnsi="微软雅黑" w:eastAsia="微软雅黑" w:cs="微软雅黑"/>
                <w:i w:val="0"/>
                <w:iCs w:val="0"/>
                <w:caps w:val="0"/>
                <w:spacing w:val="0"/>
                <w:sz w:val="18"/>
                <w:szCs w:val="18"/>
                <w:shd w:val="clear" w:fill="FFFFFF"/>
              </w:rPr>
              <w:t>标识单条发电数据的字段完整性与有效性，用于筛选合格数据进行分析。</w:t>
            </w:r>
          </w:p>
          <w:p w14:paraId="7760F97D">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spacing w:val="0"/>
                <w:sz w:val="18"/>
                <w:szCs w:val="18"/>
                <w:shd w:val="clear" w:fill="FFFFFF"/>
                <w:lang w:val="en-US" w:eastAsia="zh-CN"/>
              </w:rPr>
            </w:pPr>
            <w:r>
              <w:rPr>
                <w:rFonts w:hint="eastAsia" w:ascii="微软雅黑" w:hAnsi="微软雅黑" w:eastAsia="微软雅黑" w:cs="微软雅黑"/>
                <w:i w:val="0"/>
                <w:iCs w:val="0"/>
                <w:caps w:val="0"/>
                <w:spacing w:val="0"/>
                <w:sz w:val="18"/>
                <w:szCs w:val="18"/>
                <w:shd w:val="clear" w:fill="FFFFFF"/>
                <w:lang w:val="en-US" w:eastAsia="zh-CN"/>
              </w:rPr>
              <w:t>当缺失字段时，表示为“不完整”。</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E5E5E5"/>
            <w:vAlign w:val="center"/>
          </w:tcPr>
          <w:p w14:paraId="7D7B5314">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无关联</w:t>
            </w:r>
          </w:p>
        </w:tc>
      </w:tr>
      <w:tr w14:paraId="3DA82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491" w:type="dxa"/>
            <w:tcBorders>
              <w:top w:val="single" w:color="999999" w:themeColor="dark1" w:themeTint="66" w:sz="6" w:space="0"/>
              <w:left w:val="nil"/>
              <w:bottom w:val="single" w:color="999999" w:themeColor="dark1" w:themeTint="66" w:sz="6" w:space="0"/>
              <w:right w:val="single" w:color="999999" w:themeColor="dark1" w:themeTint="66" w:sz="6" w:space="0"/>
            </w:tcBorders>
            <w:shd w:val="clear" w:color="auto" w:fill="auto"/>
            <w:vAlign w:val="center"/>
          </w:tcPr>
          <w:p w14:paraId="0C5D2C2A">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spacing w:val="0"/>
                <w:sz w:val="18"/>
                <w:szCs w:val="18"/>
                <w:shd w:val="clear" w:fill="FFFFFF"/>
              </w:rPr>
              <w:t>data_integrity（数据完整性）</w:t>
            </w:r>
          </w:p>
        </w:tc>
        <w:tc>
          <w:tcPr>
            <w:tcW w:w="1564"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auto"/>
            <w:vAlign w:val="center"/>
          </w:tcPr>
          <w:p w14:paraId="3F4F8E25">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spacing w:val="0"/>
                <w:sz w:val="18"/>
                <w:szCs w:val="18"/>
                <w:shd w:val="clear" w:fill="FFFFFF"/>
              </w:rPr>
              <w:t>NVARCHAR(10)</w:t>
            </w:r>
          </w:p>
        </w:tc>
        <w:tc>
          <w:tcPr>
            <w:tcW w:w="2373"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auto"/>
            <w:vAlign w:val="center"/>
          </w:tcPr>
          <w:p w14:paraId="65097438">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spacing w:val="0"/>
                <w:sz w:val="18"/>
                <w:szCs w:val="18"/>
                <w:shd w:val="clear" w:fill="FFFFFF"/>
              </w:rPr>
            </w:pPr>
            <w:r>
              <w:rPr>
                <w:rFonts w:hint="eastAsia" w:ascii="微软雅黑" w:hAnsi="微软雅黑" w:eastAsia="微软雅黑" w:cs="微软雅黑"/>
                <w:i w:val="0"/>
                <w:iCs w:val="0"/>
                <w:caps w:val="0"/>
                <w:spacing w:val="0"/>
                <w:sz w:val="18"/>
                <w:szCs w:val="18"/>
                <w:shd w:val="clear" w:fill="FFFFFF"/>
              </w:rPr>
              <w:t>・枚举值：“完整”“</w:t>
            </w:r>
            <w:r>
              <w:rPr>
                <w:rFonts w:hint="eastAsia" w:ascii="微软雅黑" w:hAnsi="微软雅黑" w:eastAsia="微软雅黑" w:cs="微软雅黑"/>
                <w:i w:val="0"/>
                <w:iCs w:val="0"/>
                <w:caps w:val="0"/>
                <w:spacing w:val="0"/>
                <w:sz w:val="18"/>
                <w:szCs w:val="18"/>
                <w:shd w:val="clear" w:fill="FFFFFF"/>
                <w:lang w:val="en-US" w:eastAsia="zh-CN"/>
              </w:rPr>
              <w:t>不完整</w:t>
            </w:r>
            <w:r>
              <w:rPr>
                <w:rFonts w:hint="eastAsia" w:ascii="微软雅黑" w:hAnsi="微软雅黑" w:eastAsia="微软雅黑" w:cs="微软雅黑"/>
                <w:i w:val="0"/>
                <w:iCs w:val="0"/>
                <w:caps w:val="0"/>
                <w:spacing w:val="0"/>
                <w:sz w:val="18"/>
                <w:szCs w:val="18"/>
                <w:shd w:val="clear" w:fill="FFFFFF"/>
              </w:rPr>
              <w:t>”</w:t>
            </w:r>
          </w:p>
          <w:p w14:paraId="0FCE7C6E">
            <w:pPr>
              <w:keepNext w:val="0"/>
              <w:keepLines w:val="0"/>
              <w:widowControl/>
              <w:suppressLineNumbers w:val="0"/>
              <w:spacing w:before="0" w:beforeAutospacing="0" w:after="0" w:afterAutospacing="0" w:line="280" w:lineRule="atLeast"/>
              <w:ind w:left="0" w:leftChars="0" w:right="0" w:rightChars="0" w:firstLine="0" w:firstLineChars="0"/>
              <w:jc w:val="both"/>
              <w:rPr>
                <w:rFonts w:hint="eastAsia"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spacing w:val="0"/>
                <w:sz w:val="18"/>
                <w:szCs w:val="18"/>
                <w:shd w:val="clear" w:fill="FFFFFF"/>
              </w:rPr>
              <w:t>・示例：完整</w:t>
            </w:r>
          </w:p>
        </w:tc>
        <w:tc>
          <w:tcPr>
            <w:tcW w:w="756" w:type="dxa"/>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auto"/>
            <w:vAlign w:val="center"/>
          </w:tcPr>
          <w:p w14:paraId="3948EB4E">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spacing w:val="0"/>
                <w:sz w:val="18"/>
                <w:szCs w:val="18"/>
                <w:shd w:val="clear" w:fill="FFFFFF"/>
              </w:rPr>
            </w:pPr>
            <w:r>
              <w:rPr>
                <w:rFonts w:hint="eastAsia" w:ascii="微软雅黑" w:hAnsi="微软雅黑" w:eastAsia="微软雅黑" w:cs="微软雅黑"/>
                <w:i w:val="0"/>
                <w:iCs w:val="0"/>
                <w:caps w:val="0"/>
                <w:spacing w:val="0"/>
                <w:sz w:val="18"/>
                <w:szCs w:val="18"/>
                <w:shd w:val="clear" w:fill="FFFFFF"/>
              </w:rPr>
              <w:t>标识单条</w:t>
            </w:r>
            <w:r>
              <w:rPr>
                <w:rFonts w:hint="eastAsia" w:ascii="微软雅黑" w:hAnsi="微软雅黑" w:eastAsia="微软雅黑" w:cs="微软雅黑"/>
                <w:i w:val="0"/>
                <w:iCs w:val="0"/>
                <w:caps w:val="0"/>
                <w:spacing w:val="0"/>
                <w:sz w:val="18"/>
                <w:szCs w:val="18"/>
                <w:shd w:val="clear" w:fill="FFFFFF"/>
                <w:lang w:val="en-US" w:eastAsia="zh-CN"/>
              </w:rPr>
              <w:t>预测</w:t>
            </w:r>
            <w:r>
              <w:rPr>
                <w:rFonts w:hint="eastAsia" w:ascii="微软雅黑" w:hAnsi="微软雅黑" w:eastAsia="微软雅黑" w:cs="微软雅黑"/>
                <w:i w:val="0"/>
                <w:iCs w:val="0"/>
                <w:caps w:val="0"/>
                <w:spacing w:val="0"/>
                <w:sz w:val="18"/>
                <w:szCs w:val="18"/>
                <w:shd w:val="clear" w:fill="FFFFFF"/>
              </w:rPr>
              <w:t>数据的字段完整性与有效性，用于筛选合格数据进行分析。</w:t>
            </w:r>
          </w:p>
          <w:p w14:paraId="6A8B84C2">
            <w:pPr>
              <w:keepNext w:val="0"/>
              <w:keepLines w:val="0"/>
              <w:widowControl/>
              <w:suppressLineNumbers w:val="0"/>
              <w:spacing w:before="0" w:beforeAutospacing="0" w:after="0" w:afterAutospacing="0" w:line="280" w:lineRule="atLeast"/>
              <w:ind w:left="0" w:leftChars="0" w:right="0" w:rightChars="0" w:firstLine="0" w:firstLineChars="0"/>
              <w:jc w:val="left"/>
              <w:rPr>
                <w:rFonts w:hint="eastAsia" w:ascii="微软雅黑" w:hAnsi="微软雅黑" w:eastAsia="微软雅黑" w:cs="微软雅黑"/>
                <w:i w:val="0"/>
                <w:iCs w:val="0"/>
                <w:caps w:val="0"/>
                <w:spacing w:val="0"/>
                <w:kern w:val="2"/>
                <w:sz w:val="18"/>
                <w:szCs w:val="18"/>
                <w:shd w:val="clear" w:fill="FFFFFF"/>
                <w:lang w:val="en-US" w:eastAsia="zh-CN" w:bidi="ar-SA"/>
              </w:rPr>
            </w:pPr>
            <w:r>
              <w:rPr>
                <w:rFonts w:hint="eastAsia" w:ascii="微软雅黑" w:hAnsi="微软雅黑" w:eastAsia="微软雅黑" w:cs="微软雅黑"/>
                <w:i w:val="0"/>
                <w:iCs w:val="0"/>
                <w:caps w:val="0"/>
                <w:spacing w:val="0"/>
                <w:sz w:val="18"/>
                <w:szCs w:val="18"/>
                <w:shd w:val="clear" w:fill="FFFFFF"/>
                <w:lang w:val="en-US" w:eastAsia="zh-CN"/>
              </w:rPr>
              <w:t>当缺失字段时，表示为“不完整”。</w:t>
            </w:r>
          </w:p>
        </w:tc>
        <w:tc>
          <w:tcPr>
            <w:tcW w:w="3710" w:type="dxa"/>
            <w:tcBorders>
              <w:top w:val="single" w:color="999999" w:themeColor="dark1" w:themeTint="66" w:sz="6" w:space="0"/>
              <w:left w:val="single" w:color="999999" w:themeColor="dark1" w:themeTint="66" w:sz="6" w:space="0"/>
              <w:bottom w:val="single" w:color="999999" w:themeColor="dark1" w:themeTint="66" w:sz="6" w:space="0"/>
              <w:right w:val="nil"/>
            </w:tcBorders>
            <w:shd w:val="clear" w:color="auto" w:fill="auto"/>
            <w:vAlign w:val="center"/>
          </w:tcPr>
          <w:p w14:paraId="35ADCC55">
            <w:pPr>
              <w:keepNext w:val="0"/>
              <w:keepLines w:val="0"/>
              <w:widowControl/>
              <w:suppressLineNumbers w:val="0"/>
              <w:spacing w:before="0" w:beforeAutospacing="0" w:after="0" w:afterAutospacing="0" w:line="280" w:lineRule="atLeast"/>
              <w:ind w:left="0" w:leftChars="0" w:right="0" w:rightChars="0" w:firstLine="0" w:firstLineChars="0"/>
              <w:jc w:val="both"/>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 无关联</w:t>
            </w:r>
          </w:p>
        </w:tc>
      </w:tr>
    </w:tbl>
    <w:p w14:paraId="2F36C778">
      <w:pPr>
        <w:rPr>
          <w:rFonts w:hint="eastAsia"/>
        </w:rPr>
      </w:pPr>
    </w:p>
    <w:p w14:paraId="08DA7462">
      <w:pPr>
        <w:rPr>
          <w:rFonts w:hint="eastAsia"/>
        </w:rPr>
      </w:pPr>
    </w:p>
    <w:p w14:paraId="555478AE">
      <w:pPr>
        <w:pStyle w:val="5"/>
        <w:ind w:left="0" w:leftChars="0" w:firstLine="0" w:firstLineChars="0"/>
        <w:rPr>
          <w:rFonts w:hint="eastAsia"/>
        </w:rPr>
      </w:pPr>
    </w:p>
    <w:p w14:paraId="0EFA8B2F">
      <w:pPr>
        <w:rPr>
          <w:rFonts w:hint="default"/>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E96892"/>
    <w:multiLevelType w:val="singleLevel"/>
    <w:tmpl w:val="C2E96892"/>
    <w:lvl w:ilvl="0" w:tentative="0">
      <w:start w:val="1"/>
      <w:numFmt w:val="decimal"/>
      <w:suff w:val="space"/>
      <w:lvlText w:val="%1."/>
      <w:lvlJc w:val="left"/>
      <w:pPr>
        <w:ind w:left="0" w:firstLine="0"/>
      </w:pPr>
      <w:rPr>
        <w:rFonts w:hint="default" w:ascii="黑体" w:hAnsi="黑体" w:eastAsia="黑体" w:cs="黑体"/>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5D33AA"/>
    <w:rsid w:val="0D240CA4"/>
    <w:rsid w:val="0F503CB0"/>
    <w:rsid w:val="16E14399"/>
    <w:rsid w:val="194578EF"/>
    <w:rsid w:val="2189693D"/>
    <w:rsid w:val="2A5D33AA"/>
    <w:rsid w:val="2AE56AA8"/>
    <w:rsid w:val="49CD7C46"/>
    <w:rsid w:val="54D84948"/>
    <w:rsid w:val="61ED71F6"/>
    <w:rsid w:val="6B470242"/>
    <w:rsid w:val="6CDD16DD"/>
    <w:rsid w:val="6E8C5638"/>
    <w:rsid w:val="6F907CB4"/>
    <w:rsid w:val="70114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659</Words>
  <Characters>712</Characters>
  <Lines>0</Lines>
  <Paragraphs>0</Paragraphs>
  <TotalTime>59</TotalTime>
  <ScaleCrop>false</ScaleCrop>
  <LinksUpToDate>false</LinksUpToDate>
  <CharactersWithSpaces>718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2025-12-02T06:40:00Z</dcterms:created>
  <dc:creator>温柔</dc:creator>
  <cp:lastModifiedBy>温柔</cp:lastModifiedBy>
  <dcterms:modified xsi:type="dcterms:W3CDTF">2026-01-05T14:54:09Z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B7FB37A3BB0347B9B4CE09227CBCB6B5_13</vt:lpwstr>
  </property>
  <property fmtid="{D5CDD505-2E9C-101B-9397-08002B2CF9AE}" pid="4" name="KSOTemplateDocerSaveRecord">
    <vt:lpwstr>eyJoZGlkIjoiMjlhNjU4ZmI4NWNkZDlhZmVkZWE0ODVmYmM0M2Y5Y2QiLCJ1c2VySWQiOiI4MjI1MTI1NDYifQ==</vt:lpwstr>
  </property>
</Properties>
</file>