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45E02">
      <w:pPr>
        <w:jc w:val="center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综合能耗管理业务线关系模式分析文档</w:t>
      </w:r>
    </w:p>
    <w:p w14:paraId="5F2FA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本系统的各关系模式均由 UML 类图及全局 E-R 图按照关系模式转换原则得到，又经数轮关系模式规范化和模式评价以优化改进。</w:t>
      </w:r>
    </w:p>
    <w:p w14:paraId="5A195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当前所有关系模式中的属性均为不可再分的原子值，未包含重复组或多值属性，因此整体满足第一范式（1NF）。</w:t>
      </w:r>
    </w:p>
    <w:p w14:paraId="02C99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对于存在联合主码的关系模式，已确保所有非主属性均完全函数依赖于整个主码，不存在仅依赖于主码真子集的情况；对可能产生部分依赖风险的属性，已通过合理拆分关系模式予以消除，因此整体满足第二范式（2NF）。</w:t>
      </w:r>
    </w:p>
    <w:p w14:paraId="6DCEC6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在此基础上，针对各关系模式中可能存在的传递依赖问题，结合具体业务语义对各个关系模式及其范式进行进一步分析与说明：</w:t>
      </w:r>
    </w:p>
    <w:p w14:paraId="20E84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</w:p>
    <w:p w14:paraId="1CC03424">
      <w:pPr>
        <w:rPr>
          <w:rFonts w:hint="default" w:ascii="Times New Roman" w:hAnsi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Theme="minorEastAsia"/>
          <w:b/>
          <w:bCs/>
          <w:sz w:val="24"/>
          <w:szCs w:val="24"/>
        </w:rPr>
        <w:t>（1）</w:t>
      </w: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厂区基础信息</w:t>
      </w:r>
      <w:r>
        <w:rPr>
          <w:rFonts w:hint="default" w:ascii="Times New Roman" w:hAnsi="Times New Roman" w:eastAsiaTheme="minorEastAsia"/>
          <w:b/>
          <w:bCs/>
          <w:sz w:val="24"/>
          <w:szCs w:val="24"/>
        </w:rPr>
        <w:t>表（关系模式 R1）</w:t>
      </w:r>
    </w:p>
    <w:p w14:paraId="435C0E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5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关系模式：</w:t>
      </w:r>
    </w:p>
    <w:p w14:paraId="05B0E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default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厂区基础信息表</w:t>
      </w:r>
      <w:r>
        <w:rPr>
          <w:rFonts w:hint="default" w:ascii="Times New Roman" w:hAnsi="Times New Roman" w:eastAsiaTheme="minorEastAsia"/>
          <w:sz w:val="24"/>
          <w:szCs w:val="24"/>
          <w:lang w:val="en-US" w:eastAsia="zh-CN"/>
        </w:rPr>
        <w:t>(</w:t>
      </w: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>厂区编号</w:t>
      </w:r>
      <w:r>
        <w:rPr>
          <w:rFonts w:hint="default" w:ascii="Times New Roman" w:hAnsi="Times New Roman" w:eastAsiaTheme="minorEastAsia"/>
          <w:sz w:val="24"/>
          <w:szCs w:val="24"/>
          <w:lang w:val="en-US" w:eastAsia="zh-CN"/>
        </w:rPr>
        <w:t xml:space="preserve">， </w:t>
      </w: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>厂区名称</w:t>
      </w:r>
      <w:r>
        <w:rPr>
          <w:rFonts w:hint="default" w:ascii="Times New Roman" w:hAnsi="Times New Roman" w:eastAsiaTheme="minorEastAsia"/>
          <w:sz w:val="24"/>
          <w:szCs w:val="24"/>
          <w:lang w:val="en-US" w:eastAsia="zh-CN"/>
        </w:rPr>
        <w:t>)</w:t>
      </w:r>
    </w:p>
    <w:p w14:paraId="798EAD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5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主码：</w:t>
      </w:r>
    </w:p>
    <w:p w14:paraId="085BD1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default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>厂区编号</w:t>
      </w:r>
    </w:p>
    <w:p w14:paraId="074081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5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外码：</w:t>
      </w:r>
    </w:p>
    <w:p w14:paraId="27DF4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>无</w:t>
      </w:r>
    </w:p>
    <w:p w14:paraId="5836B9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5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范式结论：</w:t>
      </w:r>
    </w:p>
    <w:p w14:paraId="65063F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default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eastAsiaTheme="minorEastAsia"/>
          <w:sz w:val="24"/>
          <w:szCs w:val="24"/>
          <w:lang w:val="en-US" w:eastAsia="zh-CN"/>
        </w:rPr>
        <w:t>BCNF</w:t>
      </w:r>
    </w:p>
    <w:p w14:paraId="209C97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5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范式依据：</w:t>
      </w:r>
    </w:p>
    <w:p w14:paraId="28B3D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本关系模式以厂区编号为主码，厂区编号唯一决定该厂区的各项基础属性，即存在函数依赖：厂区编号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 xml:space="preserve"> → </w:t>
      </w:r>
      <w:r>
        <w:rPr>
          <w:rFonts w:hint="eastAsia" w:ascii="Times New Roman" w:hAnsi="Times New Roman" w:eastAsiaTheme="minorEastAsia"/>
          <w:sz w:val="24"/>
          <w:szCs w:val="24"/>
        </w:rPr>
        <w:t xml:space="preserve">厂区名称。 从业务语义来看，厂区名称为该厂区的独立属性，不存在确定性的函数依赖关系。因此，本关系模式不存在传递依赖，满足第三范式（3NF）。 </w:t>
      </w:r>
    </w:p>
    <w:p w14:paraId="307C0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进一步分析，本表除主码引出的函数依赖外，无其他非平凡函数依赖，所有非平凡函数依赖的决定因素均为超码，故该关系模式满足 BCNF。</w:t>
      </w:r>
    </w:p>
    <w:p w14:paraId="498F3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Theme="minorEastAsia"/>
          <w:sz w:val="24"/>
          <w:szCs w:val="24"/>
        </w:rPr>
      </w:pPr>
    </w:p>
    <w:p w14:paraId="2A39385B">
      <w:pPr>
        <w:rPr>
          <w:rFonts w:hint="default" w:ascii="Times New Roman" w:hAnsi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Theme="minorEastAsia"/>
          <w:b/>
          <w:bCs/>
          <w:sz w:val="24"/>
          <w:szCs w:val="24"/>
        </w:rPr>
        <w:t>（</w:t>
      </w:r>
      <w:r>
        <w:rPr>
          <w:rFonts w:hint="eastAsia" w:ascii="Times New Roman" w:hAnsi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Theme="minorEastAsia"/>
          <w:b/>
          <w:bCs/>
          <w:sz w:val="24"/>
          <w:szCs w:val="24"/>
        </w:rPr>
        <w:t>）</w:t>
      </w:r>
      <w:r>
        <w:rPr>
          <w:rFonts w:hint="eastAsia" w:ascii="Times New Roman" w:hAnsi="Times New Roman" w:eastAsiaTheme="minorEastAsia"/>
          <w:b/>
          <w:bCs/>
          <w:sz w:val="24"/>
          <w:szCs w:val="24"/>
          <w:lang w:val="en-US" w:eastAsia="zh-CN"/>
        </w:rPr>
        <w:t>能耗计量设备</w:t>
      </w:r>
      <w:r>
        <w:rPr>
          <w:rFonts w:hint="default" w:ascii="Times New Roman" w:hAnsi="Times New Roman" w:eastAsiaTheme="minorEastAsia"/>
          <w:b/>
          <w:bCs/>
          <w:sz w:val="24"/>
          <w:szCs w:val="24"/>
        </w:rPr>
        <w:t>表（关系模式 R</w:t>
      </w:r>
      <w:r>
        <w:rPr>
          <w:rFonts w:hint="eastAsia" w:ascii="Times New Roman" w:hAnsi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Theme="minorEastAsia"/>
          <w:b/>
          <w:bCs/>
          <w:sz w:val="24"/>
          <w:szCs w:val="24"/>
        </w:rPr>
        <w:t>）</w:t>
      </w:r>
    </w:p>
    <w:p w14:paraId="444120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5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关系模式：</w:t>
      </w:r>
    </w:p>
    <w:p w14:paraId="57CD9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default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能耗计量设备表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(</w:t>
      </w:r>
      <w:r>
        <w:rPr>
          <w:rFonts w:hint="eastAsia" w:ascii="Times New Roman" w:hAnsi="Times New Roman" w:eastAsiaTheme="minorEastAsia"/>
          <w:sz w:val="24"/>
          <w:szCs w:val="24"/>
        </w:rPr>
        <w:t>设备编号，</w:t>
      </w:r>
      <w:r>
        <w:rPr>
          <w:rFonts w:hint="eastAsia" w:ascii="Times New Roman" w:hAnsi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能源类型</w:t>
      </w:r>
      <w:r>
        <w:rPr>
          <w:rFonts w:hint="eastAsia" w:ascii="Times New Roman" w:hAnsi="Times New Roman" w:eastAsiaTheme="minorEastAsia"/>
          <w:sz w:val="24"/>
          <w:szCs w:val="24"/>
        </w:rPr>
        <w:t>，安装位置，管径规格，通讯协议，运行状态，校准周期，生产厂家，厂区编号</w:t>
      </w:r>
      <w:r>
        <w:rPr>
          <w:rFonts w:hint="default" w:ascii="Times New Roman" w:hAnsi="Times New Roman" w:eastAsiaTheme="minorEastAsia"/>
          <w:sz w:val="24"/>
          <w:szCs w:val="24"/>
          <w:lang w:val="en-US" w:eastAsia="zh-CN"/>
        </w:rPr>
        <w:t>)</w:t>
      </w:r>
    </w:p>
    <w:p w14:paraId="724857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5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主码：</w:t>
      </w:r>
    </w:p>
    <w:p w14:paraId="14A22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default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>设备编号</w:t>
      </w:r>
    </w:p>
    <w:p w14:paraId="575BF9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5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外码：</w:t>
      </w:r>
    </w:p>
    <w:p w14:paraId="23CF3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>厂区编号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→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>厂区基础信息表(厂区编号)</w:t>
      </w:r>
    </w:p>
    <w:p w14:paraId="5C258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default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 xml:space="preserve">能源类型 </w:t>
      </w:r>
      <w:r>
        <w:rPr>
          <w:rFonts w:hint="default" w:ascii="Times New Roman" w:hAnsi="Times New Roman" w:eastAsia="宋体" w:cs="Times New Roman"/>
          <w:sz w:val="24"/>
          <w:szCs w:val="24"/>
        </w:rPr>
        <w:t>→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能源分类</w:t>
      </w: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>表(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能源类型</w:t>
      </w: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>)</w:t>
      </w:r>
    </w:p>
    <w:p w14:paraId="201DC7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5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范式结论：</w:t>
      </w:r>
    </w:p>
    <w:p w14:paraId="63F456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default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eastAsiaTheme="minorEastAsia"/>
          <w:sz w:val="24"/>
          <w:szCs w:val="24"/>
          <w:lang w:val="en-US" w:eastAsia="zh-CN"/>
        </w:rPr>
        <w:t>BCNF</w:t>
      </w:r>
    </w:p>
    <w:p w14:paraId="5DFB7F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5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范式依据：</w:t>
      </w:r>
    </w:p>
    <w:p w14:paraId="565C1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本关系模式以设备编号为主码，设备编号唯一标识一台物理设备，从而决定了该设备的所有属性，即存在函数依赖：设备编号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 xml:space="preserve"> → </w:t>
      </w:r>
      <w:r>
        <w:rPr>
          <w:rFonts w:hint="eastAsia" w:ascii="Times New Roman" w:hAnsi="Times New Roman" w:eastAsiaTheme="minorEastAsia"/>
          <w:sz w:val="24"/>
          <w:szCs w:val="24"/>
        </w:rPr>
        <w:t>能源类型、安装位置、管径规格、通讯协议、运行状态、校准周期、生产厂家、厂区编号。 虽然表中包含外码“厂区编号”，但该属性表示的是设备当前的归属关系。</w:t>
      </w:r>
    </w:p>
    <w:p w14:paraId="2871AB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 xml:space="preserve">在业务逻辑中，设备的“安装位置”（详细描述）与“厂区编号”虽有地理上的相关性，但“安装位置”为非结构化描述文本，无法作为决定因素推导出“厂区编号”，且其他属性之间亦无依赖关系。因此，本表不存在传递依赖，满足第三范式（3NF）。 </w:t>
      </w:r>
    </w:p>
    <w:p w14:paraId="71B79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由于主码设备编号是唯一的决定因素（超码），故该关系模式满足 BCNF。</w:t>
      </w:r>
    </w:p>
    <w:p w14:paraId="068EF0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</w:p>
    <w:p w14:paraId="5B68934C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（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）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能耗监测数据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表（关系模式 R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）</w:t>
      </w:r>
    </w:p>
    <w:p w14:paraId="559F68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5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关系模式：</w:t>
      </w:r>
    </w:p>
    <w:p w14:paraId="3A3DA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default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能耗监测数据表</w:t>
      </w:r>
      <w:r>
        <w:rPr>
          <w:rFonts w:hint="default" w:ascii="Times New Roman" w:hAnsi="Times New Roman" w:eastAsiaTheme="minorEastAsia"/>
          <w:sz w:val="24"/>
          <w:szCs w:val="24"/>
          <w:lang w:val="en-US" w:eastAsia="zh-CN"/>
        </w:rPr>
        <w:t>(</w:t>
      </w:r>
      <w:r>
        <w:rPr>
          <w:rFonts w:hint="eastAsia" w:ascii="Times New Roman" w:hAnsi="Times New Roman" w:eastAsiaTheme="minorEastAsia"/>
          <w:sz w:val="24"/>
          <w:szCs w:val="24"/>
        </w:rPr>
        <w:t>数据编号，设备编号，采集时间，能耗值，数据质量，厂区编号</w:t>
      </w: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>,数据完整性</w:t>
      </w:r>
      <w:r>
        <w:rPr>
          <w:rFonts w:hint="default" w:ascii="Times New Roman" w:hAnsi="Times New Roman" w:eastAsiaTheme="minorEastAsia"/>
          <w:sz w:val="24"/>
          <w:szCs w:val="24"/>
          <w:lang w:val="en-US" w:eastAsia="zh-CN"/>
        </w:rPr>
        <w:t>)</w:t>
      </w:r>
    </w:p>
    <w:p w14:paraId="793B76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5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主码：</w:t>
      </w:r>
    </w:p>
    <w:p w14:paraId="55161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default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>数据编号</w:t>
      </w:r>
    </w:p>
    <w:p w14:paraId="4B5A58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5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外码：</w:t>
      </w:r>
    </w:p>
    <w:p w14:paraId="04769E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default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 xml:space="preserve">厂区编号 </w:t>
      </w:r>
      <w:r>
        <w:rPr>
          <w:rFonts w:hint="default" w:ascii="Times New Roman" w:hAnsi="Times New Roman" w:eastAsia="宋体" w:cs="Times New Roman"/>
          <w:sz w:val="24"/>
          <w:szCs w:val="24"/>
        </w:rPr>
        <w:t>→</w:t>
      </w: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 xml:space="preserve"> 厂区基础信息表(厂区编号)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>设备编号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→</w:t>
      </w: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 xml:space="preserve"> 能耗计量设备表(设备编号)</w:t>
      </w:r>
    </w:p>
    <w:p w14:paraId="16F606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5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范式结论：</w:t>
      </w:r>
    </w:p>
    <w:p w14:paraId="2E3B2E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default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eastAsiaTheme="minorEastAsia"/>
          <w:sz w:val="24"/>
          <w:szCs w:val="24"/>
          <w:lang w:val="en-US" w:eastAsia="zh-CN"/>
        </w:rPr>
        <w:t>BCNF</w:t>
      </w:r>
    </w:p>
    <w:p w14:paraId="1CA6DB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5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范式依据：</w:t>
      </w:r>
    </w:p>
    <w:p w14:paraId="06DFC2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default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eastAsiaTheme="minorEastAsia"/>
          <w:sz w:val="24"/>
          <w:szCs w:val="24"/>
          <w:lang w:val="en-US" w:eastAsia="zh-CN"/>
        </w:rPr>
        <w:t>本关系模式以数据编号为主码，每一条监测数据均由系统生成的唯一编号标识，即函数依赖：数据编号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 xml:space="preserve"> → </w:t>
      </w:r>
      <w:r>
        <w:rPr>
          <w:rFonts w:hint="default" w:ascii="Times New Roman" w:hAnsi="Times New Roman" w:eastAsiaTheme="minorEastAsia"/>
          <w:sz w:val="24"/>
          <w:szCs w:val="24"/>
          <w:lang w:val="en-US" w:eastAsia="zh-CN"/>
        </w:rPr>
        <w:t>设备编号、采集时间、能耗值、数据质量、厂区编号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、数据完整性</w:t>
      </w:r>
      <w:r>
        <w:rPr>
          <w:rFonts w:hint="default" w:ascii="Times New Roman" w:hAnsi="Times New Roman" w:eastAsiaTheme="minorEastAsia"/>
          <w:sz w:val="24"/>
          <w:szCs w:val="24"/>
          <w:lang w:val="en-US" w:eastAsia="zh-CN"/>
        </w:rPr>
        <w:t xml:space="preserve">。 </w:t>
      </w:r>
    </w:p>
    <w:p w14:paraId="4FFAF0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default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eastAsiaTheme="minorEastAsia"/>
          <w:sz w:val="24"/>
          <w:szCs w:val="24"/>
          <w:lang w:val="en-US" w:eastAsia="zh-CN"/>
        </w:rPr>
        <w:t>关于传递依赖的特殊说明： 虽然设备表中已包含厂区编号，但在监测数据表中冗余存储“厂区编号”是基于“历史快照”的业务需求（即记录数据产生时刻设备所在的厂区，防止设备迁移导致历史数据归属错误）。因此，在这里“厂区编号”是直接依赖于“本次监测记录（数据编号）”的，而非单纯依赖于“设备编号”。故本表不存在非主属性对码的传递依赖，满足第三范式（3NF）。 所有非平凡函数依赖的决定因素仅为主码数据编号，故该关系模式满足 BCNF。</w:t>
      </w:r>
    </w:p>
    <w:p w14:paraId="516FAB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default" w:ascii="Times New Roman" w:hAnsi="Times New Roman" w:eastAsiaTheme="minorEastAsia"/>
          <w:sz w:val="24"/>
          <w:szCs w:val="24"/>
          <w:lang w:val="en-US" w:eastAsia="zh-CN"/>
        </w:rPr>
      </w:pPr>
    </w:p>
    <w:p w14:paraId="063B68EF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（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）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峰谷能耗数据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表（关系模式 R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）</w:t>
      </w:r>
    </w:p>
    <w:p w14:paraId="2882A1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5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关系模式：</w:t>
      </w:r>
    </w:p>
    <w:p w14:paraId="1A5AF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default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峰谷能耗数据表</w:t>
      </w:r>
      <w:r>
        <w:rPr>
          <w:rFonts w:hint="default" w:ascii="Times New Roman" w:hAnsi="Times New Roman" w:eastAsiaTheme="minorEastAsia"/>
          <w:sz w:val="24"/>
          <w:szCs w:val="24"/>
          <w:lang w:val="en-US" w:eastAsia="zh-CN"/>
        </w:rPr>
        <w:t>(</w:t>
      </w:r>
      <w:r>
        <w:rPr>
          <w:rFonts w:hint="eastAsia" w:ascii="Times New Roman" w:hAnsi="Times New Roman" w:eastAsiaTheme="minorEastAsia"/>
          <w:sz w:val="24"/>
          <w:szCs w:val="24"/>
        </w:rPr>
        <w:t>记录编号，能源类型，厂区编号，统计日期，尖峰时段能耗，高峰时段能耗，平段能耗，低谷时段能耗，总能耗，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策略编号，</w:t>
      </w:r>
      <w:r>
        <w:rPr>
          <w:rFonts w:hint="eastAsia" w:ascii="Times New Roman" w:hAnsi="Times New Roman" w:eastAsiaTheme="minorEastAsia"/>
          <w:sz w:val="24"/>
          <w:szCs w:val="24"/>
        </w:rPr>
        <w:t>能耗成本</w:t>
      </w:r>
      <w:r>
        <w:rPr>
          <w:rFonts w:hint="eastAsia" w:ascii="Times New Roman" w:hAnsi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数据完整性</w:t>
      </w:r>
      <w:r>
        <w:rPr>
          <w:rFonts w:hint="default" w:ascii="Times New Roman" w:hAnsi="Times New Roman" w:eastAsiaTheme="minorEastAsia"/>
          <w:sz w:val="24"/>
          <w:szCs w:val="24"/>
          <w:lang w:val="en-US" w:eastAsia="zh-CN"/>
        </w:rPr>
        <w:t>)</w:t>
      </w:r>
    </w:p>
    <w:p w14:paraId="75FF6F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5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主码：</w:t>
      </w:r>
    </w:p>
    <w:p w14:paraId="1F878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default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>记录编号</w:t>
      </w:r>
    </w:p>
    <w:p w14:paraId="66DB20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5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外码：</w:t>
      </w:r>
    </w:p>
    <w:p w14:paraId="7E49CE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default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>厂区编号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→</w:t>
      </w: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 xml:space="preserve"> 厂区基础信息表(厂区编号)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，策略编号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→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能源计价策略表</w:t>
      </w: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>(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策略编号</w:t>
      </w: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>)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 xml:space="preserve">，能源类型 </w:t>
      </w:r>
      <w:r>
        <w:rPr>
          <w:rFonts w:hint="default" w:ascii="Times New Roman" w:hAnsi="Times New Roman" w:eastAsia="宋体" w:cs="Times New Roman"/>
          <w:sz w:val="24"/>
          <w:szCs w:val="24"/>
        </w:rPr>
        <w:t>→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能源分类表</w:t>
      </w: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>(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能源类型</w:t>
      </w: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>)</w:t>
      </w:r>
    </w:p>
    <w:p w14:paraId="4B4763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5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范式结论：</w:t>
      </w:r>
    </w:p>
    <w:p w14:paraId="2AD8C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default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eastAsiaTheme="minorEastAsia"/>
          <w:sz w:val="24"/>
          <w:szCs w:val="24"/>
          <w:lang w:val="en-US" w:eastAsia="zh-CN"/>
        </w:rPr>
        <w:t>BCNF</w:t>
      </w:r>
    </w:p>
    <w:p w14:paraId="4491CC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5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范式依据：</w:t>
      </w:r>
    </w:p>
    <w:p w14:paraId="781FA604">
      <w:pPr>
        <w:widowControl w:val="0"/>
        <w:numPr>
          <w:ilvl w:val="0"/>
          <w:numId w:val="0"/>
        </w:numPr>
        <w:ind w:firstLine="480" w:firstLineChars="20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本关系模式以记录编号为主码，该编号唯一代表了某厂区在某日针对某能源类型的统计结果，即函数依赖：记录编号</w:t>
      </w:r>
      <w:r>
        <w:rPr>
          <w:rStyle w:val="11"/>
          <w:rFonts w:hint="default" w:ascii="Times New Roman" w:hAnsi="Times New Roman" w:eastAsia="宋体" w:cs="Times New Roman"/>
          <w:sz w:val="24"/>
          <w:szCs w:val="24"/>
        </w:rPr>
        <w:t xml:space="preserve"> → </w:t>
      </w:r>
      <w:r>
        <w:rPr>
          <w:rFonts w:ascii="宋体" w:hAnsi="宋体" w:eastAsia="宋体" w:cs="宋体"/>
          <w:sz w:val="24"/>
          <w:szCs w:val="24"/>
        </w:rPr>
        <w:t xml:space="preserve">其余所有统计字段及成本字段。 </w:t>
      </w:r>
    </w:p>
    <w:p w14:paraId="6C6CC7AB">
      <w:pPr>
        <w:widowControl w:val="0"/>
        <w:numPr>
          <w:ilvl w:val="0"/>
          <w:numId w:val="0"/>
        </w:numPr>
        <w:ind w:firstLine="480" w:firstLineChars="20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从业务语义分析，虽然“能耗成本”在数值上由“各时段能耗”与“电价”计算而来，但在数据库设计层面，该字段被视为该统计记录的一个持久化属性（存档值），直接依赖于记录编号。表中各时段能耗（尖、峰、平、谷）均为独立的统计指标，互不决定。因此，本关系模式不存在传递依赖，满足第三范式（3NF）。 </w:t>
      </w:r>
    </w:p>
    <w:p w14:paraId="414EFDF6">
      <w:pPr>
        <w:widowControl w:val="0"/>
        <w:numPr>
          <w:ilvl w:val="0"/>
          <w:numId w:val="0"/>
        </w:numPr>
        <w:ind w:firstLine="480" w:firstLineChars="20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进一步来看，本表无其他属性可作为决定因素形成新的非平凡函数依赖，所有非平凡函数依赖的决定因素均为超码，故该关系模式满足 BCNF。</w:t>
      </w:r>
    </w:p>
    <w:p w14:paraId="711799AB">
      <w:pPr>
        <w:widowControl w:val="0"/>
        <w:numPr>
          <w:ilvl w:val="0"/>
          <w:numId w:val="0"/>
        </w:numPr>
        <w:ind w:firstLine="480" w:firstLineChars="200"/>
        <w:jc w:val="both"/>
        <w:rPr>
          <w:rFonts w:ascii="宋体" w:hAnsi="宋体" w:eastAsia="宋体" w:cs="宋体"/>
          <w:sz w:val="24"/>
          <w:szCs w:val="24"/>
        </w:rPr>
      </w:pPr>
    </w:p>
    <w:p w14:paraId="0DA26D41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6D6BD61">
      <w:pPr>
        <w:rPr>
          <w:rFonts w:hint="default" w:ascii="Times New Roman" w:hAnsi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Theme="minorEastAsia"/>
          <w:b/>
          <w:bCs/>
          <w:sz w:val="24"/>
          <w:szCs w:val="24"/>
        </w:rPr>
        <w:t>（</w:t>
      </w:r>
      <w:r>
        <w:rPr>
          <w:rFonts w:hint="eastAsia" w:ascii="Times New Roman" w:hAnsi="Times New Roman"/>
          <w:b/>
          <w:bCs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eastAsiaTheme="minorEastAsia"/>
          <w:b/>
          <w:bCs/>
          <w:sz w:val="24"/>
          <w:szCs w:val="24"/>
        </w:rPr>
        <w:t>）</w:t>
      </w:r>
      <w:r>
        <w:rPr>
          <w:rFonts w:hint="eastAsia" w:ascii="Times New Roman" w:hAnsi="Times New Roman" w:eastAsiaTheme="minorEastAsia"/>
          <w:b/>
          <w:bCs/>
          <w:sz w:val="24"/>
          <w:szCs w:val="24"/>
          <w:lang w:val="en-US" w:eastAsia="zh-CN"/>
        </w:rPr>
        <w:t>能</w:t>
      </w:r>
      <w:r>
        <w:rPr>
          <w:rFonts w:hint="eastAsia" w:ascii="Times New Roman" w:hAnsi="Times New Roman"/>
          <w:b/>
          <w:bCs/>
          <w:sz w:val="24"/>
          <w:szCs w:val="24"/>
          <w:lang w:val="en-US" w:eastAsia="zh-CN"/>
        </w:rPr>
        <w:t>源分类</w:t>
      </w:r>
      <w:r>
        <w:rPr>
          <w:rFonts w:hint="default" w:ascii="Times New Roman" w:hAnsi="Times New Roman" w:eastAsiaTheme="minorEastAsia"/>
          <w:b/>
          <w:bCs/>
          <w:sz w:val="24"/>
          <w:szCs w:val="24"/>
        </w:rPr>
        <w:t>表（关系模式 R</w:t>
      </w:r>
      <w:r>
        <w:rPr>
          <w:rFonts w:hint="eastAsia" w:ascii="Times New Roman" w:hAnsi="Times New Roman"/>
          <w:b/>
          <w:bCs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eastAsiaTheme="minorEastAsia"/>
          <w:b/>
          <w:bCs/>
          <w:sz w:val="24"/>
          <w:szCs w:val="24"/>
        </w:rPr>
        <w:t>）</w:t>
      </w:r>
    </w:p>
    <w:p w14:paraId="1BF911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5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关系模式：</w:t>
      </w:r>
    </w:p>
    <w:p w14:paraId="1183F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default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>能源分类表</w:t>
      </w:r>
      <w:r>
        <w:rPr>
          <w:rFonts w:hint="default" w:ascii="Times New Roman" w:hAnsi="Times New Roman" w:eastAsiaTheme="minorEastAsia"/>
          <w:sz w:val="24"/>
          <w:szCs w:val="24"/>
          <w:lang w:val="en-US" w:eastAsia="zh-CN"/>
        </w:rPr>
        <w:t>(</w:t>
      </w: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>能源类型，单位</w:t>
      </w:r>
      <w:r>
        <w:rPr>
          <w:rFonts w:hint="default" w:ascii="Times New Roman" w:hAnsi="Times New Roman" w:eastAsiaTheme="minorEastAsia"/>
          <w:sz w:val="24"/>
          <w:szCs w:val="24"/>
          <w:lang w:val="en-US" w:eastAsia="zh-CN"/>
        </w:rPr>
        <w:t>)</w:t>
      </w:r>
    </w:p>
    <w:p w14:paraId="631EF0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5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主码：</w:t>
      </w:r>
    </w:p>
    <w:p w14:paraId="7F404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default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>能源类型</w:t>
      </w:r>
    </w:p>
    <w:p w14:paraId="6D4400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5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外码：</w:t>
      </w:r>
    </w:p>
    <w:p w14:paraId="02653A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无</w:t>
      </w:r>
    </w:p>
    <w:p w14:paraId="3AB8DA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5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范式结论：</w:t>
      </w:r>
    </w:p>
    <w:p w14:paraId="56D312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default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eastAsiaTheme="minorEastAsia"/>
          <w:sz w:val="24"/>
          <w:szCs w:val="24"/>
          <w:lang w:val="en-US" w:eastAsia="zh-CN"/>
        </w:rPr>
        <w:t>BCNF</w:t>
      </w:r>
    </w:p>
    <w:p w14:paraId="47DA4D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5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范式依据：</w:t>
      </w:r>
    </w:p>
    <w:p w14:paraId="76C79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default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>本关系模式以“能源类型”（如电力、天然气）作为自然主码，唯一决定该类能源的计量单位，即存在函数依赖：能源类型 → 单位。 拆分说明与范式分析：在业务逻辑中，“计量单位”严格依赖于“能源类型”。若将这两个属性直接存放于 R2（能耗计量设备表）中，会导致产生传递依赖（设备编号 → 能源类型 → 单位）及大量数据冗余。通过将其独立为字典表，消除了非主属性对码的传递依赖。 本表仅包含两个属性，主码“能源类型”是唯一的决定因素，故该关系模式严格满足 BCNF。</w:t>
      </w:r>
    </w:p>
    <w:p w14:paraId="778E7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</w:p>
    <w:p w14:paraId="7D14B635">
      <w:pPr>
        <w:rPr>
          <w:rFonts w:hint="default" w:ascii="Times New Roman" w:hAnsi="Times New Roman" w:eastAsiaTheme="minorEastAsia"/>
          <w:b/>
          <w:bCs/>
          <w:sz w:val="24"/>
          <w:szCs w:val="24"/>
          <w:lang w:val="en-US" w:eastAsia="zh-CN"/>
        </w:rPr>
      </w:pPr>
      <w:commentRangeStart w:id="0"/>
      <w:r>
        <w:rPr>
          <w:rFonts w:hint="default" w:ascii="Times New Roman" w:hAnsi="Times New Roman" w:eastAsiaTheme="minorEastAsia"/>
          <w:b/>
          <w:bCs/>
          <w:sz w:val="24"/>
          <w:szCs w:val="24"/>
        </w:rPr>
        <w:t>（</w:t>
      </w:r>
      <w:r>
        <w:rPr>
          <w:rFonts w:hint="eastAsia" w:ascii="Times New Roman" w:hAnsi="Times New Roman"/>
          <w:b/>
          <w:bCs/>
          <w:sz w:val="24"/>
          <w:szCs w:val="24"/>
          <w:lang w:val="en-US" w:eastAsia="zh-CN"/>
        </w:rPr>
        <w:t>6）</w:t>
      </w:r>
      <w:r>
        <w:rPr>
          <w:rFonts w:hint="eastAsia" w:ascii="Times New Roman" w:hAnsi="Times New Roman" w:eastAsiaTheme="minorEastAsia"/>
          <w:b/>
          <w:bCs/>
          <w:sz w:val="24"/>
          <w:szCs w:val="24"/>
          <w:lang w:val="en-US" w:eastAsia="zh-CN"/>
        </w:rPr>
        <w:t>能</w:t>
      </w:r>
      <w:r>
        <w:rPr>
          <w:rFonts w:hint="eastAsia" w:ascii="Times New Roman" w:hAnsi="Times New Roman"/>
          <w:b/>
          <w:bCs/>
          <w:sz w:val="24"/>
          <w:szCs w:val="24"/>
          <w:lang w:val="en-US" w:eastAsia="zh-CN"/>
        </w:rPr>
        <w:t>源计价策略</w:t>
      </w:r>
      <w:r>
        <w:rPr>
          <w:rFonts w:hint="default" w:ascii="Times New Roman" w:hAnsi="Times New Roman" w:eastAsiaTheme="minorEastAsia"/>
          <w:b/>
          <w:bCs/>
          <w:sz w:val="24"/>
          <w:szCs w:val="24"/>
        </w:rPr>
        <w:t>表（关系模式 R</w:t>
      </w:r>
      <w:r>
        <w:rPr>
          <w:rFonts w:hint="eastAsia" w:ascii="Times New Roman" w:hAnsi="Times New Roman"/>
          <w:b/>
          <w:bCs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eastAsiaTheme="minorEastAsia"/>
          <w:b/>
          <w:bCs/>
          <w:sz w:val="24"/>
          <w:szCs w:val="24"/>
        </w:rPr>
        <w:t>）</w:t>
      </w:r>
      <w:commentRangeEnd w:id="0"/>
      <w:r>
        <w:commentReference w:id="0"/>
      </w:r>
    </w:p>
    <w:p w14:paraId="75ACE6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5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关系模式：</w:t>
      </w:r>
    </w:p>
    <w:p w14:paraId="60D8E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default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>能源计价策略表</w:t>
      </w:r>
      <w:r>
        <w:rPr>
          <w:rFonts w:hint="default" w:ascii="Times New Roman" w:hAnsi="Times New Roman" w:eastAsiaTheme="minorEastAsia"/>
          <w:sz w:val="24"/>
          <w:szCs w:val="24"/>
          <w:lang w:val="en-US" w:eastAsia="zh-CN"/>
        </w:rPr>
        <w:t>(</w:t>
      </w: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>策略编号，能源类型，尖峰单价，高峰单价，平段单价，低谷单价</w:t>
      </w:r>
      <w:r>
        <w:rPr>
          <w:rFonts w:hint="default" w:ascii="Times New Roman" w:hAnsi="Times New Roman" w:eastAsiaTheme="minorEastAsia"/>
          <w:sz w:val="24"/>
          <w:szCs w:val="24"/>
          <w:lang w:val="en-US" w:eastAsia="zh-CN"/>
        </w:rPr>
        <w:t>)</w:t>
      </w:r>
    </w:p>
    <w:p w14:paraId="4F0B86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5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主码：</w:t>
      </w:r>
    </w:p>
    <w:p w14:paraId="4182A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default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>策略编号</w:t>
      </w:r>
    </w:p>
    <w:p w14:paraId="00A5BD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5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外码：</w:t>
      </w:r>
    </w:p>
    <w:p w14:paraId="54C57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default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 xml:space="preserve">能源类型 </w:t>
      </w:r>
      <w:r>
        <w:rPr>
          <w:rFonts w:hint="default" w:ascii="Times New Roman" w:hAnsi="Times New Roman" w:eastAsiaTheme="minorEastAsia"/>
          <w:sz w:val="24"/>
          <w:szCs w:val="24"/>
          <w:lang w:val="en-US" w:eastAsia="zh-CN"/>
        </w:rPr>
        <w:t>→</w:t>
      </w: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 xml:space="preserve"> 能源分类表(能源类型)</w:t>
      </w:r>
    </w:p>
    <w:p w14:paraId="06ED15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5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范式结论：</w:t>
      </w:r>
    </w:p>
    <w:p w14:paraId="76115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default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eastAsiaTheme="minorEastAsia"/>
          <w:sz w:val="24"/>
          <w:szCs w:val="24"/>
          <w:lang w:val="en-US" w:eastAsia="zh-CN"/>
        </w:rPr>
        <w:t>BCNF</w:t>
      </w:r>
    </w:p>
    <w:p w14:paraId="49FDE5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5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范式依据：</w:t>
      </w:r>
    </w:p>
    <w:p w14:paraId="27609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>本关系模式以“策略编号”为主码，唯一标识一套在特定时期生效的价格体系，即存在函数依赖：策略编号 → 能源类型、尖峰单价、高峰单价、平段单价、低谷单价。 业务兼容性分析：本表采用了“稀疏矩阵”式的兼容性设计以支持多能源场景。对于电力，完整记录分时单价；对于水、气等单一计费能源，其统一单价存储于“平段单价”字段，其余时段字段置零。这种设计既满足了不同能源的计费需求，又保证了表结构的统一。 范式分析：从依赖关系来看，所有非主属性（各时段单价）均直接依赖于主码“策略编号”，不存在传递依赖（满足 3NF）。且表中无其他非平凡函数依赖，所有决定因素均为超码，故该关系模式满足 BCNF。</w:t>
      </w:r>
    </w:p>
    <w:p w14:paraId="4B7D4B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5" w:firstLineChars="0"/>
        <w:textAlignment w:val="auto"/>
        <w:rPr>
          <w:rFonts w:ascii="宋体" w:hAnsi="宋体" w:eastAsia="宋体" w:cs="宋体"/>
          <w:sz w:val="24"/>
          <w:szCs w:val="24"/>
        </w:rPr>
      </w:pPr>
    </w:p>
    <w:p w14:paraId="10ACC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75"/>
        <w:textAlignment w:val="auto"/>
        <w:rPr>
          <w:rFonts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综上所述，本系统中全部关系模式均满足BCNF，有效避免了数据冗余以及插入、删除和更新异常，符合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综合能耗</w:t>
      </w:r>
      <w:r>
        <w:rPr>
          <w:rFonts w:hint="eastAsia" w:ascii="Times New Roman" w:hAnsi="Times New Roman" w:eastAsiaTheme="minorEastAsia"/>
          <w:sz w:val="24"/>
          <w:szCs w:val="24"/>
        </w:rPr>
        <w:t>管理业务线的数据存储与关联需求。</w:t>
      </w:r>
    </w:p>
    <w:p w14:paraId="15BEF0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00EB7C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PS_1695014859" w:date="2025-12-19T23:37:23Z" w:initials="">
    <w:p w14:paraId="3AA8ED50">
      <w:pPr>
        <w:pStyle w:val="6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将原先的E-R图中的峰谷电价拆解成这个。</w:t>
      </w:r>
      <w:bookmarkStart w:id="0" w:name="_GoBack"/>
      <w:bookmarkEnd w:id="0"/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AA8ED50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PS_1695014859">
    <w15:presenceInfo w15:providerId="WPS Office" w15:userId="732058612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327B9B"/>
    <w:rsid w:val="0579302D"/>
    <w:rsid w:val="0D3B23E4"/>
    <w:rsid w:val="121B373E"/>
    <w:rsid w:val="1E286F71"/>
    <w:rsid w:val="1EBF050A"/>
    <w:rsid w:val="21402E17"/>
    <w:rsid w:val="22EF4A7F"/>
    <w:rsid w:val="2A1A19DE"/>
    <w:rsid w:val="2D346DE4"/>
    <w:rsid w:val="2EA245EF"/>
    <w:rsid w:val="2FC576C2"/>
    <w:rsid w:val="36C143AD"/>
    <w:rsid w:val="3A327B9B"/>
    <w:rsid w:val="49770B2A"/>
    <w:rsid w:val="52E5798E"/>
    <w:rsid w:val="56AB4D22"/>
    <w:rsid w:val="5D1C02FB"/>
    <w:rsid w:val="5FEA73EA"/>
    <w:rsid w:val="60F42BEF"/>
    <w:rsid w:val="6B0F149F"/>
    <w:rsid w:val="74597844"/>
    <w:rsid w:val="75F24866"/>
    <w:rsid w:val="782D15D9"/>
    <w:rsid w:val="7A8C1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uiPriority w:val="0"/>
    <w:pPr>
      <w:jc w:val="left"/>
    </w:p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1733</Words>
  <Characters>1788</Characters>
  <Lines>0</Lines>
  <Paragraphs>0</Paragraphs>
  <TotalTime>12</TotalTime>
  <ScaleCrop>false</ScaleCrop>
  <LinksUpToDate>false</LinksUpToDate>
  <CharactersWithSpaces>1826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2025-12-19T11:22:00Z</dcterms:created>
  <dc:creator>WPS_1695014859</dc:creator>
  <cp:lastModifiedBy>WPS_1695014859</cp:lastModifiedBy>
  <dcterms:modified xsi:type="dcterms:W3CDTF">2025-12-19T15:38:23Z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5153C332E1C4482987DD6E154B54437D_11</vt:lpwstr>
  </property>
  <property fmtid="{D5CDD505-2E9C-101B-9397-08002B2CF9AE}" pid="4" name="KSOTemplateDocerSaveRecord">
    <vt:lpwstr>eyJoZGlkIjoiODFiZWM4MzMyMWQxYTk4YzdlNDE2Njg3MjY5M2ZkNDkiLCJ1c2VySWQiOiIxNTM2NDkwNjY0In0=</vt:lpwstr>
  </property>
</Properties>
</file>