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17702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综合能耗管理业务线非功能需求分析</w:t>
      </w:r>
    </w:p>
    <w:p w14:paraId="4D4E1DC3">
      <w:pPr>
        <w:pStyle w:val="2"/>
        <w:keepNext w:val="0"/>
        <w:keepLines w:val="0"/>
        <w:widowControl/>
        <w:suppressLineNumbers w:val="0"/>
      </w:pPr>
      <w:r>
        <w:t>一、响应时间需求</w:t>
      </w:r>
    </w:p>
    <w:p w14:paraId="6489D1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指用户在使用系统功能时所需的系统处理速度，确保能源监控的实时性与管理效率。</w:t>
      </w:r>
    </w:p>
    <w:p w14:paraId="5B732F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数据采集响应：系统需支持高并发接入，智能计量设备（水/电/气表）上传原始数据后，需在 10秒 内完成数据的接收、清洗及入库存储，确保监控大屏数据的实时刷新。</w:t>
      </w:r>
    </w:p>
    <w:p w14:paraId="7F34AE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告警响应：当能耗监测数据被判定为异常（如流量突变、能耗持续超标）时，系统需在 3秒 内触发异常标记，并即时推送“异常数据清单”至能源管理员，保障故障及时处置。</w:t>
      </w:r>
    </w:p>
    <w:p w14:paraId="5B2643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</w:rPr>
        <w:t>计算响应：涉及海量数据的峰谷分时统计与成本核算任务，需在每日凌晨 2点前 自动完成批处理计算，确保次日管理层能及时查看最新的日能耗成本报表。</w:t>
      </w:r>
      <w:bookmarkStart w:id="0" w:name="_GoBack"/>
      <w:bookmarkEnd w:id="0"/>
    </w:p>
    <w:p w14:paraId="3A99EEE3">
      <w:pPr>
        <w:pStyle w:val="2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二、安全性需求</w:t>
      </w:r>
    </w:p>
    <w:p w14:paraId="32C753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指系统对未经授权的非法访问、修改及破坏的防御能力，重点保障能耗计费数据的真实性。</w:t>
      </w:r>
    </w:p>
    <w:p w14:paraId="5C7294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身份认证与权限控制：基于 RBAC 机制严控访问边界。能源管理员仅拥有对异常监测数据的修正权，严禁直接修改历史能耗成本；系统后台独占“计价策略”的配置权。通过严格的权限隔离，防止非法用户越权篡改费率导致企业财务流失。</w:t>
      </w:r>
    </w:p>
    <w:p w14:paraId="22CD12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数据审计与防篡改：对“能耗监测数据表”和“峰谷能耗统计表”实施全生命周期的审计追踪。任何针对核心字段（如仪表读数、金额）的修正操作，系统均需强制记录操作人员、时间及变更前后的数值，确保数据变更可追溯。</w:t>
      </w:r>
    </w:p>
    <w:p w14:paraId="54A75BF1"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</w:rPr>
        <w:t>通信与存储安全：智能仪表上传数据及敏感的成本数据在网络传输与数据库存储时，需采用加密算法处理，防止商业机密在传输过程中被窃听或篡改。</w:t>
      </w:r>
    </w:p>
    <w:p w14:paraId="3031F3D0">
      <w:pPr>
        <w:pStyle w:val="2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三、可靠性与完整性需求</w:t>
      </w:r>
    </w:p>
    <w:p w14:paraId="115DB7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指系统在规定条件下维持功能正常执行的能力，以及数据在生命周期内保持逻辑一致性的要求。</w:t>
      </w:r>
    </w:p>
    <w:p w14:paraId="77BC3C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数据完整性保障：系统需在数据入库与处理全流程中执行逻辑校验。在峰谷统计阶段，必须确保“尖+峰+平+谷”四段能耗之和严格等于总能耗；非分时计费能源（水/气）的平段用量须与总用量一致。任何校验失败的数据将被标记为“不完整”并阻断计算，确保数据逻辑的一致性。</w:t>
      </w:r>
    </w:p>
    <w:p w14:paraId="064B4D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系统运行稳定性：系统需支持 7×24 小时连续运行，数据采集模块具备断点续传功能。当设备网络中断恢复后，系统能自动补传离线期间的能耗记录，确保全天数据无缺失。</w:t>
      </w:r>
    </w:p>
    <w:p w14:paraId="0CE456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</w:rPr>
        <w:t>数据一致性约束：利用数据库外键约束与事务机制，确保能耗监测数据必须关联有效的“设备编号”与“能源分类编号”，避免产生无主数据，保证跨表数据引用的准确性。</w:t>
      </w:r>
    </w:p>
    <w:p w14:paraId="266416B4">
      <w:pPr>
        <w:pStyle w:val="2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四、界面易用性需求</w:t>
      </w:r>
    </w:p>
    <w:p w14:paraId="11DE5D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指系统界面对用户操作的友好程度，降低学习成本并减少操作失误。</w:t>
      </w:r>
    </w:p>
    <w:p w14:paraId="4D4A5E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操作反馈明确性：在能源管理员执行“异常数据修正”等关键操作时，系统需提供清晰的确认弹窗与结果提示（成功/失败）；若输入数值超出合理阈值（如负数），应即时给出错误提示。</w:t>
      </w:r>
    </w:p>
    <w:p w14:paraId="507A96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差异化界面设计：针对运维人员提供聚焦于“设备状态与异常清单”的高效操作视图；针对管理层提供可视化的“能耗成本趋势图”与“报表大屏”，确保关键指标一目了然。</w:t>
      </w:r>
    </w:p>
    <w:p w14:paraId="275F832E">
      <w:pPr>
        <w:pStyle w:val="2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五、数据可恢复性需求</w:t>
      </w:r>
    </w:p>
    <w:p w14:paraId="44E6D7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指系统在发生故障或灾难时，将数据恢复到规定状态的能力。</w:t>
      </w:r>
    </w:p>
    <w:p w14:paraId="543959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备份策略：鉴于能耗数据承载着企业内部成本结算职能，系统需对核心数据（监测记录、计价策略、统计结果）执行“每日增量备份 + 每周全量备份”策略，并将备份文件异地存储。</w:t>
      </w:r>
    </w:p>
    <w:p w14:paraId="6C2D07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恢复能力：当发生服务器硬件故障、软件逻辑错误或人为误删数据时，系统需具备按时间点精准恢复的能力，要求在 1小时 内完成历史能耗账单与关键记录的无损恢复，确保业务连续性。</w:t>
      </w:r>
    </w:p>
    <w:p w14:paraId="212F468B"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C0C46"/>
    <w:rsid w:val="1AFC0C46"/>
    <w:rsid w:val="244F7537"/>
    <w:rsid w:val="251B2213"/>
    <w:rsid w:val="627A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2025-12-19T12:28:00Z</dcterms:created>
  <dc:creator>WPS_1695014859</dc:creator>
  <cp:lastModifiedBy>WPS_1695014859</cp:lastModifiedBy>
  <dcterms:modified xsi:type="dcterms:W3CDTF">2025-12-19T13:31:38Z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CEF36463BD1F4774837E3ACCFF618FB8_11</vt:lpwstr>
  </property>
  <property fmtid="{D5CDD505-2E9C-101B-9397-08002B2CF9AE}" pid="4" name="KSOTemplateDocerSaveRecord">
    <vt:lpwstr>eyJoZGlkIjoiODFiZWM4MzMyMWQxYTk4YzdlNDE2Njg3MjY5M2ZkNDkiLCJ1c2VySWQiOiIxNTM2NDkwNjY0In0=</vt:lpwstr>
  </property>
</Properties>
</file>