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任务书内容补充</w:t>
      </w:r>
    </w:p>
    <w:p>
      <w:pPr>
        <w:jc w:val="left"/>
      </w:pPr>
    </w:p>
    <w:p>
      <w:pPr>
        <w:pStyle w:val="3"/>
        <w:jc w:val="left"/>
      </w:pPr>
      <w:r>
        <w:rPr/>
        <w:t>2.2 业务有关的角色描述</w:t>
      </w:r>
    </w:p>
    <w:p>
      <w:pPr>
        <w:pStyle w:val="4"/>
        <w:jc w:val="left"/>
      </w:pPr>
      <w:commentRangeStart w:id="1"/>
      <w:r>
        <w:rPr/>
        <w:t>2.2.7 设备管理员</w:t>
      </w:r>
      <w:commentRangeEnd w:id="1"/>
      <w:r>
        <w:commentReference w:id="1"/>
      </w:r>
    </w:p>
    <w:p>
      <w:pPr>
        <w:jc w:val="left"/>
      </w:pPr>
      <w:r>
        <w:rPr/>
        <w:t>负责全部设备台账的全生命周期管理，执行新设备的入库录入（如新增变压器、光伏逆变器、智能水表等）、变更（如变压器编号和配电房编号的映射、安装位置变更等等）及设备报废处理 （属于设备台账的字段）。</w:t>
      </w:r>
    </w:p>
    <w:p>
      <w:pPr>
        <w:jc w:val="left"/>
      </w:pPr>
      <w:r>
        <w:rPr/>
        <w:t>设定设备的关键技术参数与维护策略，包括初始化校准周期、录入质保期信息、界定安装位置与归属区域，确保资产数据的完整性与准确性 。</w:t>
      </w:r>
    </w:p>
    <w:p>
      <w:pPr>
        <w:jc w:val="left"/>
      </w:pPr>
      <w:r>
        <w:rPr/>
        <w:t>定期进行设备资产盘点与分类管理，协同运维人员确保系统台账与现场实物一致，为配电、光伏及能耗业务提供标准化的基础设备数据支撑。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/>
        <w:t>附：设备台账，实际上每个设备都有一些基础共有的信息在这里，具体到每个业务里都是特性的属性，所以如果担心自己的业务中设备属性不完整，想添加，不妨先看眼这块是不是已经有了：</w:t>
      </w:r>
    </w:p>
    <w:p>
      <w:pPr>
        <w:jc w:val="left"/>
      </w:pPr>
      <w:r>
        <w:rPr/>
        <w:drawing>
          <wp:inline distT="0" distB="0" distL="0" distR="0">
            <wp:extent cx="5270500" cy="890641"/>
            <wp:effectExtent l="0" t="0" r="0" b="0"/>
            <wp:docPr id="1" name="Picture 7" descr="EMTMEJREABA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EMTMEJREABAD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9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rPr>
          <w:b/>
          <w:bCs/>
        </w:rPr>
        <w:t>一个供参考的数据流图 + 用例图（除了设备管理员之外的名字按你们各自业务来）：</w:t>
      </w:r>
    </w:p>
    <w:tbl>
      <w:tblPr>
        <w:tblW w:w="8300" w:type="dxa"/>
        <w:tblCellMar>
          <w:left w:w="54" w:type="dxa"/>
          <w:right w:w="54" w:type="dxa"/>
        </w:tblCellMar>
      </w:tblPr>
      <w:tblGrid>
        <w:gridCol w:w="2017"/>
        <w:gridCol w:w="6283"/>
      </w:tblGrid>
      <w:tr>
        <w:tblPrEx/>
        <w:trPr/>
        <w:tc>
          <w:tcPr>
            <w:tcW w:w="2017" w:type="dxa"/>
          </w:tcPr>
          <w:p>
            <w:pPr/>
            <w:r>
              <w:rPr/>
              <w:drawing>
                <wp:inline distT="0" distB="0" distL="0" distR="0">
                  <wp:extent cx="1212255" cy="1855887"/>
                  <wp:effectExtent l="0" t="0" r="0" b="0"/>
                  <wp:docPr id="2" name="Picture 8" descr="MEE4QJREABAD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8" descr="MEE4QJREABAD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255" cy="1855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3" w:type="dxa"/>
          </w:tcPr>
          <w:p>
            <w:pPr/>
            <w:r>
              <w:rPr/>
              <w:drawing>
                <wp:inline distT="0" distB="0" distL="0" distR="0">
                  <wp:extent cx="3921085" cy="1855887"/>
                  <wp:effectExtent l="0" t="0" r="0" b="0"/>
                  <wp:docPr id="3" name="Picture 9" descr="NQYMWJREADA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9" descr="NQYMWJREADAE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085" cy="1855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ne="http://schemas.microsoft.com/office/word/2006/wordml" xmlns:w14="http://schemas.microsoft.com/office/word/2010/wordml" xmlns:w15="http://schemas.microsoft.com/office/word/2012/wordml" xmlns:wp="http://schemas.openxmlformats.org/drawingml/2006/wordprocessingDrawing" xmlns:wpsCustomData="http://www.wps.cn/officeDocument/2013/wpsCustomData" mc:Ignorable="w14 w15">
  <w:comment w:id="1" w:author="TH1RT3EN" w:date="2025-12-03T10:31:26Z" w:initials="T">
    <w:p w14:paraId="20000001">
      <w:pPr>
        <w:jc w:val="left"/>
      </w:pPr>
      <w:r>
        <w:rPr/>
        <w:t>注意，这里写的很复杂，但在画图 + 数据字典设计的阶段我们不用管这些，按原来的来就好，这些复杂的工作属于后面实现系统的时候要做的配套工作（也不一定要全实现）</w:t>
      </w:r>
    </w:p>
  </w:comment>
</w:comments>
</file>

<file path=word/commentsExtended.xml><?xml version="1.0" encoding="utf-8"?>
<w15:commentsEx xmlns:mc="http://schemas.openxmlformats.org/markup-compatibility/2006" xmlns:r="http://schemas.openxmlformats.org/officeDocument/2006/relationships" xmlns:w="http://schemas.openxmlformats.org/wordprocessingml/2006/main" xmlns:wne="http://schemas.microsoft.com/office/word/2006/wordml" xmlns:w14="http://schemas.microsoft.com/office/word/2010/wordml" xmlns:w15="http://schemas.microsoft.com/office/word/2012/wordml" xmlns:wp="http://schemas.openxmlformats.org/drawingml/2006/wordprocessingDrawing" xmlns:wpsCustomData="http://www.wps.cn/officeDocument/2013/wpsCustomData" mc:Ignorable="w14 w15">
  <w15:commentEx w15:paraId="2000000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microsoft.com/office/2011/relationships/commentsExtended" Target="commentsExtended.xml"/><Relationship Id="rId6" Type="http://schemas.openxmlformats.org/officeDocument/2006/relationships/comments" Target="commen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2025-12-04T21:46:58Z</dcterms:created>
  <dcterms:modified xsi:type="dcterms:W3CDTF">2025-12-04T21:46:58Z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