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F81657">
      <w:pPr>
        <w:pStyle w:val="2"/>
        <w:numPr>
          <w:ilvl w:val="0"/>
          <w:numId w:val="1"/>
        </w:numPr>
        <w:ind w:left="0" w:leftChars="0" w:firstLine="0" w:firstLineChars="0"/>
        <w:rPr>
          <w:b w:val="0"/>
        </w:rPr>
      </w:pPr>
      <w:r>
        <w:t>系统业务</w:t>
      </w:r>
    </w:p>
    <w:p w14:paraId="3CB9A3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分布式光伏管理业务</w:t>
      </w:r>
      <w:r>
        <w:rPr>
          <w:rFonts w:hint="eastAsia"/>
          <w:sz w:val="24"/>
          <w:szCs w:val="24"/>
          <w:lang w:val="en-US" w:eastAsia="zh-CN"/>
        </w:rPr>
        <w:t>是通过整合光伏设备运行数据、发电数据与预测数据，实现对逆变器、汇流箱等光伏设备的实时状态监控、发电量精准统计及预测模型动态优化。</w:t>
      </w:r>
      <w:r>
        <w:rPr>
          <w:rFonts w:hint="eastAsia"/>
          <w:sz w:val="24"/>
          <w:szCs w:val="24"/>
        </w:rPr>
        <w:t>数据采集频率为5分钟/次，预测数据按小时级生成，异常情况（如逆变器效率过低）实时触发提醒，</w:t>
      </w:r>
      <w:r>
        <w:rPr>
          <w:rFonts w:hint="eastAsia"/>
          <w:sz w:val="24"/>
          <w:szCs w:val="24"/>
          <w:lang w:val="en-US" w:eastAsia="zh-CN"/>
        </w:rPr>
        <w:t>数据分析师计算数据偏差率，若连续3天偏差率超15%，则优化预测模型</w:t>
      </w:r>
      <w:r>
        <w:rPr>
          <w:rFonts w:hint="eastAsia"/>
          <w:sz w:val="24"/>
          <w:szCs w:val="24"/>
        </w:rPr>
        <w:t>。</w:t>
      </w:r>
    </w:p>
    <w:p w14:paraId="4EFE9252">
      <w:pPr>
        <w:keepNext w:val="0"/>
        <w:keepLines w:val="0"/>
        <w:pageBreakBefore w:val="0"/>
        <w:widowControl w:val="0"/>
        <w:kinsoku/>
        <w:wordWrap/>
        <w:overflowPunct/>
        <w:topLinePunct w:val="0"/>
        <w:autoSpaceDE/>
        <w:autoSpaceDN/>
        <w:bidi w:val="0"/>
        <w:adjustRightInd/>
        <w:snapToGrid/>
        <w:textAlignment w:val="auto"/>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5266690" cy="4872355"/>
            <wp:effectExtent l="0" t="0" r="3810" b="4445"/>
            <wp:docPr id="2" name="图片 2" descr="数据流图和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数据流图和用例图"/>
                    <pic:cNvPicPr>
                      <a:picLocks noChangeAspect="1"/>
                    </pic:cNvPicPr>
                  </pic:nvPicPr>
                  <pic:blipFill>
                    <a:blip r:embed="rId4"/>
                    <a:stretch>
                      <a:fillRect/>
                    </a:stretch>
                  </pic:blipFill>
                  <pic:spPr>
                    <a:xfrm>
                      <a:off x="0" y="0"/>
                      <a:ext cx="5266690" cy="4872355"/>
                    </a:xfrm>
                    <a:prstGeom prst="rect">
                      <a:avLst/>
                    </a:prstGeom>
                  </pic:spPr>
                </pic:pic>
              </a:graphicData>
            </a:graphic>
          </wp:inline>
        </w:drawing>
      </w:r>
    </w:p>
    <w:p w14:paraId="575EC776">
      <w:pPr>
        <w:keepNext w:val="0"/>
        <w:keepLines w:val="0"/>
        <w:pageBreakBefore w:val="0"/>
        <w:widowControl w:val="0"/>
        <w:kinsoku/>
        <w:wordWrap/>
        <w:overflowPunct/>
        <w:topLinePunct w:val="0"/>
        <w:autoSpaceDE/>
        <w:autoSpaceDN/>
        <w:bidi w:val="0"/>
        <w:adjustRightInd/>
        <w:snapToGrid/>
        <w:jc w:val="center"/>
        <w:textAlignment w:val="auto"/>
        <w:rPr>
          <w:rFonts w:hint="eastAsia"/>
          <w:sz w:val="21"/>
          <w:szCs w:val="21"/>
          <w:lang w:val="en-US" w:eastAsia="zh-CN"/>
        </w:rPr>
      </w:pPr>
      <w:r>
        <w:rPr>
          <w:rFonts w:hint="eastAsia"/>
          <w:sz w:val="21"/>
          <w:szCs w:val="21"/>
          <w:lang w:val="en-US" w:eastAsia="zh-CN"/>
        </w:rPr>
        <w:t>图x-x 分布式光伏管理业务数据流图</w:t>
      </w:r>
    </w:p>
    <w:p w14:paraId="401C8A43">
      <w:pPr>
        <w:keepNext w:val="0"/>
        <w:keepLines w:val="0"/>
        <w:pageBreakBefore w:val="0"/>
        <w:widowControl w:val="0"/>
        <w:kinsoku/>
        <w:wordWrap/>
        <w:overflowPunct/>
        <w:topLinePunct w:val="0"/>
        <w:autoSpaceDE/>
        <w:autoSpaceDN/>
        <w:bidi w:val="0"/>
        <w:adjustRightInd/>
        <w:snapToGrid/>
        <w:jc w:val="center"/>
        <w:textAlignment w:val="auto"/>
        <w:rPr>
          <w:rFonts w:hint="eastAsia"/>
          <w:sz w:val="21"/>
          <w:szCs w:val="21"/>
          <w:lang w:val="en-US" w:eastAsia="zh-CN"/>
        </w:rPr>
      </w:pPr>
    </w:p>
    <w:p w14:paraId="175D07B9">
      <w:pPr>
        <w:pStyle w:val="5"/>
        <w:widowControl/>
        <w:rPr>
          <w:rFonts w:hint="eastAsia"/>
          <w:lang w:val="en-US" w:eastAsia="zh-CN"/>
        </w:rPr>
      </w:pPr>
      <w:r>
        <w:rPr>
          <w:rFonts w:hint="eastAsia"/>
          <w:lang w:val="en-US" w:eastAsia="zh-CN"/>
        </w:rPr>
        <w:t>在分布式光伏管理</w:t>
      </w:r>
      <w:r>
        <w:t>业务</w:t>
      </w:r>
      <w:r>
        <w:rPr>
          <w:rFonts w:hint="eastAsia"/>
          <w:lang w:val="en-US" w:eastAsia="zh-CN"/>
        </w:rPr>
        <w:t>中，光伏设备实时产生发电数据，对数据进行采集并校验，若数据异常（如逆变器效率低于85%），则标记为设备异常，告警运维系统监测到数据异常，运维人员查看异常数据清单。正常数据存入光伏发电数据表中。预测模型根据原始发电数据进行预测，生成光伏预测数据并写入光伏预测数据表中。数据分析师每周对比原始数据和预测数据，计算其偏差率，若连续3天偏差率超15%，则对预测模型进行优化并更新模型版本。光伏设备信息、光伏发电原始数据和预测数据被整合成光伏汇总报表递交至大屏数据展示业务，用于企业管理层对光伏数据的总览监测。</w:t>
      </w:r>
    </w:p>
    <w:p w14:paraId="12F4CC91">
      <w:pPr>
        <w:pStyle w:val="5"/>
        <w:widowControl/>
        <w:numPr>
          <w:ilvl w:val="0"/>
          <w:numId w:val="1"/>
        </w:numPr>
        <w:ind w:left="0" w:leftChars="0" w:firstLine="0" w:firstLineChars="0"/>
        <w:rPr>
          <w:rFonts w:hint="eastAsia" w:ascii="黑体" w:hAnsi="黑体" w:eastAsia="黑体" w:cs="黑体"/>
          <w:b w:val="0"/>
          <w:sz w:val="32"/>
          <w:szCs w:val="32"/>
        </w:rPr>
      </w:pPr>
      <w:r>
        <w:rPr>
          <w:rFonts w:hint="eastAsia" w:ascii="黑体" w:hAnsi="黑体" w:eastAsia="黑体" w:cs="黑体"/>
          <w:sz w:val="32"/>
          <w:szCs w:val="32"/>
        </w:rPr>
        <w:t>系统实现业务的角色、功能和信息需求</w:t>
      </w:r>
    </w:p>
    <w:p w14:paraId="6F3B9FA3">
      <w:pPr>
        <w:keepNext w:val="0"/>
        <w:keepLines w:val="0"/>
        <w:widowControl/>
        <w:suppressLineNumbers w:val="0"/>
        <w:spacing w:line="240" w:lineRule="auto"/>
        <w:jc w:val="center"/>
        <w:rPr>
          <w:woUserID w:val="1"/>
        </w:rPr>
      </w:pPr>
      <w:r>
        <w:drawing>
          <wp:inline distT="0" distB="0" distL="114300" distR="114300">
            <wp:extent cx="5269865" cy="6151880"/>
            <wp:effectExtent l="0" t="0" r="63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9865" cy="6151880"/>
                    </a:xfrm>
                    <a:prstGeom prst="rect">
                      <a:avLst/>
                    </a:prstGeom>
                    <a:noFill/>
                    <a:ln>
                      <a:noFill/>
                    </a:ln>
                  </pic:spPr>
                </pic:pic>
              </a:graphicData>
            </a:graphic>
          </wp:inline>
        </w:drawing>
      </w:r>
    </w:p>
    <w:p w14:paraId="2CB75414">
      <w:pPr>
        <w:spacing w:line="360" w:lineRule="auto"/>
        <w:ind w:firstLine="420" w:firstLineChars="0"/>
        <w:jc w:val="center"/>
        <w:rPr>
          <w:rFonts w:hint="eastAsia" w:ascii="宋体" w:hAnsi="宋体" w:eastAsia="宋体" w:cs="宋体"/>
          <w:sz w:val="21"/>
          <w:szCs w:val="21"/>
          <w:lang w:eastAsia="zh"/>
          <w:woUserID w:val="1"/>
        </w:rPr>
      </w:pPr>
      <w:r>
        <w:rPr>
          <w:rFonts w:ascii="宋体" w:hAnsi="宋体" w:eastAsia="宋体" w:cs="宋体"/>
          <w:sz w:val="21"/>
          <w:szCs w:val="21"/>
          <w:woUserID w:val="1"/>
        </w:rPr>
        <w:t xml:space="preserve">图 </w:t>
      </w:r>
      <w:r>
        <w:rPr>
          <w:rFonts w:hint="eastAsia" w:ascii="宋体" w:hAnsi="宋体" w:eastAsia="宋体" w:cs="宋体"/>
          <w:sz w:val="21"/>
          <w:szCs w:val="21"/>
          <w:lang w:eastAsia="zh"/>
          <w:woUserID w:val="1"/>
        </w:rPr>
        <w:t>x</w:t>
      </w:r>
      <w:r>
        <w:rPr>
          <w:rFonts w:ascii="宋体" w:hAnsi="宋体" w:eastAsia="宋体" w:cs="宋体"/>
          <w:sz w:val="21"/>
          <w:szCs w:val="21"/>
          <w:woUserID w:val="1"/>
        </w:rPr>
        <w:t>-</w:t>
      </w:r>
      <w:r>
        <w:rPr>
          <w:rFonts w:hint="eastAsia" w:ascii="宋体" w:hAnsi="宋体" w:eastAsia="宋体" w:cs="宋体"/>
          <w:sz w:val="21"/>
          <w:szCs w:val="21"/>
          <w:lang w:eastAsia="zh"/>
          <w:woUserID w:val="1"/>
        </w:rPr>
        <w:t>x</w:t>
      </w:r>
      <w:r>
        <w:rPr>
          <w:rFonts w:ascii="宋体" w:hAnsi="宋体" w:eastAsia="宋体" w:cs="宋体"/>
          <w:sz w:val="21"/>
          <w:szCs w:val="21"/>
          <w:woUserID w:val="1"/>
        </w:rPr>
        <w:t xml:space="preserve"> </w:t>
      </w:r>
      <w:r>
        <w:rPr>
          <w:rFonts w:hint="eastAsia"/>
          <w:sz w:val="21"/>
          <w:szCs w:val="21"/>
          <w:lang w:val="en-US" w:eastAsia="zh-CN"/>
        </w:rPr>
        <w:t>分布式光伏管理业务</w:t>
      </w:r>
      <w:r>
        <w:rPr>
          <w:rFonts w:hint="eastAsia" w:ascii="宋体" w:hAnsi="宋体" w:eastAsia="宋体" w:cs="宋体"/>
          <w:sz w:val="21"/>
          <w:szCs w:val="21"/>
          <w:lang w:eastAsia="zh"/>
          <w:woUserID w:val="1"/>
        </w:rPr>
        <w:t>用例图</w:t>
      </w:r>
    </w:p>
    <w:p w14:paraId="34282810">
      <w:pPr>
        <w:spacing w:line="360" w:lineRule="auto"/>
        <w:ind w:firstLine="420" w:firstLineChars="0"/>
        <w:jc w:val="center"/>
        <w:rPr>
          <w:rFonts w:hint="eastAsia" w:ascii="宋体" w:hAnsi="宋体" w:eastAsia="宋体" w:cs="宋体"/>
          <w:sz w:val="21"/>
          <w:szCs w:val="21"/>
          <w:lang w:eastAsia="zh"/>
          <w:woUserID w:val="1"/>
        </w:rPr>
      </w:pPr>
    </w:p>
    <w:p w14:paraId="68BDD415">
      <w:pPr>
        <w:pStyle w:val="5"/>
        <w:rPr>
          <w:rFonts w:hint="eastAsia"/>
        </w:rPr>
      </w:pPr>
      <w:r>
        <w:rPr>
          <w:rFonts w:hint="eastAsia"/>
        </w:rPr>
        <w:t>本业务线用例图明确了</w:t>
      </w:r>
      <w:r>
        <w:rPr>
          <w:rFonts w:hint="eastAsia"/>
          <w:lang w:val="en-US" w:eastAsia="zh-CN"/>
        </w:rPr>
        <w:t>3</w:t>
      </w:r>
      <w:r>
        <w:rPr>
          <w:rFonts w:hint="eastAsia"/>
        </w:rPr>
        <w:t>类角色及对应操作：</w:t>
      </w:r>
      <w:r>
        <w:rPr>
          <w:rFonts w:hint="eastAsia"/>
          <w:lang w:val="en-US" w:eastAsia="zh-CN"/>
        </w:rPr>
        <w:t>设备</w:t>
      </w:r>
      <w:r>
        <w:rPr>
          <w:rFonts w:hint="eastAsia"/>
        </w:rPr>
        <w:t>管理员承担光伏设备信息管理，负责</w:t>
      </w:r>
      <w:r>
        <w:rPr>
          <w:rFonts w:hint="eastAsia"/>
          <w:lang w:val="en-US" w:eastAsia="zh-CN"/>
        </w:rPr>
        <w:t>管理</w:t>
      </w:r>
      <w:r>
        <w:rPr>
          <w:rFonts w:hint="eastAsia"/>
        </w:rPr>
        <w:t>设备基础信息；运维人员</w:t>
      </w:r>
      <w:r>
        <w:rPr>
          <w:rFonts w:hint="eastAsia"/>
          <w:lang w:val="en-US" w:eastAsia="zh-CN"/>
        </w:rPr>
        <w:t>根据异常数据清单</w:t>
      </w:r>
      <w:r>
        <w:rPr>
          <w:rFonts w:hint="eastAsia"/>
        </w:rPr>
        <w:t>，处理故障并同步设备状态；数据分析师执行预测偏差分析</w:t>
      </w:r>
      <w:r>
        <w:rPr>
          <w:rFonts w:hint="eastAsia"/>
          <w:lang w:val="en-US" w:eastAsia="zh-CN"/>
        </w:rPr>
        <w:t>与</w:t>
      </w:r>
      <w:r>
        <w:rPr>
          <w:rFonts w:hint="eastAsia"/>
        </w:rPr>
        <w:t>预测模型优化，计算数据偏差率</w:t>
      </w:r>
      <w:r>
        <w:rPr>
          <w:rFonts w:hint="eastAsia"/>
          <w:lang w:val="en-US" w:eastAsia="zh-CN"/>
        </w:rPr>
        <w:t>并</w:t>
      </w:r>
      <w:r>
        <w:rPr>
          <w:rFonts w:hint="eastAsia"/>
        </w:rPr>
        <w:t>调优模型。</w:t>
      </w:r>
    </w:p>
    <w:p w14:paraId="456F5060">
      <w:pPr>
        <w:pStyle w:val="3"/>
        <w:numPr>
          <w:ilvl w:val="0"/>
          <w:numId w:val="1"/>
        </w:numPr>
        <w:ind w:left="0" w:leftChars="0" w:firstLine="0" w:firstLineChars="0"/>
        <w:rPr>
          <w:rFonts w:hint="eastAsia" w:ascii="黑体" w:hAnsi="黑体" w:eastAsia="黑体" w:cs="黑体"/>
          <w:b w:val="0"/>
          <w:sz w:val="32"/>
          <w:szCs w:val="32"/>
        </w:rPr>
      </w:pPr>
      <w:r>
        <w:rPr>
          <w:sz w:val="32"/>
          <w:szCs w:val="32"/>
        </w:rPr>
        <w:t>数据字典</w:t>
      </w:r>
    </w:p>
    <w:tbl>
      <w:tblPr>
        <w:tblStyle w:val="6"/>
        <w:tblW w:w="107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491"/>
        <w:gridCol w:w="1564"/>
        <w:gridCol w:w="2373"/>
        <w:gridCol w:w="576"/>
        <w:gridCol w:w="3710"/>
      </w:tblGrid>
      <w:tr w14:paraId="57F33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491" w:type="dxa"/>
            <w:tcBorders>
              <w:top w:val="single" w:color="000000" w:themeColor="dark1" w:sz="8" w:space="0"/>
              <w:left w:val="nil"/>
              <w:bottom w:val="single" w:color="000000" w:themeColor="dark1" w:sz="8" w:space="0"/>
              <w:right w:val="single" w:color="999999" w:themeColor="dark1" w:themeTint="66" w:sz="6" w:space="0"/>
            </w:tcBorders>
            <w:shd w:val="clear" w:color="auto" w:fill="FFFFFF"/>
            <w:vAlign w:val="center"/>
          </w:tcPr>
          <w:p w14:paraId="461365A5">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数据项名</w:t>
            </w:r>
          </w:p>
          <w:p w14:paraId="19FCDD0D">
            <w:pPr>
              <w:keepNext w:val="0"/>
              <w:keepLines w:val="0"/>
              <w:widowControl/>
              <w:suppressLineNumbers w:val="0"/>
              <w:snapToGrid w:val="0"/>
              <w:ind w:left="0" w:leftChars="0" w:right="0" w:rightChars="0" w:firstLine="0" w:firstLineChars="0"/>
              <w:jc w:val="center"/>
              <w:textAlignment w:val="center"/>
              <w:rPr>
                <w:rFonts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（别名）</w:t>
            </w:r>
          </w:p>
        </w:tc>
        <w:tc>
          <w:tcPr>
            <w:tcW w:w="1564" w:type="dxa"/>
            <w:tcBorders>
              <w:top w:val="single" w:color="000000" w:themeColor="dark1" w:sz="8" w:space="0"/>
              <w:left w:val="single" w:color="999999" w:themeColor="dark1" w:themeTint="66" w:sz="6" w:space="0"/>
              <w:bottom w:val="single" w:color="000000" w:themeColor="dark1" w:sz="8" w:space="0"/>
              <w:right w:val="single" w:color="999999" w:themeColor="dark1" w:themeTint="66" w:sz="6" w:space="0"/>
            </w:tcBorders>
            <w:shd w:val="clear" w:color="auto" w:fill="FFFFFF"/>
            <w:vAlign w:val="center"/>
          </w:tcPr>
          <w:p w14:paraId="06E59635">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数据类型</w:t>
            </w:r>
          </w:p>
        </w:tc>
        <w:tc>
          <w:tcPr>
            <w:tcW w:w="2373" w:type="dxa"/>
            <w:tcBorders>
              <w:top w:val="single" w:color="000000" w:themeColor="dark1" w:sz="8" w:space="0"/>
              <w:left w:val="single" w:color="999999" w:themeColor="dark1" w:themeTint="66" w:sz="6" w:space="0"/>
              <w:bottom w:val="single" w:color="000000" w:themeColor="dark1" w:sz="8" w:space="0"/>
              <w:right w:val="single" w:color="999999" w:themeColor="dark1" w:themeTint="66" w:sz="6" w:space="0"/>
            </w:tcBorders>
            <w:shd w:val="clear" w:color="auto" w:fill="FFFFFF"/>
            <w:vAlign w:val="center"/>
          </w:tcPr>
          <w:p w14:paraId="3CB11BB4">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取值约束</w:t>
            </w:r>
          </w:p>
        </w:tc>
        <w:tc>
          <w:tcPr>
            <w:tcW w:w="576" w:type="dxa"/>
            <w:tcBorders>
              <w:top w:val="single" w:color="000000" w:themeColor="dark1" w:sz="8" w:space="0"/>
              <w:left w:val="single" w:color="999999" w:themeColor="dark1" w:themeTint="66" w:sz="6" w:space="0"/>
              <w:bottom w:val="single" w:color="000000" w:themeColor="dark1" w:sz="8" w:space="0"/>
              <w:right w:val="single" w:color="999999" w:themeColor="dark1" w:themeTint="66" w:sz="6" w:space="0"/>
            </w:tcBorders>
            <w:shd w:val="clear" w:color="auto" w:fill="FFFFFF"/>
            <w:vAlign w:val="center"/>
          </w:tcPr>
          <w:p w14:paraId="00DB8A7C">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含义说明</w:t>
            </w:r>
          </w:p>
        </w:tc>
        <w:tc>
          <w:tcPr>
            <w:tcW w:w="3710" w:type="dxa"/>
            <w:tcBorders>
              <w:top w:val="single" w:color="000000" w:themeColor="dark1" w:sz="8" w:space="0"/>
              <w:left w:val="single" w:color="999999" w:themeColor="dark1" w:themeTint="66" w:sz="6" w:space="0"/>
              <w:bottom w:val="single" w:color="000000" w:themeColor="dark1" w:sz="8" w:space="0"/>
              <w:right w:val="nil"/>
            </w:tcBorders>
            <w:shd w:val="clear" w:color="auto" w:fill="FFFFFF"/>
            <w:vAlign w:val="center"/>
          </w:tcPr>
          <w:p w14:paraId="47F3C825">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与其他数据项的关系</w:t>
            </w:r>
          </w:p>
        </w:tc>
      </w:tr>
      <w:tr w14:paraId="57CF4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center"/>
          </w:tcPr>
          <w:p w14:paraId="0389AE7A">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communication_protocol（通信协议）</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1CDEA11B">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NVARCHAR(10)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1807518F">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枚举值：“RS485”、“Lora”</w:t>
            </w:r>
          </w:p>
          <w:p w14:paraId="72E6CE25">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示例：RS485</w:t>
            </w:r>
          </w:p>
        </w:tc>
        <w:tc>
          <w:tcPr>
            <w:tcW w:w="5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2AD55E0A">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设备与系统的数据传输协议，用于适配采集接口。</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center"/>
          </w:tcPr>
          <w:p w14:paraId="5C5F34D0">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无关联</w:t>
            </w:r>
          </w:p>
          <w:p w14:paraId="23219BF9">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仅作为数据采集的配置参数。</w:t>
            </w:r>
          </w:p>
        </w:tc>
      </w:tr>
      <w:tr w14:paraId="3F6C2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center"/>
          </w:tcPr>
          <w:p w14:paraId="315FB842">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device_id（设备编号）</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14C08690">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NVARCHAR(20)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5EA9468">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xml:space="preserve">• </w:t>
            </w:r>
            <w:r>
              <w:rPr>
                <w:rFonts w:hint="eastAsia" w:ascii="微软雅黑" w:hAnsi="微软雅黑" w:eastAsia="微软雅黑" w:cs="微软雅黑"/>
                <w:i w:val="0"/>
                <w:iCs w:val="0"/>
                <w:caps w:val="0"/>
                <w:color w:val="000000"/>
                <w:spacing w:val="0"/>
                <w:kern w:val="0"/>
                <w:sz w:val="18"/>
                <w:szCs w:val="18"/>
                <w:lang w:val="en-US" w:eastAsia="zh-CN" w:bidi="ar"/>
              </w:rPr>
              <w:t>格式：TTXXXXX（类型码 + 5 位流水号）</w:t>
            </w:r>
          </w:p>
          <w:p w14:paraId="12EBFF18">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xml:space="preserve">• </w:t>
            </w:r>
            <w:r>
              <w:rPr>
                <w:rFonts w:hint="eastAsia" w:ascii="微软雅黑" w:hAnsi="微软雅黑" w:eastAsia="微软雅黑" w:cs="微软雅黑"/>
                <w:i w:val="0"/>
                <w:iCs w:val="0"/>
                <w:caps w:val="0"/>
                <w:color w:val="000000"/>
                <w:spacing w:val="0"/>
                <w:kern w:val="0"/>
                <w:sz w:val="18"/>
                <w:szCs w:val="18"/>
                <w:lang w:val="en-US" w:eastAsia="zh-CN" w:bidi="ar"/>
              </w:rPr>
              <w:t>类型码 (TT)：IN = 逆变器、BO = 汇流箱</w:t>
            </w:r>
          </w:p>
          <w:p w14:paraId="05D725A7">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示例：IN00001、BO00002</w:t>
            </w:r>
          </w:p>
        </w:tc>
        <w:tc>
          <w:tcPr>
            <w:tcW w:w="5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8D04BD6">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光伏设备的唯一标识符，区分不同类型的光伏设备。</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center"/>
          </w:tcPr>
          <w:p w14:paraId="3E2D32CB">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xml:space="preserve">• </w:t>
            </w:r>
            <w:r>
              <w:rPr>
                <w:rFonts w:hint="eastAsia" w:ascii="微软雅黑" w:hAnsi="微软雅黑" w:eastAsia="微软雅黑" w:cs="微软雅黑"/>
                <w:i w:val="0"/>
                <w:iCs w:val="0"/>
                <w:caps w:val="0"/>
                <w:color w:val="000000"/>
                <w:spacing w:val="0"/>
                <w:kern w:val="0"/>
                <w:sz w:val="18"/>
                <w:szCs w:val="18"/>
                <w:lang w:val="en-US" w:eastAsia="zh-CN" w:bidi="ar"/>
              </w:rPr>
              <w:t>主键</w:t>
            </w:r>
          </w:p>
          <w:p w14:paraId="3B9C78D3">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光伏设备信息表的唯一标识。</w:t>
            </w:r>
          </w:p>
          <w:p w14:paraId="6F866A70">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xml:space="preserve">• </w:t>
            </w:r>
            <w:r>
              <w:rPr>
                <w:rFonts w:hint="eastAsia" w:ascii="微软雅黑" w:hAnsi="微软雅黑" w:eastAsia="微软雅黑" w:cs="微软雅黑"/>
                <w:i w:val="0"/>
                <w:iCs w:val="0"/>
                <w:caps w:val="0"/>
                <w:color w:val="000000"/>
                <w:spacing w:val="0"/>
                <w:kern w:val="0"/>
                <w:sz w:val="18"/>
                <w:szCs w:val="18"/>
                <w:lang w:val="en-US" w:eastAsia="zh-CN" w:bidi="ar"/>
              </w:rPr>
              <w:t>外键引用</w:t>
            </w:r>
          </w:p>
          <w:p w14:paraId="6FA7AA07">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被光伏发电数据表（pv_generation）引用，关联设备基础信息与发电数据。</w:t>
            </w:r>
          </w:p>
        </w:tc>
      </w:tr>
      <w:tr w14:paraId="5A89A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center"/>
          </w:tcPr>
          <w:p w14:paraId="396392B7">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device_type（设备类型）</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70EE2FFA">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NVARCHAR(10)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5440986F">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xml:space="preserve">• </w:t>
            </w:r>
            <w:r>
              <w:rPr>
                <w:rFonts w:hint="eastAsia" w:ascii="微软雅黑" w:hAnsi="微软雅黑" w:eastAsia="微软雅黑" w:cs="微软雅黑"/>
                <w:i w:val="0"/>
                <w:iCs w:val="0"/>
                <w:caps w:val="0"/>
                <w:color w:val="000000"/>
                <w:spacing w:val="0"/>
                <w:kern w:val="0"/>
                <w:sz w:val="18"/>
                <w:szCs w:val="18"/>
                <w:lang w:val="en-US" w:eastAsia="zh-CN" w:bidi="ar"/>
              </w:rPr>
              <w:t>枚举值：“逆变器”、“汇流箱”</w:t>
            </w:r>
          </w:p>
          <w:p w14:paraId="6CF147AE">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示例：逆变器</w:t>
            </w:r>
          </w:p>
        </w:tc>
        <w:tc>
          <w:tcPr>
            <w:tcW w:w="5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3B7835B4">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标识光伏设备的类别，区分功能不同的设备。</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center"/>
          </w:tcPr>
          <w:p w14:paraId="23A5C473">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关联约束</w:t>
            </w:r>
          </w:p>
          <w:p w14:paraId="2043E478">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匹配光伏发电数据表的专属属性（逆变器对应inverter_efficiency，汇流箱对应 combiner_voltage/combiner_current）。</w:t>
            </w:r>
          </w:p>
        </w:tc>
      </w:tr>
      <w:tr w14:paraId="6EA0F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center"/>
          </w:tcPr>
          <w:p w14:paraId="75997FA9">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install_location（安装位置）</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31666BF0">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NVARCHAR(50)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F41F24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格式：“屋顶 [区域] 区 -[排 / 列]”</w:t>
            </w:r>
          </w:p>
          <w:p w14:paraId="7CA87F08">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示例：屋顶A区-1排</w:t>
            </w:r>
          </w:p>
        </w:tc>
        <w:tc>
          <w:tcPr>
            <w:tcW w:w="5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35F6774">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光伏设备的物理安装位置，用于运维定位。</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center"/>
          </w:tcPr>
          <w:p w14:paraId="59663234">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无关联</w:t>
            </w:r>
          </w:p>
          <w:p w14:paraId="0EA84315">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仅作为设备基础描述字段。</w:t>
            </w:r>
          </w:p>
        </w:tc>
      </w:tr>
      <w:tr w14:paraId="2BD95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center"/>
          </w:tcPr>
          <w:p w14:paraId="65340C39">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capacity_kwp（装机容量）</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56324217">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DECIMAL(5,1)</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1D15EC83">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范围：0.0–999.9（单位：kWP）</w:t>
            </w:r>
          </w:p>
          <w:p w14:paraId="3DC7B666">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示例：50.0</w:t>
            </w:r>
          </w:p>
        </w:tc>
        <w:tc>
          <w:tcPr>
            <w:tcW w:w="5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4B6B079F">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光伏设备的额定装机功率，是发电量计算的基准参数。</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center"/>
          </w:tcPr>
          <w:p w14:paraId="3D18E264">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无关联</w:t>
            </w:r>
          </w:p>
          <w:p w14:paraId="5C8B290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作为预测模型的输入参数之一。</w:t>
            </w:r>
          </w:p>
        </w:tc>
      </w:tr>
      <w:tr w14:paraId="040DB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center"/>
          </w:tcPr>
          <w:p w14:paraId="190C8B21">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commission_time（投运时间）</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3AE29D1F">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DATETIME</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F67B86D">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格式：YYYY-MM-DD HH:MM:SS</w:t>
            </w:r>
          </w:p>
          <w:p w14:paraId="7A1F80FA">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示例：2023-06-15 09:00:00</w:t>
            </w:r>
          </w:p>
        </w:tc>
        <w:tc>
          <w:tcPr>
            <w:tcW w:w="5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55F69D9">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设备正式投入运行的时间，用于统计运行时长。</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center"/>
          </w:tcPr>
          <w:p w14:paraId="5C9ECF78">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4E237E54">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与calibration_cycle_month 共同计算下次校准时间。</w:t>
            </w:r>
          </w:p>
        </w:tc>
      </w:tr>
      <w:tr w14:paraId="242E2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center"/>
          </w:tcPr>
          <w:p w14:paraId="702BFE5B">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calibration_cycle_month（校准周期）</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7F3EDAC8">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INT</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113A6F59">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范围：1–24（单位：月）• 示例：6</w:t>
            </w:r>
          </w:p>
        </w:tc>
        <w:tc>
          <w:tcPr>
            <w:tcW w:w="5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65E2EF75">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设备的校准间隔周期，用于触发校准提醒。</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center"/>
          </w:tcPr>
          <w:p w14:paraId="31B4F04B">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1713F432">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与commission_time 共同计算下次校准时间。</w:t>
            </w:r>
          </w:p>
        </w:tc>
      </w:tr>
      <w:tr w14:paraId="258CD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center"/>
          </w:tcPr>
          <w:p w14:paraId="1F484752">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operation_status（运行状态）</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E161079">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NVARCHAR(10)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3808E6AA">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枚举值：“正常”、“故障”、“离线”</w:t>
            </w:r>
          </w:p>
          <w:p w14:paraId="5B69F64F">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示例：正常</w:t>
            </w:r>
          </w:p>
        </w:tc>
        <w:tc>
          <w:tcPr>
            <w:tcW w:w="5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F976E2C">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标识设备当前的运行状态，用于异常管理。</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center"/>
          </w:tcPr>
          <w:p w14:paraId="3A9D06D8">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0E70E12D">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状态为“故障 / 离线”时，限制光伏发电数据表接收该设备数据。</w:t>
            </w:r>
          </w:p>
        </w:tc>
      </w:tr>
      <w:tr w14:paraId="06344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center"/>
          </w:tcPr>
          <w:p w14:paraId="432ED9E9">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record_id（数据编号）</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57707673">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NVARCHAR(30)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76BAE8B4">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格式：REC-YYYYMMDD-XXXXX（前缀+日期+流水号）</w:t>
            </w:r>
          </w:p>
          <w:p w14:paraId="46F970E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示例：REC-20251202-00001</w:t>
            </w:r>
          </w:p>
        </w:tc>
        <w:tc>
          <w:tcPr>
            <w:tcW w:w="5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2540BE6E">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每条发电数据的唯一标识符，用于数据追溯。</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center"/>
          </w:tcPr>
          <w:p w14:paraId="3A5DEF06">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主键</w:t>
            </w:r>
          </w:p>
          <w:p w14:paraId="22EDB07C">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光伏发电数据表的唯一标识。</w:t>
            </w:r>
          </w:p>
        </w:tc>
      </w:tr>
      <w:tr w14:paraId="0E25F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center"/>
          </w:tcPr>
          <w:p w14:paraId="3610FDE1">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device_id（设备编号）</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78B0FBD">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NVARCHAR(20)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31C788CF">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同光伏设备信息表的 device_id 约束</w:t>
            </w:r>
          </w:p>
          <w:p w14:paraId="376A99E5">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示例：IN00001</w:t>
            </w:r>
          </w:p>
        </w:tc>
        <w:tc>
          <w:tcPr>
            <w:tcW w:w="5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F0F23DC">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关联对应的光伏设备，标识数据所属设备。</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center"/>
          </w:tcPr>
          <w:p w14:paraId="6B4FA890">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外键引用</w:t>
            </w:r>
          </w:p>
          <w:p w14:paraId="2FBA802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引用光伏设备信息表的device_id，关联设备与发电数据。</w:t>
            </w:r>
          </w:p>
        </w:tc>
      </w:tr>
      <w:tr w14:paraId="43AEA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center"/>
          </w:tcPr>
          <w:p w14:paraId="1254494C">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grid_point_id（并网点编号）</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70308821">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NVARCHAR(20)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5D859537">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格式：GP-XXXXX（前缀 + 5 位流水号）</w:t>
            </w:r>
          </w:p>
          <w:p w14:paraId="32D8BFED">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示例：GP-00001</w:t>
            </w:r>
          </w:p>
        </w:tc>
        <w:tc>
          <w:tcPr>
            <w:tcW w:w="5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2A3B3682">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光伏设备并入电网的节点标识，用于按节点统计。</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center"/>
          </w:tcPr>
          <w:p w14:paraId="54D06B87">
            <w:pPr>
              <w:keepNext w:val="0"/>
              <w:keepLines w:val="0"/>
              <w:widowControl/>
              <w:suppressLineNumbers w:val="0"/>
              <w:spacing w:before="0" w:beforeAutospacing="0" w:after="0" w:afterAutospacing="0" w:line="280" w:lineRule="atLeast"/>
              <w:ind w:left="0" w:leftChars="0" w:right="0" w:rightChars="0" w:firstLine="0" w:firstLineChars="0"/>
              <w:jc w:val="both"/>
              <w:rPr>
                <w:rFonts w:hint="default"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xml:space="preserve">• 关联 </w:t>
            </w:r>
          </w:p>
          <w:p w14:paraId="7715289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与光伏预测数据表的grid_point_id一致。</w:t>
            </w:r>
          </w:p>
        </w:tc>
      </w:tr>
      <w:tr w14:paraId="31A60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center"/>
          </w:tcPr>
          <w:p w14:paraId="0DCA417C">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collected_at（采集时间）</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01CE754">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DATETIME</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7603F49">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格式：YYYY-MM-DD HH:MM:SS</w:t>
            </w:r>
          </w:p>
          <w:p w14:paraId="3C40A924">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采集间隔：5分钟/次</w:t>
            </w:r>
          </w:p>
          <w:p w14:paraId="7444D35D">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示例：2025-12-02 10:05:00</w:t>
            </w:r>
          </w:p>
        </w:tc>
        <w:tc>
          <w:tcPr>
            <w:tcW w:w="5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77412CA">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发电数据的采集时间，用于时间维度分析。</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center"/>
          </w:tcPr>
          <w:p w14:paraId="275E45E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345A8559">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匹配光伏预测数据表的 forecast_date+forecast_period，实现数据时段对齐。</w:t>
            </w:r>
          </w:p>
        </w:tc>
      </w:tr>
      <w:tr w14:paraId="17B7E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center"/>
          </w:tcPr>
          <w:p w14:paraId="57EB3AE4">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generation_kwh（发电量）</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769A5498">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DECIMAL(8,2)</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2C3DE53E">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范围：-99999.99–99999.99（单位：kWh）</w:t>
            </w:r>
          </w:p>
          <w:p w14:paraId="7E11CAB0">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示例：25.50</w:t>
            </w:r>
          </w:p>
        </w:tc>
        <w:tc>
          <w:tcPr>
            <w:tcW w:w="5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7557A008">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采集时段内设备的总发电量，核心监测指标。</w:t>
            </w:r>
          </w:p>
          <w:p w14:paraId="4DAFBCDF">
            <w:pPr>
              <w:keepNext w:val="0"/>
              <w:keepLines w:val="0"/>
              <w:widowControl/>
              <w:suppressLineNumbers w:val="0"/>
              <w:spacing w:before="0" w:beforeAutospacing="0" w:after="0" w:afterAutospacing="0" w:line="280" w:lineRule="atLeast"/>
              <w:ind w:left="0" w:leftChars="0" w:right="0" w:rightChars="0" w:firstLine="0" w:firstLineChars="0"/>
              <w:jc w:val="left"/>
              <w:rPr>
                <w:rFonts w:hint="default"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发电量为零或正值时正常，为负值时视为异常。</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center"/>
          </w:tcPr>
          <w:p w14:paraId="0A98BC69">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28D38798">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是feeding_kwh 与selfuse_kwh 的总和；同步至光伏预测数据表的 actual_generation_kwh。</w:t>
            </w:r>
          </w:p>
        </w:tc>
      </w:tr>
      <w:tr w14:paraId="0C15F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center"/>
          </w:tcPr>
          <w:p w14:paraId="5B26F890">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feeding_kwh（上网电量）</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86F7033">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DECIMAL(8,2)</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9A6E58C">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范围：-99999.99–99999.99（单位：kWh）</w:t>
            </w:r>
          </w:p>
          <w:p w14:paraId="7A541893">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不大于generation_kwh</w:t>
            </w:r>
          </w:p>
          <w:p w14:paraId="244CE60E">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示例：10.20</w:t>
            </w:r>
          </w:p>
        </w:tc>
        <w:tc>
          <w:tcPr>
            <w:tcW w:w="5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809E25E">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采集时段内并入电网的电量，用于收益核算。</w:t>
            </w:r>
          </w:p>
          <w:p w14:paraId="7FA5C0BF">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上网电量为零或正值时正常，为负值时视为异常。</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center"/>
          </w:tcPr>
          <w:p w14:paraId="7BC8D773">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3A082CF4">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是generation_kwh的子集，与 selfuse_kwh 共同构成总发电量。</w:t>
            </w:r>
          </w:p>
        </w:tc>
      </w:tr>
      <w:tr w14:paraId="44C22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center"/>
          </w:tcPr>
          <w:p w14:paraId="6DAE20EE">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selfuse_kwh（自用电量）</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571788D9">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DECIMAL(8,2)</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11A1AAF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范围：-99999.99–99999.99（单位：kWh）</w:t>
            </w:r>
          </w:p>
          <w:p w14:paraId="775BD80E">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不大于generation_kwh</w:t>
            </w:r>
          </w:p>
          <w:p w14:paraId="42DF289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示例：15.30</w:t>
            </w:r>
          </w:p>
        </w:tc>
        <w:tc>
          <w:tcPr>
            <w:tcW w:w="5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6578580A">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采集时段内企业自耗的电量，用于成本核算。</w:t>
            </w:r>
          </w:p>
          <w:p w14:paraId="53051B3C">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自用电量为零或正值时正常，为负值时视为异常。</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center"/>
          </w:tcPr>
          <w:p w14:paraId="50B1C023">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0650B377">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是generation_kwh的子集，与 feeding_kwh 共同构成总发电量。</w:t>
            </w:r>
          </w:p>
        </w:tc>
      </w:tr>
      <w:tr w14:paraId="3CFA2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center"/>
          </w:tcPr>
          <w:p w14:paraId="224FAF69">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inverter_efficiency（逆变器效率）</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9201F92">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DECIMAL(5,2)</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F84993D">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范围：0.00–100.00（单位：%）</w:t>
            </w:r>
          </w:p>
          <w:p w14:paraId="478547B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仅逆变器设备有值，汇流箱为NULL</w:t>
            </w:r>
          </w:p>
          <w:p w14:paraId="243937AA">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示例：95.20</w:t>
            </w:r>
          </w:p>
        </w:tc>
        <w:tc>
          <w:tcPr>
            <w:tcW w:w="5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B65DEB4">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逆变器的能量转换效率，评估设备性能。</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center"/>
          </w:tcPr>
          <w:p w14:paraId="73EBC202">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关联约束</w:t>
            </w:r>
          </w:p>
          <w:p w14:paraId="23EC2759">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仅当 device_type 为“逆变器”时填充。</w:t>
            </w:r>
          </w:p>
        </w:tc>
      </w:tr>
      <w:tr w14:paraId="2E284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center"/>
          </w:tcPr>
          <w:p w14:paraId="5AF65697">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combiner_voltage（汇流箱组串电压）</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0878745D">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DECIMAL(4,1)</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2F648DDC">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范围：-999.9–999.9（单位：V）</w:t>
            </w:r>
          </w:p>
          <w:p w14:paraId="15110287">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仅汇流箱设备有值，逆变器为NULL</w:t>
            </w:r>
          </w:p>
          <w:p w14:paraId="2D62B376">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示例：380.0</w:t>
            </w:r>
          </w:p>
        </w:tc>
        <w:tc>
          <w:tcPr>
            <w:tcW w:w="5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06180FDE">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汇流箱组串的电压值，监测光伏板状态。</w:t>
            </w:r>
          </w:p>
          <w:p w14:paraId="615FDED6">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电压为零或正值时正常，为负值时视为异常。</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center"/>
          </w:tcPr>
          <w:p w14:paraId="277727C3">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关联约束</w:t>
            </w:r>
          </w:p>
          <w:p w14:paraId="039D5AEC">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仅当device_type 为“汇流箱”时填充。</w:t>
            </w:r>
          </w:p>
        </w:tc>
      </w:tr>
      <w:tr w14:paraId="762F3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center"/>
          </w:tcPr>
          <w:p w14:paraId="0BA8F3EB">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combiner_current（组串电流）</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14C93E93">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DECIMAL(4,1)</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26DC5C6">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范围：-999.9–999.9（单位：A）</w:t>
            </w:r>
          </w:p>
          <w:p w14:paraId="741AEFAC">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仅汇流箱设备有值，逆变器为NULL</w:t>
            </w:r>
          </w:p>
          <w:p w14:paraId="3380DF9D">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示例：15.5</w:t>
            </w:r>
          </w:p>
        </w:tc>
        <w:tc>
          <w:tcPr>
            <w:tcW w:w="5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3A7EC23">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汇流箱组串的电流值，监测光伏板状态。</w:t>
            </w:r>
          </w:p>
          <w:p w14:paraId="631FF485">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电流为零或正值时正常，为负值时视为异常。</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center"/>
          </w:tcPr>
          <w:p w14:paraId="3CF3537D">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关联约束</w:t>
            </w:r>
          </w:p>
          <w:p w14:paraId="10F5B304">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仅当device_type 为“汇流箱”时填充。</w:t>
            </w:r>
          </w:p>
        </w:tc>
      </w:tr>
      <w:tr w14:paraId="62A3D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center"/>
          </w:tcPr>
          <w:p w14:paraId="0773F37C">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grid_point_id（并网点编号）</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29C6AEB4">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NVARCHAR(20)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06B1255E">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同光伏发电数据表的 grid_point_id 约束</w:t>
            </w:r>
          </w:p>
          <w:p w14:paraId="44C30A65">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示例：GP-00001</w:t>
            </w:r>
          </w:p>
        </w:tc>
        <w:tc>
          <w:tcPr>
            <w:tcW w:w="5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43B84A87">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预测数据对应的并网点标识，用于按节点汇总。</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center"/>
          </w:tcPr>
          <w:p w14:paraId="2DD2A560">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06877D57">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匹配光伏发电数据表的grid_point_id，实现数据节点对齐。</w:t>
            </w:r>
          </w:p>
        </w:tc>
      </w:tr>
      <w:tr w14:paraId="5F287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center"/>
          </w:tcPr>
          <w:p w14:paraId="277EB91E">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forecast_date（预测日期）</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66B128F">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DATE</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E0041C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格式：YYYY-MM-DD</w:t>
            </w:r>
          </w:p>
          <w:p w14:paraId="68E8FB8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示例：2025-12-03</w:t>
            </w:r>
          </w:p>
        </w:tc>
        <w:tc>
          <w:tcPr>
            <w:tcW w:w="5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5CC789D">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预测数据对应的日期，用于匹配实际数据。</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center"/>
          </w:tcPr>
          <w:p w14:paraId="25D35C2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4ECBE4A5">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匹配collected_at的日期部分，实现数据日期对齐。</w:t>
            </w:r>
          </w:p>
        </w:tc>
      </w:tr>
      <w:tr w14:paraId="270A1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center"/>
          </w:tcPr>
          <w:p w14:paraId="775D2534">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forecast_period（预测时段）</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438B6137">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NVARCHAR(10)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7D7FA6B9">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格式：“HH:MM-HH:MM”（1 小时 / 段）</w:t>
            </w:r>
          </w:p>
          <w:p w14:paraId="7E13E698">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示例：08:00-09:00</w:t>
            </w:r>
          </w:p>
        </w:tc>
        <w:tc>
          <w:tcPr>
            <w:tcW w:w="5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6A8BB063">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预测数据对应的小时时段，用于匹配实际数据。</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center"/>
          </w:tcPr>
          <w:p w14:paraId="324BC414">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1AE6C6F5">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匹配collected_at的时间部分，实现数据时段对齐。</w:t>
            </w:r>
          </w:p>
        </w:tc>
      </w:tr>
      <w:tr w14:paraId="1AC23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center"/>
          </w:tcPr>
          <w:p w14:paraId="2A885919">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predicted_generation_kwh（预测发电量）</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0FF232F">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DECIMAL(8,2)</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1F613F5C">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范围：-99999.9–99999.99（单位：kWh）</w:t>
            </w:r>
          </w:p>
          <w:p w14:paraId="0C74C149">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示例：26.00</w:t>
            </w:r>
          </w:p>
        </w:tc>
        <w:tc>
          <w:tcPr>
            <w:tcW w:w="5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1CA7350">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预测时段内的理论发电量，模型输出结果。</w:t>
            </w:r>
          </w:p>
          <w:p w14:paraId="52DC2E05">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预测发电量为零或正值时正常，为负值时视为异常。</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center"/>
          </w:tcPr>
          <w:p w14:paraId="0266A098">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7F999982">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与actual_generation_kwh共同计算 deviation_rate。</w:t>
            </w:r>
          </w:p>
        </w:tc>
      </w:tr>
      <w:tr w14:paraId="58998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center"/>
          </w:tcPr>
          <w:p w14:paraId="0DBDD935">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actual_generation_kwh（实际发电量）</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7A03F403">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DECIMAL(8,2)</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10E7AAA5">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范围：-99999.99–99999.99（单位：kWh）</w:t>
            </w:r>
          </w:p>
          <w:p w14:paraId="7E917DFB">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从光伏发电数据表同步</w:t>
            </w:r>
          </w:p>
          <w:p w14:paraId="6DAA183B">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示例：25.50</w:t>
            </w:r>
          </w:p>
        </w:tc>
        <w:tc>
          <w:tcPr>
            <w:tcW w:w="5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37287A52">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预测时段对应的实际发电量，验证预测精度。</w:t>
            </w:r>
          </w:p>
          <w:p w14:paraId="1BFBA09F">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实际发电量为零或</w:t>
            </w:r>
            <w:bookmarkStart w:id="0" w:name="_GoBack"/>
            <w:bookmarkEnd w:id="0"/>
            <w:r>
              <w:rPr>
                <w:rFonts w:hint="eastAsia" w:ascii="微软雅黑" w:hAnsi="微软雅黑" w:eastAsia="微软雅黑" w:cs="微软雅黑"/>
                <w:i w:val="0"/>
                <w:iCs w:val="0"/>
                <w:caps w:val="0"/>
                <w:color w:val="000000"/>
                <w:spacing w:val="0"/>
                <w:kern w:val="0"/>
                <w:sz w:val="18"/>
                <w:szCs w:val="18"/>
                <w:lang w:val="en-US" w:eastAsia="zh-CN" w:bidi="ar"/>
              </w:rPr>
              <w:t>正值时正常，为负值时视为异常。</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center"/>
          </w:tcPr>
          <w:p w14:paraId="2BF0448B">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1FD3E17A">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从光伏发电数据表的generation_kwh同步；与predicted_generation_kwh共同计算deviation_rate。</w:t>
            </w:r>
          </w:p>
        </w:tc>
      </w:tr>
      <w:tr w14:paraId="17006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center"/>
          </w:tcPr>
          <w:p w14:paraId="7740438E">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deviation_rate（偏差率）</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68C3515">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DECIMAL(5,2)</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18143FC">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范围：-100.00–100.00（单位：%）</w:t>
            </w:r>
          </w:p>
          <w:p w14:paraId="241A5C2C">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公式：(预测-实际)/ 实际 ×100%</w:t>
            </w:r>
          </w:p>
          <w:p w14:paraId="4197C91B">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示例：1.96</w:t>
            </w:r>
          </w:p>
        </w:tc>
        <w:tc>
          <w:tcPr>
            <w:tcW w:w="5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121F229D">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预测与实际数据的偏差程度，评估模型精度。</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center"/>
          </w:tcPr>
          <w:p w14:paraId="121EB978">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35B98527">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由 predicted_generation_kwh和 actual_generation_kwh计算得出；超阈值触发模型优化。</w:t>
            </w:r>
          </w:p>
        </w:tc>
      </w:tr>
      <w:tr w14:paraId="2E260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center"/>
          </w:tcPr>
          <w:p w14:paraId="69D375B9">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model_version（预测模型版本）</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519FE8A3">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NVARCHAR(20)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2F84CD10">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格式：V [主版本].[次版本]• 示例：V2.1</w:t>
            </w:r>
          </w:p>
        </w:tc>
        <w:tc>
          <w:tcPr>
            <w:tcW w:w="5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72F82568">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生成预测数据的模型版本，用于模型迭代。</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center"/>
          </w:tcPr>
          <w:p w14:paraId="6BBD3B0A">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3D79C12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关联数据分析师的“预测模型优化”操作，模型更新后同步版本号。</w:t>
            </w:r>
          </w:p>
        </w:tc>
      </w:tr>
      <w:tr w14:paraId="6B9AC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center"/>
          </w:tcPr>
          <w:p w14:paraId="3A6F85BF">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forecast_id（预测编号）</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C22F33A">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NVARCHAR(30)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55DB765">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格式：FOR-YYYYMMDD-XXXXX（前缀+日期+流水号）</w:t>
            </w:r>
          </w:p>
          <w:p w14:paraId="6F67AEA6">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示例：FOR-20251203-00001</w:t>
            </w:r>
          </w:p>
        </w:tc>
        <w:tc>
          <w:tcPr>
            <w:tcW w:w="5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36D873C3">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每条预测数据的唯一标识符，用于数据管理。</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center"/>
          </w:tcPr>
          <w:p w14:paraId="4FFF4F1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主键</w:t>
            </w:r>
          </w:p>
          <w:p w14:paraId="5CD85FBA">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光伏预测数据表的唯一标识。</w:t>
            </w:r>
          </w:p>
        </w:tc>
      </w:tr>
    </w:tbl>
    <w:p w14:paraId="60983A3A">
      <w:pPr>
        <w:rPr>
          <w:rFonts w:hint="eastAsia"/>
        </w:rPr>
      </w:pPr>
    </w:p>
    <w:p w14:paraId="08DA7462">
      <w:pPr>
        <w:rPr>
          <w:rFonts w:hint="eastAsia"/>
        </w:rPr>
      </w:pPr>
    </w:p>
    <w:p w14:paraId="555478AE">
      <w:pPr>
        <w:pStyle w:val="5"/>
        <w:ind w:left="0" w:leftChars="0" w:firstLine="0" w:firstLineChars="0"/>
        <w:rPr>
          <w:rFonts w:hint="eastAsia"/>
        </w:rPr>
      </w:pPr>
    </w:p>
    <w:p w14:paraId="0EFA8B2F">
      <w:pPr>
        <w:rPr>
          <w:rFonts w:hint="default"/>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E96892"/>
    <w:multiLevelType w:val="singleLevel"/>
    <w:tmpl w:val="C2E96892"/>
    <w:lvl w:ilvl="0" w:tentative="0">
      <w:start w:val="1"/>
      <w:numFmt w:val="decimal"/>
      <w:suff w:val="space"/>
      <w:lvlText w:val="%1."/>
      <w:lvlJc w:val="left"/>
      <w:pPr>
        <w:ind w:left="0" w:firstLine="0"/>
      </w:pPr>
      <w:rPr>
        <w:rFonts w:hint="default" w:ascii="黑体" w:hAnsi="黑体" w:eastAsia="黑体" w:cs="黑体"/>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5D33AA"/>
    <w:rsid w:val="0D240CA4"/>
    <w:rsid w:val="16E14399"/>
    <w:rsid w:val="2A5D33AA"/>
    <w:rsid w:val="2AE56AA8"/>
    <w:rsid w:val="49CD7C46"/>
    <w:rsid w:val="54D84948"/>
    <w:rsid w:val="6B470242"/>
    <w:rsid w:val="6E8C5638"/>
    <w:rsid w:val="6F907CB4"/>
    <w:rsid w:val="701148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659</Words>
  <Characters>712</Characters>
  <Lines>0</Lines>
  <Paragraphs>0</Paragraphs>
  <TotalTime>5</TotalTime>
  <ScaleCrop>false</ScaleCrop>
  <LinksUpToDate>false</LinksUpToDate>
  <CharactersWithSpaces>718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2025-12-02T06:40:00Z</dcterms:created>
  <dc:creator>温柔</dc:creator>
  <cp:lastModifiedBy>温柔</cp:lastModifiedBy>
  <dcterms:modified xsi:type="dcterms:W3CDTF">2025-12-05T11:30:15Z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B7FB37A3BB0347B9B4CE09227CBCB6B5_13</vt:lpwstr>
  </property>
  <property fmtid="{D5CDD505-2E9C-101B-9397-08002B2CF9AE}" pid="4" name="KSOTemplateDocerSaveRecord">
    <vt:lpwstr>eyJoZGlkIjoiMjlhNjU4ZmI4NWNkZDlhZmVkZWE0ODVmYmM0M2Y5Y2QiLCJ1c2VySWQiOiI4MjI1MTI1NDYifQ==</vt:lpwstr>
  </property>
</Properties>
</file>