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第二次组会 需求分析模式明确</w:t>
      </w:r>
    </w:p>
    <w:p>
      <w:pPr>
        <w:pStyle w:val="3"/>
        <w:numPr>
          <w:ilvl w:val="0"/>
          <w:numId w:val="3"/>
        </w:numPr>
        <w:jc w:val="left"/>
      </w:pPr>
      <w:r>
        <w:rPr/>
        <w:t>明确：教材、MOOC资源对数据流图、用例图的定义不清晰、不完整、自我矛盾，缺少示例，需要我们自行结合课内资源规范一个明确的格式。</w:t>
      </w:r>
    </w:p>
    <w:p>
      <w:pPr>
        <w:jc w:val="left"/>
      </w:pPr>
    </w:p>
    <w:p>
      <w:pPr>
        <w:jc w:val="left"/>
      </w:pPr>
    </w:p>
    <w:p>
      <w:pPr>
        <w:pStyle w:val="3"/>
        <w:numPr>
          <w:ilvl w:val="0"/>
          <w:numId w:val="3"/>
        </w:numPr>
        <w:jc w:val="left"/>
      </w:pPr>
      <w:r>
        <w:rPr/>
        <w:t>数据流图</w:t>
      </w:r>
    </w:p>
    <w:p>
      <w:pPr>
        <w:numPr>
          <w:ilvl w:val="0"/>
          <w:numId w:val="2"/>
        </w:numPr>
        <w:jc w:val="left"/>
      </w:pPr>
      <w:r>
        <w:rPr>
          <w:sz w:val="26"/>
          <w:szCs w:val="26"/>
        </w:rPr>
        <w:t>使用平行线表示</w:t>
      </w:r>
      <w:r>
        <w:rPr>
          <w:b/>
          <w:bCs/>
          <w:sz w:val="26"/>
          <w:szCs w:val="26"/>
        </w:rPr>
        <w:t>数据库用户</w:t>
      </w:r>
      <w:r>
        <w:rPr>
          <w:sz w:val="26"/>
          <w:szCs w:val="26"/>
        </w:rPr>
        <w:t>，如系统管理员、运维人员。（根据第五版的教材定义）</w:t>
      </w:r>
    </w:p>
    <w:p>
      <w:pPr>
        <w:numPr>
          <w:ilvl w:val="0"/>
          <w:numId w:val="2"/>
        </w:numPr>
        <w:jc w:val="left"/>
      </w:pPr>
      <w:r>
        <w:rPr>
          <w:sz w:val="26"/>
          <w:szCs w:val="26"/>
        </w:rPr>
        <w:t>使用圆角矩形表示</w:t>
      </w:r>
      <w:r>
        <w:rPr>
          <w:b/>
          <w:bCs/>
          <w:sz w:val="26"/>
          <w:szCs w:val="26"/>
        </w:rPr>
        <w:t>数据库的表。</w:t>
      </w:r>
      <w:r>
        <w:rPr>
          <w:sz w:val="26"/>
          <w:szCs w:val="26"/>
        </w:rPr>
        <w:t>（根据第五版的教材定义）</w:t>
      </w:r>
    </w:p>
    <w:p>
      <w:pPr>
        <w:numPr>
          <w:ilvl w:val="0"/>
          <w:numId w:val="2"/>
        </w:numPr>
        <w:jc w:val="left"/>
      </w:pPr>
      <w:r>
        <w:rPr>
          <w:sz w:val="26"/>
          <w:szCs w:val="26"/>
        </w:rPr>
        <w:t>使用正圆形表示</w:t>
      </w:r>
      <w:r>
        <w:rPr>
          <w:b/>
          <w:bCs/>
          <w:sz w:val="26"/>
          <w:szCs w:val="26"/>
        </w:rPr>
        <w:t>“处理过程”，个人理解“处理过程”是数据的中转、处理，换句话说，用户和表不应该直接建立数据流，必须要流经“处理过程”。</w:t>
      </w:r>
      <w:r>
        <w:rPr>
          <w:b/>
          <w:bCs/>
          <w:color w:val="080F17"/>
          <w:sz w:val="26"/>
          <w:szCs w:val="26"/>
          <w:shd w:val="clear" w:color="ffffff" w:fill="FBF5B3"/>
        </w:rPr>
        <w:t>下图的图形与以上定义的不符，但是内涵一致，供参考。</w:t>
      </w:r>
    </w:p>
    <w:p>
      <w:pPr>
        <w:jc w:val="left"/>
      </w:pPr>
      <w:r>
        <w:rPr/>
        <w:drawing>
          <wp:inline distT="0" distB="0" distL="0" distR="0">
            <wp:extent cx="5270500" cy="3502221"/>
            <wp:effectExtent l="0" t="0" r="0" b="0"/>
            <wp:docPr id="1" name="Picture 5" descr="G2YKEIJEACQ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G2YKEIJEACQ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0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5966276"/>
            <wp:effectExtent l="0" t="0" r="0" b="0"/>
            <wp:docPr id="2" name="Picture 6" descr="Z7R2EIJEACQ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Z7R2EIJEACQA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6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jc w:val="left"/>
      </w:pPr>
      <w:r>
        <w:rPr/>
        <w:t>对以上的1层数据流图，参考一下方式进行文字表述：</w:t>
      </w:r>
    </w:p>
    <w:p>
      <w:pPr>
        <w:jc w:val="left"/>
      </w:pPr>
      <w:r>
        <w:rPr/>
        <w:drawing>
          <wp:inline distT="0" distB="0" distL="0" distR="0">
            <wp:extent cx="5270500" cy="2850711"/>
            <wp:effectExtent l="0" t="0" r="0" b="0"/>
            <wp:docPr id="3" name="Picture 7" descr="ODK22IJEACA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ODK22IJEACAH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jc w:val="left"/>
      </w:pPr>
      <w:r>
        <w:rPr>
          <w:sz w:val="26"/>
          <w:szCs w:val="26"/>
        </w:rPr>
        <w:t>实现箭头表示数据流向，要是双向流动就双向箭头（不过注意是不是同一个数据在双向流动，若不是就拆成一对反向的箭头分别画），线上文字写</w:t>
      </w:r>
      <w:r>
        <w:rPr>
          <w:b/>
          <w:bCs/>
          <w:sz w:val="26"/>
          <w:szCs w:val="26"/>
        </w:rPr>
        <w:t>流动的数据是什么</w:t>
      </w:r>
    </w:p>
    <w:p>
      <w:pPr>
        <w:numPr>
          <w:ilvl w:val="0"/>
          <w:numId w:val="2"/>
        </w:numPr>
        <w:jc w:val="left"/>
      </w:pPr>
      <w:r>
        <w:rPr>
          <w:sz w:val="26"/>
          <w:szCs w:val="26"/>
        </w:rPr>
        <w:t>箭头使用直线/折线的mode，不要曲线，曲线太乱。</w:t>
      </w:r>
    </w:p>
    <w:p>
      <w:pPr>
        <w:numPr>
          <w:ilvl w:val="0"/>
          <w:numId w:val="2"/>
        </w:numPr>
        <w:jc w:val="left"/>
      </w:pPr>
      <w:r>
        <w:rPr>
          <w:sz w:val="26"/>
          <w:szCs w:val="26"/>
        </w:rPr>
        <w:t>数据流图可能常见的分法是0层和1层，若无异议就都画出来</w:t>
      </w:r>
    </w:p>
    <w:p>
      <w:pPr>
        <w:numPr>
          <w:ilvl w:val="0"/>
          <w:numId w:val="2"/>
        </w:numPr>
        <w:jc w:val="left"/>
      </w:pPr>
      <w:r>
        <w:rPr>
          <w:sz w:val="26"/>
          <w:szCs w:val="26"/>
        </w:rPr>
        <w:t>若无异议，再规定draw.io中的字体字号、图形大小等。</w:t>
      </w:r>
    </w:p>
    <w:p>
      <w:pPr>
        <w:pStyle w:val="3"/>
        <w:numPr>
          <w:ilvl w:val="0"/>
          <w:numId w:val="3"/>
        </w:numPr>
        <w:jc w:val="left"/>
      </w:pPr>
      <w:r>
        <w:rPr/>
        <w:t>用例图</w:t>
      </w:r>
    </w:p>
    <w:p>
      <w:pPr>
        <w:numPr>
          <w:ilvl w:val="0"/>
          <w:numId w:val="2"/>
        </w:numPr>
        <w:jc w:val="left"/>
      </w:pPr>
      <w:r>
        <w:rPr>
          <w:sz w:val="26"/>
          <w:szCs w:val="26"/>
        </w:rPr>
        <w:t>用例图使用“人”图形表示</w:t>
      </w:r>
      <w:r>
        <w:rPr>
          <w:b/>
          <w:bCs/>
          <w:sz w:val="26"/>
          <w:szCs w:val="26"/>
        </w:rPr>
        <w:t>参与者</w:t>
      </w:r>
      <w:r>
        <w:rPr>
          <w:sz w:val="26"/>
          <w:szCs w:val="26"/>
        </w:rPr>
        <w:t>（数据库用户或</w:t>
      </w:r>
      <w:r>
        <w:rPr>
          <w:b/>
          <w:bCs/>
          <w:sz w:val="26"/>
          <w:szCs w:val="26"/>
        </w:rPr>
        <w:t>非人的系统、程序</w:t>
      </w:r>
      <w:r>
        <w:rPr>
          <w:sz w:val="26"/>
          <w:szCs w:val="26"/>
        </w:rPr>
        <w:t>）</w:t>
      </w:r>
      <w:r>
        <w:rPr>
          <w:b/>
          <w:bCs/>
          <w:sz w:val="26"/>
          <w:szCs w:val="26"/>
        </w:rPr>
        <w:t>。</w:t>
      </w:r>
    </w:p>
    <w:p>
      <w:pPr>
        <w:jc w:val="center"/>
      </w:pPr>
      <w:r>
        <w:rPr/>
        <w:drawing>
          <wp:inline distT="0" distB="0" distL="0" distR="0">
            <wp:extent cx="1981200" cy="2690779"/>
            <wp:effectExtent l="0" t="0" r="0" b="0"/>
            <wp:docPr id="4" name="Picture 8" descr="WZH26IJEADQD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WZH26IJEADQD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69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jc w:val="left"/>
      </w:pPr>
      <w:r>
        <w:rPr>
          <w:sz w:val="26"/>
          <w:szCs w:val="26"/>
        </w:rPr>
        <w:t>椭圆形表示用例，用例是参与者（在一个系统中）可执行的业务或者功能，可以是抽象的也可以是具体的。</w:t>
      </w:r>
    </w:p>
    <w:p>
      <w:pPr>
        <w:ind w:firstLine="420"/>
        <w:jc w:val="left"/>
      </w:pPr>
      <w:r>
        <w:rPr>
          <w:sz w:val="26"/>
          <w:szCs w:val="26"/>
        </w:rPr>
        <w:t>e.g. 学生（通过教务系统）选课</w:t>
      </w:r>
    </w:p>
    <w:p>
      <w:pPr>
        <w:numPr>
          <w:ilvl w:val="0"/>
          <w:numId w:val="2"/>
        </w:numPr>
        <w:jc w:val="left"/>
      </w:pPr>
      <w:r>
        <w:rPr>
          <w:sz w:val="26"/>
          <w:szCs w:val="26"/>
        </w:rPr>
        <w:t>第五版教材定义了&lt;&lt;Include&gt;&gt;和&lt;&lt;Extend&gt;&gt;两种用例间的链接方式：</w:t>
      </w:r>
    </w:p>
    <w:p>
      <w:pPr>
        <w:numPr>
          <w:ilvl w:val="1"/>
          <w:numId w:val="2"/>
        </w:numPr>
        <w:jc w:val="left"/>
      </w:pPr>
      <w:r>
        <w:rPr>
          <w:sz w:val="26"/>
          <w:szCs w:val="26"/>
        </w:rPr>
        <w:t>对&lt;&lt;include&gt;&gt;，其表达的含义是，被指向的用例是必须被执行的。比如：</w:t>
      </w:r>
    </w:p>
    <w:p>
      <w:pPr>
        <w:jc w:val="left"/>
      </w:pPr>
      <w:r>
        <w:rPr/>
        <w:drawing>
          <wp:inline distT="0" distB="0" distL="0" distR="0">
            <wp:extent cx="5270500" cy="1363696"/>
            <wp:effectExtent l="0" t="0" r="0" b="0"/>
            <wp:docPr id="5" name="Picture 9" descr="YNKL2IJEAAA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YNKL2IJEAAAAK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6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2"/>
        </w:numPr>
        <w:jc w:val="left"/>
      </w:pPr>
      <w:r>
        <w:rPr>
          <w:sz w:val="26"/>
          <w:szCs w:val="26"/>
        </w:rPr>
        <w:t>此处</w:t>
      </w:r>
      <w:r>
        <w:rPr>
          <w:b/>
          <w:bCs/>
          <w:sz w:val="26"/>
          <w:szCs w:val="26"/>
        </w:rPr>
        <w:t>学生身份确认</w:t>
      </w:r>
      <w:r>
        <w:rPr>
          <w:sz w:val="26"/>
          <w:szCs w:val="26"/>
        </w:rPr>
        <w:t>和</w:t>
      </w:r>
      <w:r>
        <w:rPr>
          <w:b/>
          <w:bCs/>
          <w:sz w:val="26"/>
          <w:szCs w:val="26"/>
        </w:rPr>
        <w:t>课程容量确认</w:t>
      </w:r>
      <w:r>
        <w:rPr>
          <w:sz w:val="26"/>
          <w:szCs w:val="26"/>
        </w:rPr>
        <w:t>都是被指向的，是选课必须的操作，不是选择</w:t>
      </w:r>
      <w:r>
        <w:rPr/>
        <w:t>。</w:t>
      </w:r>
    </w:p>
    <w:p>
      <w:pPr>
        <w:numPr>
          <w:ilvl w:val="1"/>
          <w:numId w:val="2"/>
        </w:numPr>
        <w:jc w:val="left"/>
      </w:pPr>
      <w:r>
        <w:rPr/>
        <w:t>对</w:t>
      </w:r>
      <w:r>
        <w:rPr>
          <w:sz w:val="26"/>
          <w:szCs w:val="26"/>
        </w:rPr>
        <w:t>&lt;&lt;extend&gt;&gt;，其表达的含义是，发出&lt;&lt;extend&gt;&gt;的用例是被指向的用例（是具体的可执行的）的一个可选的子功能，可以执行，也可以不执行。比如：</w:t>
      </w:r>
    </w:p>
    <w:p>
      <w:pPr>
        <w:jc w:val="left"/>
      </w:pPr>
      <w:r>
        <w:rPr/>
        <w:drawing>
          <wp:inline distT="0" distB="0" distL="0" distR="0">
            <wp:extent cx="5270500" cy="1332320"/>
            <wp:effectExtent l="0" t="0" r="0" b="0"/>
            <wp:docPr id="6" name="Picture 10" descr="75X4AIJEABA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75X4AIJEABAD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2"/>
        </w:numPr>
        <w:jc w:val="left"/>
      </w:pPr>
      <w:r>
        <w:rPr>
          <w:sz w:val="26"/>
          <w:szCs w:val="26"/>
        </w:rPr>
        <w:t>此处</w:t>
      </w:r>
      <w:r>
        <w:rPr>
          <w:b/>
          <w:bCs/>
          <w:sz w:val="26"/>
          <w:szCs w:val="26"/>
        </w:rPr>
        <w:t>按周查看</w:t>
      </w:r>
      <w:r>
        <w:rPr>
          <w:sz w:val="26"/>
          <w:szCs w:val="26"/>
        </w:rPr>
        <w:t>是查看课表的一个可选操作，即查看课表的时候不一定要按周查看，但可以按周查看。注意此处的</w:t>
      </w:r>
      <w:r>
        <w:rPr>
          <w:b/>
          <w:bCs/>
          <w:sz w:val="26"/>
          <w:szCs w:val="26"/>
        </w:rPr>
        <w:t>查看课表</w:t>
      </w:r>
      <w:r>
        <w:rPr>
          <w:sz w:val="26"/>
          <w:szCs w:val="26"/>
        </w:rPr>
        <w:t>本身是一个可执行的功能。</w:t>
      </w:r>
    </w:p>
    <w:p>
      <w:pPr>
        <w:numPr>
          <w:ilvl w:val="2"/>
          <w:numId w:val="2"/>
        </w:numPr>
        <w:jc w:val="left"/>
      </w:pPr>
      <w:r>
        <w:rPr>
          <w:sz w:val="26"/>
          <w:szCs w:val="26"/>
        </w:rPr>
        <w:t>没有示例，但如果有多个需要extend的用例，个人认为按相同的格式在里面排列就好，适当增加用例椭圆的高度。</w:t>
      </w:r>
    </w:p>
    <w:p>
      <w:pPr>
        <w:numPr>
          <w:ilvl w:val="0"/>
          <w:numId w:val="2"/>
        </w:numPr>
        <w:jc w:val="left"/>
      </w:pPr>
      <w:r>
        <w:rPr>
          <w:sz w:val="26"/>
          <w:szCs w:val="26"/>
        </w:rPr>
        <w:t>第五版教材定义了在</w:t>
      </w:r>
      <w:r>
        <w:rPr>
          <w:b/>
          <w:bCs/>
          <w:sz w:val="26"/>
          <w:szCs w:val="26"/>
        </w:rPr>
        <w:t>参与者</w:t>
      </w:r>
      <w:r>
        <w:rPr>
          <w:sz w:val="26"/>
          <w:szCs w:val="26"/>
        </w:rPr>
        <w:t>之间用空心箭头表示继承关系。但个人认为部分用例客观上也具有这种继承关系，而这种关系无法用&lt;&lt;Include&gt;&gt;和&lt;&lt;Extend&gt;&gt;表示。比如，医疗报销功能，具有线上报销和线下报销两种同级的、必须二选一的途径。个人认为如果需要表达这种关系，就用空心箭头来继承，不局限于只能在参与者之间使用。</w:t>
      </w:r>
    </w:p>
    <w:p>
      <w:pPr>
        <w:numPr>
          <w:ilvl w:val="0"/>
          <w:numId w:val="2"/>
        </w:numPr>
        <w:jc w:val="left"/>
      </w:pPr>
      <w:r>
        <w:rPr>
          <w:sz w:val="26"/>
          <w:szCs w:val="26"/>
        </w:rPr>
        <w:t>用例图的含义相对宽泛，需要表达到什么地步、什么程度根据自己的理解进行。</w:t>
      </w:r>
    </w:p>
    <w:p>
      <w:pPr>
        <w:numPr>
          <w:ilvl w:val="0"/>
          <w:numId w:val="2"/>
        </w:numPr>
        <w:jc w:val="left"/>
      </w:pPr>
      <w:r>
        <w:rPr>
          <w:sz w:val="26"/>
          <w:szCs w:val="26"/>
        </w:rPr>
        <w:t>若无异议，再规定draw.io中的字体字号、图形大小等。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2025-12-04T16:23:26Z</dcterms:created>
  <dcterms:modified xsi:type="dcterms:W3CDTF">2025-12-04T16:23:26Z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