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7D741">
      <w:pPr>
        <w:pStyle w:val="2"/>
        <w:numPr>
          <w:ilvl w:val="0"/>
          <w:numId w:val="1"/>
        </w:numPr>
        <w:ind w:left="0" w:leftChars="0" w:firstLine="0" w:firstLineChars="0"/>
      </w:pPr>
      <w:r>
        <w:t>系统业务</w:t>
      </w:r>
    </w:p>
    <w:p w14:paraId="76E76CE3">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综合能耗管理业务线是智慧能源管理系统中的重要核心组成部分，面向企业水、蒸汽、天然气等多能源场景下的全过程能耗监测与统计需求。通过统一接入智能计量设备数据、自动执行数据质量校验、进行能耗分时拆分与成本计算，该业务线实现对多能源消耗的实时监控、异常数据识别、能耗成本核算与高耗能区域定位分析。其核心目标是解决传统能耗管理模式中人工抄录误差大、多能源分散统计困难、峰谷能耗不可视化、能耗异常发现滞后的问题，为企业节能降耗、经济运行优化提供可靠的数据支撑 。</w:t>
      </w:r>
    </w:p>
    <w:p w14:paraId="61607036">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智能计量设备自动采集水、蒸汽、天然气等能耗数据，并将原始能耗数据传入“能耗数据采集与接入”过程。采集模块对数据进行封装后，将其作为待校验能耗数据传递给</w:t>
      </w:r>
      <w:r>
        <w:t>“数据波动性校验与标记”过程，用于后续的数据质量判断 。</w:t>
      </w:r>
    </w:p>
    <w:p w14:paraId="401A31AA">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计量设备信息表向校验过程和入库过程提供设备基础信息，包括厂区编号和能源类型，用于校验基准的确定和监测数据的厂区补全。系统根据波动性规则对能耗数据进行质量判定，将标记后的能耗监测数据（优/良/中/差）传递给入库模块进行全量存储 。</w:t>
      </w:r>
    </w:p>
    <w:p w14:paraId="53F0CBD3">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对于判定为“中/差”的异常能耗数据，系统将其作为疑似异常数据传递至“异常能耗识别与推送”过程，用于异常识别和后续的业务处理。入库模块将所有完整监测数据（含质量标记）写入</w:t>
      </w:r>
      <w:r>
        <w:t>能耗监测数据表，为统计分析和报表生成提供数据基础 。</w:t>
      </w:r>
    </w:p>
    <w:p w14:paraId="0CBF1104">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异常识别模块将识别出的疑似异常以“异常数据清单”的形式推送给能源管理员；对于判定为重大能源异常的事件，系统将相关信息推送至告警运维系统。能源管理员根据异常清单进行核实后，通过“异常数据输入”过程将修正后的数据状态反馈回系统，并更新“能耗监测数据表”中的记录，完成异常数据的闭环处理</w:t>
      </w:r>
      <w:r>
        <w:t xml:space="preserve"> 。</w:t>
      </w:r>
    </w:p>
    <w:p w14:paraId="6F6AA480">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能耗监测数据表向峰谷统计模块提供当日监测数据（含设备、厂区和能源类型），用于自动划分尖峰、高峰、平段和低谷能耗，并据此计算能耗成本。峰谷统计模块将生成的峰谷能耗统计结果写入峰谷能耗数据表</w:t>
      </w:r>
      <w:r>
        <w:t>，为成本核算与能耗结构分析提供依据 。</w:t>
      </w:r>
    </w:p>
    <w:p w14:paraId="2D45745E">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峰谷能耗数据表</w:t>
      </w:r>
      <w:r>
        <w:t>向报表生成模块提供历史与当日的“日峰谷能耗与成本明细”，用于识别高耗能区域并生成能源管理报表。最终，报表生成模块将整理后的能耗汇总数据（按厂区、能源类型及峰谷占比）传递至大屏展示系统，并生成日能耗成本报表</w:t>
      </w:r>
      <w:r>
        <w:t>供能源管理员查看，用于企业管理层的可视化监控与决策支持 。</w:t>
      </w:r>
    </w:p>
    <w:p w14:paraId="7DDD89E4">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p>
    <w:p w14:paraId="51105A2C">
      <w:pPr>
        <w:pStyle w:val="14"/>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9230" cy="7399020"/>
            <wp:effectExtent l="0" t="0" r="1270" b="5080"/>
            <wp:docPr id="2" name="图片 2" descr="能耗分析（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能耗分析（3）.drawio"/>
                    <pic:cNvPicPr>
                      <a:picLocks noChangeAspect="1"/>
                    </pic:cNvPicPr>
                  </pic:nvPicPr>
                  <pic:blipFill>
                    <a:blip r:embed="rId4"/>
                    <a:stretch>
                      <a:fillRect/>
                    </a:stretch>
                  </pic:blipFill>
                  <pic:spPr>
                    <a:xfrm>
                      <a:off x="0" y="0"/>
                      <a:ext cx="5269230" cy="7399020"/>
                    </a:xfrm>
                    <a:prstGeom prst="rect">
                      <a:avLst/>
                    </a:prstGeom>
                  </pic:spPr>
                </pic:pic>
              </a:graphicData>
            </a:graphic>
          </wp:inline>
        </w:drawing>
      </w:r>
    </w:p>
    <w:p w14:paraId="66C75E20">
      <w:pPr>
        <w:ind w:firstLine="420"/>
        <w:jc w:val="center"/>
        <w:rPr>
          <w:rFonts w:hint="eastAsia" w:asciiTheme="minorEastAsia" w:hAnsiTheme="minorEastAsia" w:cstheme="minorEastAsia"/>
          <w:sz w:val="24"/>
          <w:lang w:val="en-US" w:eastAsia="zh-CN"/>
        </w:rPr>
      </w:pPr>
      <w:r>
        <w:rPr>
          <w:rFonts w:hint="eastAsia" w:asciiTheme="minorEastAsia" w:hAnsiTheme="minorEastAsia" w:cstheme="minorEastAsia"/>
          <w:sz w:val="24"/>
          <w:lang w:val="en-US" w:eastAsia="zh-CN"/>
        </w:rPr>
        <w:t xml:space="preserve">图 x-x </w:t>
      </w:r>
      <w:r>
        <w:rPr>
          <w:rFonts w:asciiTheme="minorEastAsia" w:hAnsiTheme="minorEastAsia" w:cstheme="minorEastAsia"/>
          <w:sz w:val="24"/>
        </w:rPr>
        <w:t>综合能耗管理业务线</w:t>
      </w:r>
      <w:r>
        <w:rPr>
          <w:rFonts w:hint="eastAsia" w:asciiTheme="minorEastAsia" w:hAnsiTheme="minorEastAsia" w:cstheme="minorEastAsia"/>
          <w:sz w:val="24"/>
          <w:lang w:val="en-US" w:eastAsia="zh-CN"/>
        </w:rPr>
        <w:t>数据流图</w:t>
      </w:r>
    </w:p>
    <w:p w14:paraId="6AB46FFD">
      <w:pPr>
        <w:keepNext w:val="0"/>
        <w:keepLines w:val="0"/>
        <w:widowControl w:val="0"/>
        <w:suppressLineNumbers w:val="0"/>
        <w:spacing w:before="0" w:beforeAutospacing="0" w:after="0" w:afterAutospacing="0" w:line="360" w:lineRule="auto"/>
        <w:ind w:left="0" w:right="0" w:firstLine="420" w:firstLineChars="0"/>
        <w:jc w:val="center"/>
        <w:rPr>
          <w:rFonts w:hint="eastAsia" w:ascii="宋体" w:hAnsi="宋体" w:eastAsia="宋体" w:cs="宋体"/>
          <w:kern w:val="2"/>
          <w:sz w:val="24"/>
          <w:szCs w:val="24"/>
          <w:lang w:val="en-US" w:eastAsia="zh-CN" w:bidi="ar"/>
        </w:rPr>
      </w:pPr>
    </w:p>
    <w:p w14:paraId="12F4CC91">
      <w:pPr>
        <w:pStyle w:val="2"/>
        <w:numPr>
          <w:ilvl w:val="0"/>
          <w:numId w:val="1"/>
        </w:numPr>
        <w:ind w:left="0" w:leftChars="0" w:firstLine="0" w:firstLineChars="0"/>
      </w:pPr>
      <w:r>
        <w:t>系统实现业务的角色、功能和信息需求</w:t>
      </w:r>
    </w:p>
    <w:p w14:paraId="5DBA2C64">
      <w:pPr>
        <w:ind w:firstLine="420" w:firstLineChars="0"/>
        <w:rPr>
          <w:rFonts w:hint="eastAsia" w:asciiTheme="minorEastAsia" w:hAnsiTheme="minorEastAsia" w:eastAsiaTheme="minorEastAsia" w:cstheme="minorEastAsia"/>
          <w:sz w:val="24"/>
          <w:szCs w:val="24"/>
          <w:lang w:val="en-US" w:eastAsia="zh-CN"/>
        </w:rPr>
      </w:pPr>
    </w:p>
    <w:p w14:paraId="019BC1E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272405" cy="5203825"/>
            <wp:effectExtent l="0" t="0" r="10795" b="3175"/>
            <wp:docPr id="1" name="图片 1" descr="用例最最终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用例最最终图片"/>
                    <pic:cNvPicPr>
                      <a:picLocks noChangeAspect="1"/>
                    </pic:cNvPicPr>
                  </pic:nvPicPr>
                  <pic:blipFill>
                    <a:blip r:embed="rId5"/>
                    <a:stretch>
                      <a:fillRect/>
                    </a:stretch>
                  </pic:blipFill>
                  <pic:spPr>
                    <a:xfrm>
                      <a:off x="0" y="0"/>
                      <a:ext cx="5272405" cy="5203825"/>
                    </a:xfrm>
                    <a:prstGeom prst="rect">
                      <a:avLst/>
                    </a:prstGeom>
                  </pic:spPr>
                </pic:pic>
              </a:graphicData>
            </a:graphic>
          </wp:inline>
        </w:drawing>
      </w:r>
    </w:p>
    <w:p w14:paraId="64A7DEF1">
      <w:pPr>
        <w:keepNext w:val="0"/>
        <w:keepLines w:val="0"/>
        <w:widowControl w:val="0"/>
        <w:suppressLineNumbers w:val="0"/>
        <w:spacing w:before="0" w:beforeAutospacing="0" w:after="0" w:afterAutospacing="0" w:line="360" w:lineRule="auto"/>
        <w:ind w:left="0" w:right="0" w:firstLine="420" w:firstLineChars="0"/>
        <w:jc w:val="center"/>
        <w:rPr>
          <w:rFonts w:hint="default" w:ascii="Calibri" w:hAnsi="Calibri" w:eastAsia="宋体" w:cs="Times New Roman"/>
          <w:kern w:val="2"/>
          <w:sz w:val="21"/>
          <w:szCs w:val="21"/>
        </w:rPr>
      </w:pPr>
      <w:r>
        <w:rPr>
          <w:rFonts w:hint="eastAsia" w:ascii="宋体" w:hAnsi="宋体" w:eastAsia="宋体" w:cs="宋体"/>
          <w:kern w:val="2"/>
          <w:sz w:val="24"/>
          <w:szCs w:val="24"/>
          <w:lang w:val="en-US" w:eastAsia="zh-CN" w:bidi="ar"/>
        </w:rPr>
        <w:t>图 x-x 综合能耗管理业务线用例图</w:t>
      </w:r>
    </w:p>
    <w:p w14:paraId="46A3DDBC">
      <w:pPr>
        <w:ind w:firstLine="420" w:firstLineChars="0"/>
        <w:rPr>
          <w:rFonts w:hint="eastAsia" w:asciiTheme="minorEastAsia" w:hAnsiTheme="minorEastAsia" w:eastAsiaTheme="minorEastAsia" w:cstheme="minorEastAsia"/>
          <w:sz w:val="24"/>
          <w:szCs w:val="24"/>
          <w:lang w:val="en-US" w:eastAsia="zh-CN"/>
        </w:rPr>
      </w:pPr>
    </w:p>
    <w:p w14:paraId="1AAAD74B">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综合能耗管理业务线涉及能源管理员、设备管理员、企业管理层以及系统后台四类参与者。能源管理员承担企业日常能耗监控相关的核心业务操作，包括查看分析能耗数据表以及审核系统识别的异常能耗记录。当能源管理员查看能耗分析数据时，系统可根据分析结果扩展出“制定分析依据的节能优化方案”这一可选操作，用于进一步支持节能策略制定。设备管理员负责维护计量设备的基础信息，如设备安装位置、能源类型、所属厂区及校准周期等，以保证能耗数据采集过程具备准确的设备属性支撑。企业管理层主要通过系统提供的大屏总览界面查看整体能源运行情况、峰谷能耗占比与关键能耗趋势，用于宏观决策和能源管理监督。</w:t>
      </w:r>
    </w:p>
    <w:p w14:paraId="36C54A32">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后台自动承担能耗数据的采集、处理与统计功能，包括周期性收集智能计量设备上传的能耗数据，以及执行峰谷时段统计与异常判定等自动化过程。后台处理的结果为能源管理员和企业管理层提供数据基础，支持其完成监控、审核、分析和决策等操作。</w:t>
      </w:r>
    </w:p>
    <w:p w14:paraId="54576622">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rPr>
          <w:rFonts w:hint="eastAsia" w:ascii="宋体" w:hAnsi="宋体" w:eastAsia="宋体" w:cs="宋体"/>
        </w:rPr>
        <w:t>系统的数据输入主要包括计量设备上传的能耗监测记录、设备管理员维护的设备基础信息，以及系统后台自动执行统计过程中所需的时间划分与计算参数。系统的处理过程涉及能耗数据自动采集、数据清洗与校验、峰谷分时段计算、异常能耗识别及能耗记录汇总等。最终输出的信息包括能耗分析数据表、异常能耗记录、节能优化方案建议、大屏能耗总览信息以及其他可视化统计结果。</w:t>
      </w:r>
    </w:p>
    <w:p w14:paraId="456F5060">
      <w:pPr>
        <w:pStyle w:val="2"/>
        <w:numPr>
          <w:ilvl w:val="0"/>
          <w:numId w:val="1"/>
        </w:numPr>
        <w:ind w:left="0" w:leftChars="0" w:firstLine="0" w:firstLineChars="0"/>
        <w:rPr>
          <w:b w:val="0"/>
        </w:rPr>
      </w:pPr>
      <w:r>
        <w:t>数据字典</w:t>
      </w:r>
    </w:p>
    <w:p w14:paraId="387EECEA">
      <w:pPr>
        <w:ind w:firstLine="420" w:firstLineChars="0"/>
        <w:rPr>
          <w:rFonts w:hint="eastAsia" w:asciiTheme="minorEastAsia" w:hAnsiTheme="minorEastAsia" w:eastAsiaTheme="minorEastAsia" w:cstheme="minorEastAsia"/>
          <w:sz w:val="24"/>
          <w:szCs w:val="24"/>
          <w:lang w:val="en-US" w:eastAsia="zh-CN"/>
        </w:rPr>
      </w:pPr>
    </w:p>
    <w:tbl>
      <w:tblPr>
        <w:tblStyle w:val="16"/>
        <w:tblW w:w="10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18"/>
        <w:gridCol w:w="1712"/>
        <w:gridCol w:w="2239"/>
        <w:gridCol w:w="1901"/>
        <w:gridCol w:w="2428"/>
      </w:tblGrid>
      <w:tr w14:paraId="57F33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218" w:type="dxa"/>
            <w:tcBorders>
              <w:top w:val="single" w:color="000000" w:themeColor="dark1" w:sz="8" w:space="0"/>
              <w:left w:val="nil"/>
              <w:bottom w:val="single" w:color="000000" w:themeColor="dark1" w:sz="8" w:space="0"/>
              <w:right w:val="single" w:color="999999" w:themeColor="dark1" w:themeTint="66" w:sz="6" w:space="0"/>
            </w:tcBorders>
            <w:shd w:val="clear" w:color="auto" w:fill="FFFFFF"/>
            <w:vAlign w:val="center"/>
          </w:tcPr>
          <w:p w14:paraId="6F124207">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数据项名</w:t>
            </w:r>
          </w:p>
          <w:p w14:paraId="0503620E">
            <w:pPr>
              <w:keepNext w:val="0"/>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（别名）</w:t>
            </w:r>
          </w:p>
        </w:tc>
        <w:tc>
          <w:tcPr>
            <w:tcW w:w="1712"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6E5963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数据类型</w:t>
            </w:r>
          </w:p>
        </w:tc>
        <w:tc>
          <w:tcPr>
            <w:tcW w:w="2239"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3CB11BB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取值约束</w:t>
            </w:r>
          </w:p>
        </w:tc>
        <w:tc>
          <w:tcPr>
            <w:tcW w:w="1901"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0DB8A7C">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含义说明</w:t>
            </w:r>
          </w:p>
        </w:tc>
        <w:tc>
          <w:tcPr>
            <w:tcW w:w="2428" w:type="dxa"/>
            <w:tcBorders>
              <w:top w:val="single" w:color="000000" w:themeColor="dark1" w:sz="8" w:space="0"/>
              <w:left w:val="single" w:color="999999" w:themeColor="dark1" w:themeTint="66" w:sz="6" w:space="0"/>
              <w:bottom w:val="single" w:color="000000" w:themeColor="dark1" w:sz="8" w:space="0"/>
              <w:right w:val="nil"/>
            </w:tcBorders>
            <w:shd w:val="clear" w:color="auto" w:fill="FFFFFF"/>
            <w:vAlign w:val="center"/>
          </w:tcPr>
          <w:p w14:paraId="47F3C82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与其他数据项的关系</w:t>
            </w:r>
          </w:p>
        </w:tc>
      </w:tr>
      <w:tr w14:paraId="5A61C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000000" w:themeColor="dark1" w:sz="8" w:space="0"/>
              <w:left w:val="nil"/>
              <w:bottom w:val="single" w:color="999999" w:themeColor="dark1" w:themeTint="66" w:sz="6" w:space="0"/>
              <w:right w:val="single" w:color="999999" w:themeColor="dark1" w:themeTint="66" w:sz="6" w:space="0"/>
            </w:tcBorders>
            <w:shd w:val="clear" w:color="auto" w:fill="FFFFFF"/>
            <w:vAlign w:val="top"/>
          </w:tcPr>
          <w:p w14:paraId="2DD871C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能耗计量设备信息表（energy_meter）</w:t>
            </w:r>
          </w:p>
        </w:tc>
        <w:tc>
          <w:tcPr>
            <w:tcW w:w="1712"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F123C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34813A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F7E96B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000000" w:themeColor="dark1" w:sz="8" w:space="0"/>
              <w:left w:val="single" w:color="999999" w:themeColor="dark1" w:themeTint="66" w:sz="6" w:space="0"/>
              <w:bottom w:val="single" w:color="999999" w:themeColor="dark1" w:themeTint="66" w:sz="6" w:space="0"/>
              <w:right w:val="nil"/>
            </w:tcBorders>
            <w:shd w:val="clear" w:color="auto" w:fill="FFFFFF"/>
            <w:vAlign w:val="top"/>
          </w:tcPr>
          <w:p w14:paraId="316CD10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61E4A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000000" w:themeColor="dark1" w:sz="8" w:space="0"/>
              <w:left w:val="nil"/>
              <w:bottom w:val="single" w:color="999999" w:themeColor="dark1" w:themeTint="66" w:sz="6" w:space="0"/>
              <w:right w:val="single" w:color="999999" w:themeColor="dark1" w:themeTint="66" w:sz="6" w:space="0"/>
            </w:tcBorders>
            <w:shd w:val="clear" w:color="auto" w:fill="FFFFFF"/>
            <w:vAlign w:val="top"/>
          </w:tcPr>
          <w:p w14:paraId="7C8CDC4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device_id</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（设备编号）</w:t>
            </w:r>
          </w:p>
        </w:tc>
        <w:tc>
          <w:tcPr>
            <w:tcW w:w="1712"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4A3DC3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11D58B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格式：TTXXXXX(类型码+5位流水号)</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类型(TT)：CS=水; LS=蒸汽; NG=天然气</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示例：CS10004</w:t>
            </w:r>
          </w:p>
        </w:tc>
        <w:tc>
          <w:tcPr>
            <w:tcW w:w="1901"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223F9C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系统中设备的唯一标识符，用于区分每一台能耗计量设备。</w:t>
            </w:r>
          </w:p>
        </w:tc>
        <w:tc>
          <w:tcPr>
            <w:tcW w:w="2428" w:type="dxa"/>
            <w:tcBorders>
              <w:top w:val="single" w:color="000000" w:themeColor="dark1" w:sz="8" w:space="0"/>
              <w:left w:val="single" w:color="999999" w:themeColor="dark1" w:themeTint="66" w:sz="6" w:space="0"/>
              <w:bottom w:val="single" w:color="999999" w:themeColor="dark1" w:themeTint="66" w:sz="6" w:space="0"/>
              <w:right w:val="nil"/>
            </w:tcBorders>
            <w:shd w:val="clear" w:color="auto" w:fill="FFFFFF"/>
            <w:vAlign w:val="top"/>
          </w:tcPr>
          <w:p w14:paraId="14EEC78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设备台账表的唯一标识。</w:t>
            </w:r>
          </w:p>
        </w:tc>
      </w:tr>
      <w:tr w14:paraId="68C4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4FEEDA2">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energy_type</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(能源类型）</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DB2DF3C">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DB637D0">
            <w:pPr>
              <w:keepNext w:val="0"/>
              <w:keepLines w:val="0"/>
              <w:widowControl/>
              <w:suppressLineNumbers w:val="0"/>
              <w:spacing w:before="0" w:beforeAutospacing="0" w:after="0" w:afterAutospacing="0" w:line="280" w:lineRule="atLeast"/>
              <w:ind w:left="0" w:leftChars="0" w:right="0" w:rightChars="0" w:firstLine="0" w:firstLineChars="0"/>
              <w:jc w:val="both"/>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枚举值：</w:t>
            </w:r>
            <w:r>
              <w:rPr>
                <w:rFonts w:hint="eastAsia" w:ascii="微软雅黑" w:hAnsi="微软雅黑" w:eastAsia="微软雅黑" w:cs="微软雅黑"/>
                <w:b w:val="0"/>
                <w:i w:val="0"/>
                <w:iCs w:val="0"/>
                <w:color w:val="000000"/>
                <w:kern w:val="0"/>
                <w:sz w:val="18"/>
                <w:szCs w:val="18"/>
                <w:u w:val="none"/>
                <w:lang w:val="en-US" w:eastAsia="zh-CN" w:bidi="ar"/>
              </w:rPr>
              <w:t>“水”、“蒸汽”、“天然气”</w:t>
            </w:r>
            <w:r>
              <w:rPr>
                <w:rFonts w:hint="eastAsia" w:ascii="微软雅黑" w:hAnsi="微软雅黑" w:eastAsia="微软雅黑" w:cs="微软雅黑"/>
                <w:b w:val="0"/>
                <w:i w:val="0"/>
                <w:iCs w:val="0"/>
                <w:color w:val="000000"/>
                <w:kern w:val="0"/>
                <w:sz w:val="18"/>
                <w:szCs w:val="18"/>
                <w:u w:val="none"/>
                <w:lang w:val="en-US" w:eastAsia="zh-CN" w:bidi="ar"/>
              </w:rPr>
              <w:br w:type="textWrapping"/>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4F46A7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表示该设备监测的能源种类，用于区分能耗单位与后续统计逻辑。</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1F80AB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19280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D0197E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install_location</w:t>
            </w:r>
          </w:p>
          <w:p w14:paraId="7D24084E">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（安装位置）</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E05E1D8">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271F7F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格式：“厂区代号–安装点代号”二级结构表示。</w:t>
            </w:r>
          </w:p>
          <w:p w14:paraId="6415256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安装点代号为自由文本，不强制统一编码</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w:t>
            </w:r>
          </w:p>
          <w:p w14:paraId="6E252AB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A3-B1（A3 厂区 / B1 点位）</w:t>
            </w:r>
          </w:p>
          <w:p w14:paraId="69021AD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DG-NW（豆果厂区 / NW 点位）</w:t>
            </w:r>
          </w:p>
          <w:p w14:paraId="443E472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ZW-02（真旺厂区 / 02 点位）</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A0EEFE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记录能源计量设备在厂区中的实际物理安装点。</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E3F2698">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722B8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42FE85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pipe_spec</w:t>
            </w:r>
          </w:p>
          <w:p w14:paraId="1CCEDBD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（管径规格）</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D7AA55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70F6D8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枚举值：DN20、DN25、DN32、DN40、DN50、DN65、DN80、DN100、DN125、DN150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5459BF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表示设备安装所在管道的公称直径，是计量设备量程选择与能耗监测数据合理性校验的重要物理参数。</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49A877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3F6C2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3B743BE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Communication</w:t>
            </w:r>
          </w:p>
          <w:p w14:paraId="4066EAF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_protocol</w:t>
            </w:r>
          </w:p>
          <w:p w14:paraId="315FB84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（通信协议）</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4C0869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95CEFE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枚举值：“RS485” 、“LoRa”</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D04BD6">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设备向系统上传数据采用的通信传输方式。</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7BB75F1A">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5A89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BB996C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operation_status</w:t>
            </w:r>
          </w:p>
          <w:p w14:paraId="396392B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（运行状态）</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0EE2FF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NVARCHAR(5)</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EAAA4A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枚举值：“正常”、“故障”</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B7835B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表示设备当前运行状态，用于能耗监测数据异常排查。</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19AC7D0E">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6EA0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8420E9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calibration_</w:t>
            </w:r>
          </w:p>
          <w:p w14:paraId="0DD4209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cycle_month</w:t>
            </w:r>
          </w:p>
          <w:p w14:paraId="75997FA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（校准周期（月））</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1666BF0">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INT</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90E1A2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范围：1–24（单位：月）• 示例：6</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35F677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设备定期校准的周期，用于维护计划和设备台账管理。</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C7F9A6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BD95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5340C3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manufacturer（生产厂家）</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632421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NVARCHAR(50)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07A9C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文本，不做格式限制</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B6B079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记录设备生产厂商，用于设备质量追溯与维护管理。</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7C9E397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040DB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A5C74B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p w14:paraId="190C8B2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能耗监测数据表（energy_monitoring）</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AE29D1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996FC1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55F69D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0AF44E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242E2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439DAB9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record_id</w:t>
            </w:r>
          </w:p>
          <w:p w14:paraId="702BFE5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（数据编号）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F3EDAC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NVARCHAR(30)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09CDF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格式：EMXXXXX（固定前缀 EM + 5 位流水号）</w:t>
            </w:r>
          </w:p>
          <w:p w14:paraId="35325DE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流水号范围：00001–99999</w:t>
            </w:r>
          </w:p>
          <w:p w14:paraId="5FEB447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示例：EM00001、EM02345、EM10004</w:t>
            </w:r>
          </w:p>
          <w:p w14:paraId="113A6F5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5E2EF7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唯一标识一条能耗监测记录。</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14E8FAC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r>
              <w:rPr>
                <w:rFonts w:hint="eastAsia" w:ascii="微软雅黑" w:hAnsi="微软雅黑" w:eastAsia="微软雅黑" w:cs="微软雅黑"/>
                <w:b w:val="0"/>
                <w:i w:val="0"/>
                <w:iCs w:val="0"/>
                <w:color w:val="000000"/>
                <w:kern w:val="0"/>
                <w:sz w:val="18"/>
                <w:szCs w:val="18"/>
                <w:u w:val="none"/>
                <w:lang w:val="en-US" w:eastAsia="zh-CN" w:bidi="ar"/>
              </w:rPr>
              <w:br w:type="textWrapping"/>
            </w:r>
          </w:p>
        </w:tc>
      </w:tr>
      <w:tr w14:paraId="258CD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6E9EFD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device_id</w:t>
            </w:r>
          </w:p>
          <w:p w14:paraId="1F4847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E16107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86BF43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格式：TTXXXXX(类型码+5位流水号)</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类型(TT)：CS=水; LS=蒸汽; NG=天然气</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示例：CS10004</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F976E2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标识数据来源设备。</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6367D2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外键引用</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能耗计量设备信息表（energy_meter</w:t>
            </w:r>
            <w:r>
              <w:rPr>
                <w:rFonts w:hint="eastAsia" w:ascii="微软雅黑" w:hAnsi="微软雅黑" w:eastAsia="微软雅黑" w:cs="微软雅黑"/>
                <w:b w:val="0"/>
                <w:i w:val="0"/>
                <w:iCs w:val="0"/>
                <w:color w:val="000000"/>
                <w:kern w:val="0"/>
                <w:sz w:val="18"/>
                <w:szCs w:val="18"/>
                <w:u w:val="none"/>
                <w:lang w:val="en-US" w:eastAsia="zh-CN" w:bidi="ar"/>
              </w:rPr>
              <w:t>）</w:t>
            </w:r>
          </w:p>
          <w:p w14:paraId="6962626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用于关联其监测数据，引用本业务线的能耗计量设备信息表。</w:t>
            </w:r>
          </w:p>
        </w:tc>
      </w:tr>
      <w:tr w14:paraId="4A78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68E74B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collected_at</w:t>
            </w:r>
          </w:p>
          <w:p w14:paraId="7384ABF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（采集时间）</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D4E65B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DATETIME</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BD43F3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格式：“YYYY-MM-DD HH:MM:SS”</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示例：2025-03-12 14:25:30。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6730C3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记录能耗值的真实采集时刻，是峰谷划分与统计的依据。</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4F813D5E">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54CBF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B51F61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energy_value</w:t>
            </w:r>
          </w:p>
          <w:p w14:paraId="31CA7CB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（能耗值）</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09BA4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p w14:paraId="5F593C0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4B8BA0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2A8367D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•示例:1250.50、23500.75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FE0B80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记录设备在采集时刻的能耗读数，是监测的核心指标。</w:t>
            </w:r>
          </w:p>
          <w:p w14:paraId="7B14887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533EC6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06344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39AE722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Unit</w:t>
            </w:r>
          </w:p>
          <w:p w14:paraId="432ED9E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（单位）</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770767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BBC5D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枚举值：“m³” / “t” / “kWh”</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540BE6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能耗值所使用的物理单位。</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63A8A3C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0E25F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28E7E96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data_quality</w:t>
            </w:r>
          </w:p>
          <w:p w14:paraId="3610FDE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（数据质量）</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78B0FB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8E6E9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枚举值：“优” / “良” / “中” / “差”</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F0F23D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表示数据的可信度，系统通过波动校验自动标记，中/差会触发复核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327783FF">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43AEA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4E58D99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plant_area_id</w:t>
            </w:r>
          </w:p>
          <w:p w14:paraId="1254494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（所属厂区编号）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030882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268CD7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使用厂区代号</w:t>
            </w:r>
          </w:p>
          <w:p w14:paraId="0F8E9AA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示例：ZW、DG、A3</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A3B368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表示监测数据所属厂区，用于区域级能耗统计与设备归属分析</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6B581EB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31A6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DCA417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峰谷能耗数据表（energy_peakvalley）</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01CE7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CBD605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77412C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714F92E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17B7E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7EA18DC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record_id</w:t>
            </w:r>
          </w:p>
          <w:p w14:paraId="57EB3AE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69A549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NVARCHAR(30)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E48B0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格式：PVXXXXX（固定前缀 PV + 5 位流水号）</w:t>
            </w:r>
          </w:p>
          <w:p w14:paraId="30369A3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示例：PV00001、PV00235、PV12058</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557A00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标识一天一个厂区一类能源的峰谷统计记录。</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FBCD48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p>
        </w:tc>
      </w:tr>
      <w:tr w14:paraId="0C15F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C93D9C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energy_type</w:t>
            </w:r>
          </w:p>
          <w:p w14:paraId="5B26F89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（能源类型）</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6F703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94423D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枚举值：</w:t>
            </w:r>
            <w:r>
              <w:rPr>
                <w:rFonts w:hint="eastAsia" w:ascii="微软雅黑" w:hAnsi="微软雅黑" w:eastAsia="微软雅黑" w:cs="微软雅黑"/>
                <w:b w:val="0"/>
                <w:i w:val="0"/>
                <w:iCs w:val="0"/>
                <w:color w:val="000000"/>
                <w:kern w:val="0"/>
                <w:sz w:val="18"/>
                <w:szCs w:val="18"/>
                <w:u w:val="none"/>
                <w:lang w:val="en-US" w:eastAsia="zh-CN" w:bidi="ar"/>
              </w:rPr>
              <w:t>“水”、“蒸汽”、“天然气”</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809E25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标识统计对象的能源类别。</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4CAD1D3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44C22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1BDDF75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plant_area_id</w:t>
            </w:r>
          </w:p>
          <w:p w14:paraId="6DAE20E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（厂区编号）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71788D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A81456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厂区编码，如 “ZWF”、“DGF”、“A3F”</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578580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标识该峰谷统计记录所属的生产厂区。</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BB5252A">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3CFA2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503D380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statistic_date</w:t>
            </w:r>
          </w:p>
          <w:p w14:paraId="224FAF6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（统计日期）</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9201F9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DATE</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AEF34C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 ：YYYY-MM-DD</w:t>
            </w:r>
          </w:p>
          <w:p w14:paraId="68EF5D2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示例：2025-03-12</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B65DEB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记录峰谷能耗统计对应的自然日。</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41AE3828">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E284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D2EB6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peak_energy</w:t>
            </w:r>
          </w:p>
          <w:p w14:paraId="5AF6569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（尖峰时段能耗）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878745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2C564B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432FA2B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6180FD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10:00–12:00 / 16:00–18:00 的能耗总量。</w:t>
            </w:r>
          </w:p>
          <w:p w14:paraId="794C842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1D3A3EF">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762F3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127B6B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high_energy</w:t>
            </w:r>
          </w:p>
          <w:p w14:paraId="0BA8F3E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（高峰时段能耗）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4C93E9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ACB29D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5B46190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87285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8:00-10:00/12:00-16:00/18:00-22:00的能耗总量。</w:t>
            </w:r>
          </w:p>
          <w:p w14:paraId="73A7EC2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323F94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4910C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FD29DC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flat_energy</w:t>
            </w:r>
          </w:p>
          <w:p w14:paraId="12C5761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（平段能耗）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3CA6F5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B501FF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1FDBA8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6C94E3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6:00-8:00/22:00-24:00的能耗总量。</w:t>
            </w:r>
          </w:p>
          <w:p w14:paraId="4BA037E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3DF30B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3AFA9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220642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valley_energy</w:t>
            </w:r>
          </w:p>
          <w:p w14:paraId="333398F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（低谷时段能耗）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E8DC94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50F939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7059AC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EDF17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00:00-6:00的能耗总量。</w:t>
            </w:r>
          </w:p>
          <w:p w14:paraId="063DAA6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4C50734">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62A3D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28743A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total_energy</w:t>
            </w:r>
          </w:p>
          <w:p w14:paraId="0773F37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（总能耗）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9C6AEB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F3BE28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4F187D8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3B84A8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一天中总能耗的计算结果。</w:t>
            </w:r>
          </w:p>
          <w:p w14:paraId="7C01D31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546F79D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5F287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3026D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peakvalley_price</w:t>
            </w:r>
          </w:p>
          <w:p w14:paraId="277EB91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（峰谷电价）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66B128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DECIMAL(5,2)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8C04A3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0-10.00</w:t>
            </w:r>
          </w:p>
          <w:p w14:paraId="5A3E1B9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单位：元/kWh</w:t>
            </w:r>
          </w:p>
          <w:p w14:paraId="4DE5D9D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示例：0.85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5CC78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用于换算峰谷能耗成本的综合电价或能源单价。</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4D2B32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70A1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53433E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energy_cost</w:t>
            </w:r>
          </w:p>
          <w:p w14:paraId="775D253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（能耗成本）</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38B613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C1ECE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 -999999.99–999999.99</w:t>
            </w:r>
          </w:p>
          <w:p w14:paraId="7503A692">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单位：元</w:t>
            </w:r>
          </w:p>
          <w:p w14:paraId="274ED7C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示例：12500.30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A8BB06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后台自行计算能耗能耗成本值</w:t>
            </w:r>
          </w:p>
          <w:p w14:paraId="5358434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能耗成本为零或正值时正常，为负值时视为异常（一般不为负，后台自动计算）</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4CFBA8A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1AC23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2A88591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FF232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D37CB4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1CA735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8EE39B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58998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DBDD93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A03F40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bookmarkStart w:id="0" w:name="_GoBack"/>
            <w:bookmarkEnd w:id="0"/>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628C88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7287A5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6E729D7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1700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740438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8C351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08DBF7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21F22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33ED2F1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2E260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9D375B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19FE8A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F84CD1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2F8256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5F00E0B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048D3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1C701F9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B39E0F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3BAB6D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108A8B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C60414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bl>
    <w:p w14:paraId="7BBFC125">
      <w:pPr>
        <w:rPr>
          <w:rFonts w:hint="eastAsia" w:asciiTheme="minorEastAsia" w:hAnsiTheme="minorEastAsia" w:eastAsiaTheme="minorEastAsia" w:cstheme="min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A3872F"/>
    <w:multiLevelType w:val="singleLevel"/>
    <w:tmpl w:val="C7A3872F"/>
    <w:lvl w:ilvl="0" w:tentative="0">
      <w:start w:val="1"/>
      <w:numFmt w:val="decimal"/>
      <w:suff w:val="space"/>
      <w:lvlText w:val="%1."/>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921FB4"/>
    <w:rsid w:val="01C25065"/>
    <w:rsid w:val="02235B22"/>
    <w:rsid w:val="049542D9"/>
    <w:rsid w:val="0D9A6E96"/>
    <w:rsid w:val="0DAA4BF9"/>
    <w:rsid w:val="0FD47BB9"/>
    <w:rsid w:val="15A9411A"/>
    <w:rsid w:val="16C805D0"/>
    <w:rsid w:val="1767428D"/>
    <w:rsid w:val="19D90D46"/>
    <w:rsid w:val="1AC6778B"/>
    <w:rsid w:val="1EBF050A"/>
    <w:rsid w:val="22D21682"/>
    <w:rsid w:val="25686DF2"/>
    <w:rsid w:val="27053614"/>
    <w:rsid w:val="2B447689"/>
    <w:rsid w:val="2C0B1D41"/>
    <w:rsid w:val="330966F1"/>
    <w:rsid w:val="3FAE0762"/>
    <w:rsid w:val="42224F20"/>
    <w:rsid w:val="432B58BF"/>
    <w:rsid w:val="45311DC7"/>
    <w:rsid w:val="471C2241"/>
    <w:rsid w:val="4A364346"/>
    <w:rsid w:val="4EF60E2B"/>
    <w:rsid w:val="51073649"/>
    <w:rsid w:val="518B5691"/>
    <w:rsid w:val="523B78D6"/>
    <w:rsid w:val="537D2167"/>
    <w:rsid w:val="59921FB4"/>
    <w:rsid w:val="5C6F0AB8"/>
    <w:rsid w:val="5E4F367F"/>
    <w:rsid w:val="5EDA583B"/>
    <w:rsid w:val="60970099"/>
    <w:rsid w:val="69AC0A3C"/>
    <w:rsid w:val="6FAF0247"/>
    <w:rsid w:val="725400E9"/>
    <w:rsid w:val="74C94DB4"/>
    <w:rsid w:val="76300364"/>
    <w:rsid w:val="77F47B34"/>
    <w:rsid w:val="7A2D24A9"/>
    <w:rsid w:val="7B3C7FE0"/>
    <w:rsid w:val="7E7A0ECD"/>
    <w:rsid w:val="7EED34ED"/>
    <w:rsid w:val="7F1A23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8">
    <w:name w:val="Strong"/>
    <w:basedOn w:val="1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2858</Words>
  <Characters>3921</Characters>
  <Lines>0</Lines>
  <Paragraphs>0</Paragraphs>
  <TotalTime>9</TotalTime>
  <ScaleCrop>false</ScaleCrop>
  <LinksUpToDate>false</LinksUpToDate>
  <CharactersWithSpaces>4030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2025-11-27T13:10:00Z</dcterms:created>
  <dc:creator>TH1RT3EN</dc:creator>
  <cp:lastModifiedBy>WPS_1695014859</cp:lastModifiedBy>
  <dcterms:modified xsi:type="dcterms:W3CDTF">2025-12-13T13:00:12Z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F03B99AAF3B2463A9BAF97D0252B5E84_13</vt:lpwstr>
  </property>
  <property fmtid="{D5CDD505-2E9C-101B-9397-08002B2CF9AE}" pid="4" name="KSOTemplateDocerSaveRecord">
    <vt:lpwstr>eyJoZGlkIjoiODFiZWM4MzMyMWQxYTk4YzdlNDE2Njg3MjY5M2ZkNDkiLCJ1c2VySWQiOiIxNTM2NDkwNjY0In0=</vt:lpwstr>
  </property>
</Properties>
</file>