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B7D741">
      <w:pPr>
        <w:pStyle w:val="2"/>
        <w:numPr>
          <w:ilvl w:val="0"/>
          <w:numId w:val="1"/>
        </w:numPr>
        <w:ind w:left="0" w:leftChars="0" w:firstLine="0" w:firstLineChars="0"/>
      </w:pPr>
      <w:r>
        <w:t>系统业务</w:t>
      </w:r>
    </w:p>
    <w:p w14:paraId="76E76CE3">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综合能耗管理业务线是智慧能源管理系统中的重要核心组成部分，面向企业水、蒸汽、天然气等多能源场景下的全过程能耗监测与统计需求。通过统一接入智能计量设备数据、自动执行数据质量校验、进行能耗分时拆分与成本计算，该业务线实现对多能源消耗的实时监控、异常数据识别、能耗成本核算与高耗能区域定位分析。其核心目标是解决传统能耗管理模式中人工抄录误差大、多能源分散统计困难、峰谷能耗不可视化、能耗异常发现滞后的问题，为企业节能降耗、经济运行优化提供可靠的数据支撑 。</w:t>
      </w:r>
    </w:p>
    <w:p w14:paraId="61607036">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智能计量设备自动采集水、蒸汽、天然气等能耗数据，并将原始能耗数据传入“能耗数据采集与接入”过程。采集模块对数据进行封装后，将其作为待校验能耗数据传递给“数据波动性校验与标记”过程，用于后续的数据质量判断 。</w:t>
      </w:r>
    </w:p>
    <w:p w14:paraId="401A31AA">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计量设备信息表向校验过程和入库过程提供设备基础信息，包括厂区编号和能源类型，用于校验基准的确定和监测数据的厂区补全。系统根据波动性规则对能耗数据进行质量判定，将标记后的能耗监测数据（优/良/中/差）传递给入库模块进行全量存储 。</w:t>
      </w:r>
    </w:p>
    <w:p w14:paraId="53F0CBD3">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对于判定为“中/差”的异常能耗数据，系统将其作为疑似异常数据传递至“异常能耗识别与推送”过程，用于异常识别和后续的业务处理。入库模块将所有完整监测数据（含质量标记）写入能耗监测数据表，为统计分析和报表生成提供数据基础 。</w:t>
      </w:r>
    </w:p>
    <w:p w14:paraId="0CBF1104">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异常识别模块将识别出的疑似异常以“异常数据清单”的形式推送给能源管理员；对于判定为重大能源异常的事件，系统将相关信息推送至告警运维系统。能源管理员根据异常清单进行核实后，通过“异常数据输入”过程将修正后的数据状态反馈回系统，并更新“能耗监测数据表”中的记录，完成异常数据的闭环处理 。</w:t>
      </w:r>
    </w:p>
    <w:p w14:paraId="6F6AA480">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能耗监测数据表向峰谷统计模块提供当日监测数据（含设备、厂区和能源类型），用于自动划分尖峰、高峰、平段和低谷能耗，并据此计算能耗成本。峰谷统计模块将生成的峰谷能耗统计结果写入峰谷能耗数据表，为成本核算与能耗结构分析提供依据 。</w:t>
      </w:r>
    </w:p>
    <w:p w14:paraId="2D45745E">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峰谷能耗数据表向报表生成模块提供历史与当日的“日峰谷能耗与成本明细”，用于识别高耗能区域并生成能源管理报表。最终，报表生成模块将整理后的能耗汇总数据（按厂区、能源类型及峰谷占比）传递至大屏展示系统，并生成日能耗成本报表供能源管理员查看，用于企业管理层的可视化监控与决策支持 。</w:t>
      </w:r>
    </w:p>
    <w:p w14:paraId="7DDD89E4">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p>
    <w:p w14:paraId="51105A2C">
      <w:pPr>
        <w:pStyle w:val="14"/>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5269230" cy="7399020"/>
            <wp:effectExtent l="0" t="0" r="1270" b="5080"/>
            <wp:docPr id="2" name="图片 2" descr="能耗分析（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能耗分析（3）.drawio"/>
                    <pic:cNvPicPr>
                      <a:picLocks noChangeAspect="1"/>
                    </pic:cNvPicPr>
                  </pic:nvPicPr>
                  <pic:blipFill>
                    <a:blip r:embed="rId6"/>
                    <a:stretch>
                      <a:fillRect/>
                    </a:stretch>
                  </pic:blipFill>
                  <pic:spPr>
                    <a:xfrm>
                      <a:off x="0" y="0"/>
                      <a:ext cx="5269230" cy="7399020"/>
                    </a:xfrm>
                    <a:prstGeom prst="rect">
                      <a:avLst/>
                    </a:prstGeom>
                  </pic:spPr>
                </pic:pic>
              </a:graphicData>
            </a:graphic>
          </wp:inline>
        </w:drawing>
      </w:r>
    </w:p>
    <w:p w14:paraId="66C75E20">
      <w:pPr>
        <w:ind w:firstLine="420"/>
        <w:jc w:val="center"/>
        <w:rPr>
          <w:rFonts w:hint="eastAsia" w:asciiTheme="minorEastAsia" w:hAnsiTheme="minorEastAsia" w:cstheme="minorEastAsia"/>
          <w:sz w:val="24"/>
          <w:lang w:val="en-US" w:eastAsia="zh-CN"/>
        </w:rPr>
      </w:pPr>
      <w:r>
        <w:rPr>
          <w:rFonts w:hint="eastAsia" w:asciiTheme="minorEastAsia" w:hAnsiTheme="minorEastAsia" w:cstheme="minorEastAsia"/>
          <w:sz w:val="24"/>
          <w:lang w:val="en-US" w:eastAsia="zh-CN"/>
        </w:rPr>
        <w:t xml:space="preserve">图 x-x </w:t>
      </w:r>
      <w:r>
        <w:rPr>
          <w:rFonts w:asciiTheme="minorEastAsia" w:hAnsiTheme="minorEastAsia" w:cstheme="minorEastAsia"/>
          <w:sz w:val="24"/>
        </w:rPr>
        <w:t>综合能耗管理业务线</w:t>
      </w:r>
      <w:r>
        <w:rPr>
          <w:rFonts w:hint="eastAsia" w:asciiTheme="minorEastAsia" w:hAnsiTheme="minorEastAsia" w:cstheme="minorEastAsia"/>
          <w:sz w:val="24"/>
          <w:lang w:val="en-US" w:eastAsia="zh-CN"/>
        </w:rPr>
        <w:t>数据流图</w:t>
      </w:r>
    </w:p>
    <w:p w14:paraId="6AB46FFD">
      <w:pPr>
        <w:keepNext w:val="0"/>
        <w:keepLines w:val="0"/>
        <w:widowControl w:val="0"/>
        <w:suppressLineNumbers w:val="0"/>
        <w:spacing w:before="0" w:beforeAutospacing="0" w:after="0" w:afterAutospacing="0" w:line="360" w:lineRule="auto"/>
        <w:ind w:left="0" w:right="0" w:firstLine="420" w:firstLineChars="0"/>
        <w:jc w:val="center"/>
        <w:rPr>
          <w:rFonts w:hint="eastAsia" w:ascii="宋体" w:hAnsi="宋体" w:eastAsia="宋体" w:cs="宋体"/>
          <w:kern w:val="2"/>
          <w:sz w:val="24"/>
          <w:szCs w:val="24"/>
          <w:lang w:val="en-US" w:eastAsia="zh-CN" w:bidi="ar"/>
        </w:rPr>
      </w:pPr>
    </w:p>
    <w:p w14:paraId="12F4CC91">
      <w:pPr>
        <w:pStyle w:val="2"/>
        <w:numPr>
          <w:ilvl w:val="0"/>
          <w:numId w:val="1"/>
        </w:numPr>
        <w:ind w:left="0" w:leftChars="0" w:firstLine="0" w:firstLineChars="0"/>
      </w:pPr>
      <w:r>
        <w:t>系统实现业务的角色、功能和信息需求</w:t>
      </w:r>
    </w:p>
    <w:p w14:paraId="5DBA2C64">
      <w:pPr>
        <w:ind w:firstLine="420" w:firstLineChars="0"/>
        <w:rPr>
          <w:rFonts w:hint="eastAsia" w:asciiTheme="minorEastAsia" w:hAnsiTheme="minorEastAsia" w:eastAsiaTheme="minorEastAsia" w:cstheme="minorEastAsia"/>
          <w:sz w:val="24"/>
          <w:szCs w:val="24"/>
          <w:lang w:val="en-US" w:eastAsia="zh-CN"/>
        </w:rPr>
      </w:pPr>
    </w:p>
    <w:p w14:paraId="019BC1E2">
      <w:pPr>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drawing>
          <wp:inline distT="0" distB="0" distL="114300" distR="114300">
            <wp:extent cx="5272405" cy="5203825"/>
            <wp:effectExtent l="0" t="0" r="10795" b="3175"/>
            <wp:docPr id="1" name="图片 1" descr="用例最最终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用例最最终图片"/>
                    <pic:cNvPicPr>
                      <a:picLocks noChangeAspect="1"/>
                    </pic:cNvPicPr>
                  </pic:nvPicPr>
                  <pic:blipFill>
                    <a:blip r:embed="rId7"/>
                    <a:stretch>
                      <a:fillRect/>
                    </a:stretch>
                  </pic:blipFill>
                  <pic:spPr>
                    <a:xfrm>
                      <a:off x="0" y="0"/>
                      <a:ext cx="5272405" cy="5203825"/>
                    </a:xfrm>
                    <a:prstGeom prst="rect">
                      <a:avLst/>
                    </a:prstGeom>
                  </pic:spPr>
                </pic:pic>
              </a:graphicData>
            </a:graphic>
          </wp:inline>
        </w:drawing>
      </w:r>
    </w:p>
    <w:p w14:paraId="64A7DEF1">
      <w:pPr>
        <w:keepNext w:val="0"/>
        <w:keepLines w:val="0"/>
        <w:widowControl w:val="0"/>
        <w:suppressLineNumbers w:val="0"/>
        <w:spacing w:before="0" w:beforeAutospacing="0" w:after="0" w:afterAutospacing="0" w:line="360" w:lineRule="auto"/>
        <w:ind w:left="0" w:right="0" w:firstLine="420" w:firstLineChars="0"/>
        <w:jc w:val="center"/>
        <w:rPr>
          <w:rFonts w:hint="default" w:ascii="Calibri" w:hAnsi="Calibri" w:eastAsia="宋体" w:cs="Times New Roman"/>
          <w:kern w:val="2"/>
          <w:sz w:val="21"/>
          <w:szCs w:val="21"/>
        </w:rPr>
      </w:pPr>
      <w:r>
        <w:rPr>
          <w:rFonts w:hint="eastAsia" w:ascii="宋体" w:hAnsi="宋体" w:eastAsia="宋体" w:cs="宋体"/>
          <w:kern w:val="2"/>
          <w:sz w:val="24"/>
          <w:szCs w:val="24"/>
          <w:lang w:val="en-US" w:eastAsia="zh-CN" w:bidi="ar"/>
        </w:rPr>
        <w:t>图 x-x 综合能耗管理业务线用例图</w:t>
      </w:r>
    </w:p>
    <w:p w14:paraId="46A3DDBC">
      <w:pPr>
        <w:ind w:firstLine="420" w:firstLineChars="0"/>
        <w:rPr>
          <w:rFonts w:hint="eastAsia" w:asciiTheme="minorEastAsia" w:hAnsiTheme="minorEastAsia" w:eastAsiaTheme="minorEastAsia" w:cstheme="minorEastAsia"/>
          <w:sz w:val="24"/>
          <w:szCs w:val="24"/>
          <w:lang w:val="en-US" w:eastAsia="zh-CN"/>
        </w:rPr>
      </w:pPr>
    </w:p>
    <w:p w14:paraId="1AAAD74B">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综合能耗管理业务线涉及能源管理员、设备管理员、企业管理层以及系统后台四类参与者。能源管理员承担企业日常能耗监控相关的核心业务操作，包括查看分析能耗数据表以及审核系统识别的异常能耗记录。当能源管理员查看能耗分析数据时，系统可根据分析结果扩展出“制定分析依据的节能优化方案”这一可选操作，用于进一步支持节能策略制定。设备管理员负责维护计量设备的基础信息，如设备安装位置、能源类型、所属厂区及校准周期等，以保证能耗数据采集过程具备准确的设备属性支撑。企业管理层主要通过系统提供的大屏总览界面查看整体能源运行情况、峰谷能耗占比与关键能耗趋势，用于宏观决策和能源管理监督。</w:t>
      </w:r>
    </w:p>
    <w:p w14:paraId="36C54A32">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rPr>
          <w:rFonts w:hint="eastAsia" w:ascii="宋体" w:hAnsi="宋体" w:eastAsia="宋体" w:cs="宋体"/>
        </w:rPr>
      </w:pPr>
      <w:r>
        <w:rPr>
          <w:rFonts w:hint="eastAsia" w:ascii="宋体" w:hAnsi="宋体" w:eastAsia="宋体" w:cs="宋体"/>
        </w:rPr>
        <w:t>系统后台自动承担能耗数据的采集、处理与统计功能，包括周期性收集智能计量设备上传的能耗数据，以及执行峰谷时段统计与异常判定等自动化过程。后台处理的结果为能源管理员和企业管理层提供数据基础，支持其完成监控、审核、分析和决策等操作。</w:t>
      </w:r>
    </w:p>
    <w:p w14:paraId="54576622">
      <w:pPr>
        <w:pStyle w:val="14"/>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rPr>
          <w:rFonts w:hint="eastAsia" w:ascii="宋体" w:hAnsi="宋体" w:eastAsia="宋体" w:cs="宋体"/>
        </w:rPr>
        <w:t>系统的数据输入主要包括计量设备上传的能耗监测记录、设备管理员维护的设备基础信息，以及系统后台自动执行统计过程中所需的时间划分与计算参数。系统的处理过程涉及能耗数据自动采集、数据清洗与校验、峰谷分时段计算、异常能耗识别及能耗记录汇总等。最终输出的信息包括能耗分析数据表、异常能耗记录、节能优化方案建议、大屏能耗总览信息以及其他可视化统计结果。</w:t>
      </w:r>
    </w:p>
    <w:p w14:paraId="456F5060">
      <w:pPr>
        <w:pStyle w:val="2"/>
        <w:numPr>
          <w:ilvl w:val="0"/>
          <w:numId w:val="1"/>
        </w:numPr>
        <w:ind w:left="0" w:leftChars="0" w:firstLine="0" w:firstLineChars="0"/>
        <w:rPr>
          <w:b w:val="0"/>
        </w:rPr>
      </w:pPr>
      <w:commentRangeStart w:id="0"/>
      <w:r>
        <w:t>数据字典</w:t>
      </w:r>
      <w:commentRangeEnd w:id="0"/>
      <w:r>
        <w:commentReference w:id="0"/>
      </w:r>
    </w:p>
    <w:p w14:paraId="387EECEA">
      <w:pPr>
        <w:ind w:firstLine="420" w:firstLineChars="0"/>
        <w:rPr>
          <w:rFonts w:hint="eastAsia" w:asciiTheme="minorEastAsia" w:hAnsiTheme="minorEastAsia" w:eastAsiaTheme="minorEastAsia" w:cstheme="minorEastAsia"/>
          <w:sz w:val="24"/>
          <w:szCs w:val="24"/>
          <w:lang w:val="en-US" w:eastAsia="zh-CN"/>
        </w:rPr>
      </w:pPr>
    </w:p>
    <w:tbl>
      <w:tblPr>
        <w:tblStyle w:val="16"/>
        <w:tblW w:w="10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218"/>
        <w:gridCol w:w="1712"/>
        <w:gridCol w:w="2239"/>
        <w:gridCol w:w="1901"/>
        <w:gridCol w:w="2428"/>
      </w:tblGrid>
      <w:tr w14:paraId="57F33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2218" w:type="dxa"/>
            <w:tcBorders>
              <w:top w:val="single" w:color="000000" w:themeColor="dark1" w:sz="8" w:space="0"/>
              <w:left w:val="nil"/>
              <w:bottom w:val="single" w:color="000000" w:themeColor="dark1" w:sz="8" w:space="0"/>
              <w:right w:val="single" w:color="999999" w:themeColor="dark1" w:themeTint="66" w:sz="6" w:space="0"/>
            </w:tcBorders>
            <w:shd w:val="clear" w:color="auto" w:fill="FFFFFF"/>
            <w:vAlign w:val="center"/>
          </w:tcPr>
          <w:p w14:paraId="6F124207">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数据项名</w:t>
            </w:r>
          </w:p>
          <w:p w14:paraId="0503620E">
            <w:pPr>
              <w:keepNext w:val="0"/>
              <w:keepLines w:val="0"/>
              <w:widowControl/>
              <w:suppressLineNumbers w:val="0"/>
              <w:snapToGrid w:val="0"/>
              <w:ind w:left="0" w:leftChars="0" w:right="0" w:rightChars="0" w:firstLine="0" w:firstLineChars="0"/>
              <w:jc w:val="center"/>
              <w:textAlignment w:val="center"/>
              <w:rPr>
                <w:rFonts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（别名）</w:t>
            </w:r>
          </w:p>
        </w:tc>
        <w:tc>
          <w:tcPr>
            <w:tcW w:w="1712" w:type="dxa"/>
            <w:tcBorders>
              <w:top w:val="single" w:color="000000" w:themeColor="dark1" w:sz="8" w:space="0"/>
              <w:left w:val="single" w:color="999999" w:themeColor="dark1" w:themeTint="66" w:sz="6" w:space="0"/>
              <w:bottom w:val="single" w:color="000000" w:themeColor="dark1" w:sz="8" w:space="0"/>
              <w:right w:val="single" w:color="999999" w:themeColor="dark1" w:themeTint="66" w:sz="6" w:space="0"/>
            </w:tcBorders>
            <w:shd w:val="clear" w:color="auto" w:fill="FFFFFF"/>
            <w:vAlign w:val="center"/>
          </w:tcPr>
          <w:p w14:paraId="06E59635">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数据类型</w:t>
            </w:r>
          </w:p>
        </w:tc>
        <w:tc>
          <w:tcPr>
            <w:tcW w:w="2239" w:type="dxa"/>
            <w:tcBorders>
              <w:top w:val="single" w:color="000000" w:themeColor="dark1" w:sz="8" w:space="0"/>
              <w:left w:val="single" w:color="999999" w:themeColor="dark1" w:themeTint="66" w:sz="6" w:space="0"/>
              <w:bottom w:val="single" w:color="000000" w:themeColor="dark1" w:sz="8" w:space="0"/>
              <w:right w:val="single" w:color="999999" w:themeColor="dark1" w:themeTint="66" w:sz="6" w:space="0"/>
            </w:tcBorders>
            <w:shd w:val="clear" w:color="auto" w:fill="FFFFFF"/>
            <w:vAlign w:val="center"/>
          </w:tcPr>
          <w:p w14:paraId="3CB11BB4">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取值约束</w:t>
            </w:r>
          </w:p>
        </w:tc>
        <w:tc>
          <w:tcPr>
            <w:tcW w:w="1901" w:type="dxa"/>
            <w:tcBorders>
              <w:top w:val="single" w:color="000000" w:themeColor="dark1" w:sz="8" w:space="0"/>
              <w:left w:val="single" w:color="999999" w:themeColor="dark1" w:themeTint="66" w:sz="6" w:space="0"/>
              <w:bottom w:val="single" w:color="000000" w:themeColor="dark1" w:sz="8" w:space="0"/>
              <w:right w:val="single" w:color="999999" w:themeColor="dark1" w:themeTint="66" w:sz="6" w:space="0"/>
            </w:tcBorders>
            <w:shd w:val="clear" w:color="auto" w:fill="FFFFFF"/>
            <w:vAlign w:val="center"/>
          </w:tcPr>
          <w:p w14:paraId="00DB8A7C">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含义说明</w:t>
            </w:r>
          </w:p>
        </w:tc>
        <w:tc>
          <w:tcPr>
            <w:tcW w:w="2428" w:type="dxa"/>
            <w:tcBorders>
              <w:top w:val="single" w:color="000000" w:themeColor="dark1" w:sz="8" w:space="0"/>
              <w:left w:val="single" w:color="999999" w:themeColor="dark1" w:themeTint="66" w:sz="6" w:space="0"/>
              <w:bottom w:val="single" w:color="000000" w:themeColor="dark1" w:sz="8" w:space="0"/>
              <w:right w:val="nil"/>
            </w:tcBorders>
            <w:shd w:val="clear" w:color="auto" w:fill="FFFFFF"/>
            <w:vAlign w:val="center"/>
          </w:tcPr>
          <w:p w14:paraId="47F3C825">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与其他数据项的关系</w:t>
            </w:r>
          </w:p>
        </w:tc>
      </w:tr>
      <w:tr w14:paraId="5A61C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000000" w:themeColor="dark1" w:sz="8" w:space="0"/>
              <w:left w:val="nil"/>
              <w:bottom w:val="single" w:color="999999" w:themeColor="dark1" w:themeTint="66" w:sz="6" w:space="0"/>
              <w:right w:val="single" w:color="999999" w:themeColor="dark1" w:themeTint="66" w:sz="6" w:space="0"/>
            </w:tcBorders>
            <w:shd w:val="clear" w:color="auto" w:fill="FFFFFF"/>
            <w:vAlign w:val="top"/>
          </w:tcPr>
          <w:p w14:paraId="2DD871C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FF0000"/>
                <w:kern w:val="0"/>
                <w:sz w:val="18"/>
                <w:szCs w:val="18"/>
                <w:u w:val="none"/>
                <w:lang w:val="en-US" w:eastAsia="zh-CN" w:bidi="ar"/>
              </w:rPr>
              <w:t>能耗计量设备信息表（energy_meter）</w:t>
            </w:r>
          </w:p>
        </w:tc>
        <w:tc>
          <w:tcPr>
            <w:tcW w:w="1712" w:type="dxa"/>
            <w:tcBorders>
              <w:top w:val="single" w:color="000000" w:themeColor="dark1" w:sz="8"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6F123C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239" w:type="dxa"/>
            <w:tcBorders>
              <w:top w:val="single" w:color="000000" w:themeColor="dark1" w:sz="8"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34813A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000000" w:themeColor="dark1" w:sz="8"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F7E96B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000000" w:themeColor="dark1" w:sz="8" w:space="0"/>
              <w:left w:val="single" w:color="999999" w:themeColor="dark1" w:themeTint="66" w:sz="6" w:space="0"/>
              <w:bottom w:val="single" w:color="999999" w:themeColor="dark1" w:themeTint="66" w:sz="6" w:space="0"/>
              <w:right w:val="nil"/>
            </w:tcBorders>
            <w:shd w:val="clear" w:color="auto" w:fill="FFFFFF"/>
            <w:vAlign w:val="top"/>
          </w:tcPr>
          <w:p w14:paraId="316CD10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r>
      <w:tr w14:paraId="61E4A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000000" w:themeColor="dark1" w:sz="8" w:space="0"/>
              <w:left w:val="nil"/>
              <w:bottom w:val="single" w:color="999999" w:themeColor="dark1" w:themeTint="66" w:sz="6" w:space="0"/>
              <w:right w:val="single" w:color="999999" w:themeColor="dark1" w:themeTint="66" w:sz="6" w:space="0"/>
            </w:tcBorders>
            <w:shd w:val="clear" w:color="auto" w:fill="FFFFFF"/>
            <w:vAlign w:val="top"/>
          </w:tcPr>
          <w:p w14:paraId="7C8CDC4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device_id</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（设备编号）</w:t>
            </w:r>
          </w:p>
        </w:tc>
        <w:tc>
          <w:tcPr>
            <w:tcW w:w="1712" w:type="dxa"/>
            <w:tcBorders>
              <w:top w:val="single" w:color="000000" w:themeColor="dark1" w:sz="8"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4A3DC3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sz w:val="18"/>
                <w:szCs w:val="18"/>
                <w:u w:val="none"/>
              </w:rPr>
            </w:pPr>
            <w:r>
              <w:rPr>
                <w:rFonts w:hint="eastAsia" w:ascii="微软雅黑" w:hAnsi="微软雅黑" w:eastAsia="微软雅黑" w:cs="微软雅黑"/>
                <w:b w:val="0"/>
                <w:i w:val="0"/>
                <w:iCs w:val="0"/>
                <w:color w:val="000000"/>
                <w:kern w:val="0"/>
                <w:sz w:val="18"/>
                <w:szCs w:val="18"/>
                <w:u w:val="none"/>
                <w:lang w:val="en-US" w:eastAsia="zh-CN" w:bidi="ar"/>
              </w:rPr>
              <w:t>NVARCHAR(20)</w:t>
            </w:r>
          </w:p>
        </w:tc>
        <w:tc>
          <w:tcPr>
            <w:tcW w:w="2239" w:type="dxa"/>
            <w:tcBorders>
              <w:top w:val="single" w:color="000000" w:themeColor="dark1" w:sz="8"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11D58B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格式：TTXXXXX(类型码+5位流水号)</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类型(TT)：CS=水; LS=蒸汽; NG=天然气</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示例：CS10004</w:t>
            </w:r>
          </w:p>
        </w:tc>
        <w:tc>
          <w:tcPr>
            <w:tcW w:w="1901" w:type="dxa"/>
            <w:tcBorders>
              <w:top w:val="single" w:color="000000" w:themeColor="dark1" w:sz="8"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223F9C1">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系统中设备的唯一标识符，用于区分每一台能耗计量设备。</w:t>
            </w:r>
          </w:p>
        </w:tc>
        <w:tc>
          <w:tcPr>
            <w:tcW w:w="2428" w:type="dxa"/>
            <w:tcBorders>
              <w:top w:val="single" w:color="000000" w:themeColor="dark1" w:sz="8" w:space="0"/>
              <w:left w:val="single" w:color="999999" w:themeColor="dark1" w:themeTint="66" w:sz="6" w:space="0"/>
              <w:bottom w:val="single" w:color="999999" w:themeColor="dark1" w:themeTint="66" w:sz="6" w:space="0"/>
              <w:right w:val="nil"/>
            </w:tcBorders>
            <w:shd w:val="clear" w:color="auto" w:fill="FFFFFF"/>
            <w:vAlign w:val="top"/>
          </w:tcPr>
          <w:p w14:paraId="14EEC78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主键</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设备台账表的唯一标识。</w:t>
            </w:r>
          </w:p>
        </w:tc>
      </w:tr>
      <w:tr w14:paraId="68C4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04FEEDA2">
            <w:pPr>
              <w:keepNext w:val="0"/>
              <w:keepLines w:val="0"/>
              <w:widowControl/>
              <w:suppressLineNumbers w:val="0"/>
              <w:snapToGrid w:val="0"/>
              <w:ind w:left="0" w:leftChars="0" w:right="0" w:rightChars="0" w:firstLine="0" w:firstLineChars="0"/>
              <w:jc w:val="center"/>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energy_type</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(能源类型）</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DB2DF3C">
            <w:pPr>
              <w:keepNext w:val="0"/>
              <w:keepLines w:val="0"/>
              <w:widowControl/>
              <w:suppressLineNumbers w:val="0"/>
              <w:snapToGrid w:val="0"/>
              <w:ind w:left="0" w:leftChars="0" w:right="0" w:rightChars="0" w:firstLine="0" w:firstLineChars="0"/>
              <w:jc w:val="center"/>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NVARCHAR(20)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DB637D0">
            <w:pPr>
              <w:keepNext w:val="0"/>
              <w:keepLines w:val="0"/>
              <w:widowControl/>
              <w:suppressLineNumbers w:val="0"/>
              <w:spacing w:before="0" w:beforeAutospacing="0" w:after="0" w:afterAutospacing="0" w:line="280" w:lineRule="atLeast"/>
              <w:ind w:left="0" w:leftChars="0" w:right="0" w:rightChars="0" w:firstLine="0" w:firstLineChars="0"/>
              <w:jc w:val="both"/>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xml:space="preserve">• </w:t>
            </w:r>
            <w:r>
              <w:rPr>
                <w:rFonts w:hint="eastAsia" w:ascii="微软雅黑" w:hAnsi="微软雅黑" w:eastAsia="微软雅黑" w:cs="微软雅黑"/>
                <w:i w:val="0"/>
                <w:iCs w:val="0"/>
                <w:caps w:val="0"/>
                <w:color w:val="000000"/>
                <w:spacing w:val="0"/>
                <w:kern w:val="0"/>
                <w:sz w:val="18"/>
                <w:szCs w:val="18"/>
                <w:lang w:val="en-US" w:eastAsia="zh-CN" w:bidi="ar"/>
              </w:rPr>
              <w:t>枚举值：</w:t>
            </w:r>
            <w:r>
              <w:rPr>
                <w:rFonts w:hint="eastAsia" w:ascii="微软雅黑" w:hAnsi="微软雅黑" w:eastAsia="微软雅黑" w:cs="微软雅黑"/>
                <w:b w:val="0"/>
                <w:i w:val="0"/>
                <w:iCs w:val="0"/>
                <w:color w:val="000000"/>
                <w:kern w:val="0"/>
                <w:sz w:val="18"/>
                <w:szCs w:val="18"/>
                <w:u w:val="none"/>
                <w:lang w:val="en-US" w:eastAsia="zh-CN" w:bidi="ar"/>
              </w:rPr>
              <w:t>“水”、“蒸汽”、“天然气”、“电”</w:t>
            </w:r>
            <w:r>
              <w:rPr>
                <w:rFonts w:hint="eastAsia" w:ascii="微软雅黑" w:hAnsi="微软雅黑" w:eastAsia="微软雅黑" w:cs="微软雅黑"/>
                <w:b w:val="0"/>
                <w:i w:val="0"/>
                <w:iCs w:val="0"/>
                <w:color w:val="000000"/>
                <w:kern w:val="0"/>
                <w:sz w:val="18"/>
                <w:szCs w:val="18"/>
                <w:u w:val="none"/>
                <w:lang w:val="en-US" w:eastAsia="zh-CN" w:bidi="ar"/>
              </w:rPr>
              <w:br w:type="textWrapping"/>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4F46A7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表示该设备监测的能源种类，用于区分能耗单位与后续统计逻辑。</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31F80AB0">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19280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7D0197E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FF"/>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install_location</w:t>
            </w:r>
          </w:p>
          <w:p w14:paraId="7D24084E">
            <w:pPr>
              <w:keepNext w:val="0"/>
              <w:keepLines w:val="0"/>
              <w:widowControl/>
              <w:suppressLineNumbers w:val="0"/>
              <w:snapToGrid w:val="0"/>
              <w:ind w:left="0" w:leftChars="0" w:right="0" w:rightChars="0" w:firstLine="0" w:firstLineChars="0"/>
              <w:jc w:val="center"/>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（安装位置）</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E05E1D8">
            <w:pPr>
              <w:keepNext w:val="0"/>
              <w:keepLines w:val="0"/>
              <w:widowControl/>
              <w:suppressLineNumbers w:val="0"/>
              <w:snapToGrid w:val="0"/>
              <w:ind w:left="0" w:leftChars="0" w:right="0" w:rightChars="0" w:firstLine="0" w:firstLineChars="0"/>
              <w:jc w:val="center"/>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NVARCHAR(100)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43E472B">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格式：安装点为自由文本。</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示例：B1 点位、NW 点位、02 点位</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7A0EEFE5">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记录能源计量设备在厂区中的实际物理安装点。</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6E3F2698">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722B8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642FE85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pipe_spec</w:t>
            </w:r>
          </w:p>
          <w:p w14:paraId="1CCEDBD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（管径规格）</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D7AA55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NVARCHAR(10)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70F6D80">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枚举值：DN20、DN25、DN32、DN40、DN50、DN65、DN80、DN100、DN125、DN150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5459BF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表示设备安装所在管道的公称直径，是计量设备量程选择与能耗监测数据合理性校验的重要物理参数。</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049A8770">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3F6C2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3B743BE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Communication</w:t>
            </w:r>
          </w:p>
          <w:p w14:paraId="4066EAFD">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_protocol</w:t>
            </w:r>
          </w:p>
          <w:p w14:paraId="315FB84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（通信协议）</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14C08690">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NVARCHAR(20)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95CEFE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枚举值：“RS485” 、“LoRa”</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8D04BD6">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设备向系统上传数据采用的通信传输方式。</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7BB75F1A">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5A89A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5BB996C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operation_status</w:t>
            </w:r>
          </w:p>
          <w:p w14:paraId="396392B7">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（运行状态）</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0EE2FFA">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NVARCHAR(5)</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EAAA4A5">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枚举值：“正常”、“故障”</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3B7835B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表示设备当前运行状态，用于能耗监测数据异常排查。</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19AC7D0E">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6EA0F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78420E9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calibration_</w:t>
            </w:r>
          </w:p>
          <w:p w14:paraId="0DD42091">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cycle_month</w:t>
            </w:r>
          </w:p>
          <w:p w14:paraId="75997FA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（校准周期（月））</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1666BF0">
            <w:pPr>
              <w:keepNext w:val="0"/>
              <w:keepLines w:val="0"/>
              <w:widowControl/>
              <w:suppressLineNumbers w:val="0"/>
              <w:snapToGrid w:val="0"/>
              <w:ind w:left="0" w:leftChars="0" w:right="0" w:rightChars="0" w:firstLine="0" w:firstLineChars="0"/>
              <w:jc w:val="center"/>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INT</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90E1A2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范围：1–24（单位：月）• 示例：6</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735F677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设备定期校准的周期，用于维护计划和设备台账管理。</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0C7F9A6B">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2BD95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65340C3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manufacturer（生产厂家）</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6324217">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NVARCHAR(50)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07A9CB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文本，不做格式限制</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B6B079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记录设备生产厂商，用于设备质量追溯与维护管理。</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7C9E3976">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040DB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5FA32D5A">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FF"/>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plant_area_id</w:t>
            </w:r>
          </w:p>
          <w:p w14:paraId="6CE6091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FF"/>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（厂区编号）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3AE29D1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FF"/>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NVARCHAR(20)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996FC1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FF"/>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 被设备表、监测表、峰谷表引用。</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55F69D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FF"/>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厂区的唯一标识代码。</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20AF44E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FF"/>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 xml:space="preserve">• 主键 </w:t>
            </w:r>
          </w:p>
        </w:tc>
      </w:tr>
      <w:tr w14:paraId="242E2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439DAB9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FF0000"/>
                <w:kern w:val="0"/>
                <w:sz w:val="18"/>
                <w:szCs w:val="18"/>
                <w:u w:val="none"/>
                <w:lang w:val="en-US" w:eastAsia="zh-CN" w:bidi="ar"/>
              </w:rPr>
            </w:pPr>
            <w:r>
              <w:rPr>
                <w:rFonts w:hint="eastAsia" w:ascii="微软雅黑" w:hAnsi="微软雅黑" w:eastAsia="微软雅黑" w:cs="微软雅黑"/>
                <w:b w:val="0"/>
                <w:i w:val="0"/>
                <w:iCs w:val="0"/>
                <w:color w:val="FF0000"/>
                <w:kern w:val="0"/>
                <w:sz w:val="18"/>
                <w:szCs w:val="18"/>
                <w:u w:val="none"/>
                <w:lang w:val="en-US" w:eastAsia="zh-CN" w:bidi="ar"/>
              </w:rPr>
              <w:t>record_id</w:t>
            </w:r>
          </w:p>
          <w:p w14:paraId="702BFE5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FF0000"/>
                <w:kern w:val="0"/>
                <w:sz w:val="18"/>
                <w:szCs w:val="18"/>
                <w:u w:val="none"/>
                <w:lang w:val="en-US" w:eastAsia="zh-CN" w:bidi="ar"/>
              </w:rPr>
              <w:t>（数据编号）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F3EDAC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NVARCHAR(30)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109CDFB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格式：EMXXXXX（固定前缀 EM + 5 位流水号）</w:t>
            </w:r>
          </w:p>
          <w:p w14:paraId="35325DE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流水号范围：00001–99999</w:t>
            </w:r>
          </w:p>
          <w:p w14:paraId="5FEB447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示例：EM00001、EM02345、EM10004</w:t>
            </w:r>
          </w:p>
          <w:p w14:paraId="113A6F5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5E2EF75">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唯一标识一条能耗监测记录。</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14E8FAC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主键</w:t>
            </w:r>
            <w:r>
              <w:rPr>
                <w:rFonts w:hint="eastAsia" w:ascii="微软雅黑" w:hAnsi="微软雅黑" w:eastAsia="微软雅黑" w:cs="微软雅黑"/>
                <w:b w:val="0"/>
                <w:i w:val="0"/>
                <w:iCs w:val="0"/>
                <w:color w:val="000000"/>
                <w:kern w:val="0"/>
                <w:sz w:val="18"/>
                <w:szCs w:val="18"/>
                <w:u w:val="none"/>
                <w:lang w:val="en-US" w:eastAsia="zh-CN" w:bidi="ar"/>
              </w:rPr>
              <w:br w:type="textWrapping"/>
            </w:r>
          </w:p>
        </w:tc>
      </w:tr>
      <w:tr w14:paraId="258CD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6E9EFD5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device_id</w:t>
            </w:r>
          </w:p>
          <w:p w14:paraId="1F48475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（设备编号）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E16107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NVARCHAR(20)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786BF43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格式：TTXXXXX(类型码+5位流水号)</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类型(TT)：CS=水; LS=蒸汽; NG=天然气</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示例：CS10004</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F976E2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标识数据来源设备。</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06367D2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外键引用</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能耗计量设备信息表（energy_meter）</w:t>
            </w:r>
          </w:p>
          <w:p w14:paraId="6962626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用于关联其监测数据，引用本业务线的能耗计量设备信息表。</w:t>
            </w:r>
          </w:p>
        </w:tc>
      </w:tr>
      <w:tr w14:paraId="4A780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568E74BD">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collected_at</w:t>
            </w:r>
          </w:p>
          <w:p w14:paraId="7384ABF5">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（采集时间）</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1D4E65B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DATETIME</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BD43F3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格式：“YYYY-MM-DD HH:MM:SS”</w:t>
            </w:r>
            <w:r>
              <w:rPr>
                <w:rFonts w:hint="eastAsia" w:ascii="微软雅黑" w:hAnsi="微软雅黑" w:eastAsia="微软雅黑" w:cs="微软雅黑"/>
                <w:b w:val="0"/>
                <w:i w:val="0"/>
                <w:iCs w:val="0"/>
                <w:color w:val="000000"/>
                <w:kern w:val="0"/>
                <w:sz w:val="18"/>
                <w:szCs w:val="18"/>
                <w:u w:val="none"/>
                <w:lang w:val="en-US" w:eastAsia="zh-CN" w:bidi="ar"/>
              </w:rPr>
              <w:br w:type="textWrapping"/>
            </w:r>
            <w:r>
              <w:rPr>
                <w:rFonts w:hint="eastAsia" w:ascii="微软雅黑" w:hAnsi="微软雅黑" w:eastAsia="微软雅黑" w:cs="微软雅黑"/>
                <w:b w:val="0"/>
                <w:i w:val="0"/>
                <w:iCs w:val="0"/>
                <w:color w:val="000000"/>
                <w:kern w:val="0"/>
                <w:sz w:val="18"/>
                <w:szCs w:val="18"/>
                <w:u w:val="none"/>
                <w:lang w:val="en-US" w:eastAsia="zh-CN" w:bidi="ar"/>
              </w:rPr>
              <w:t>• 示例：2025-03-12 14:25:30。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6730C3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记录能耗值的真实采集时刻，是峰谷划分与统计的依据。</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4F813D5E">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54CBF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7B51F61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energy_value</w:t>
            </w:r>
          </w:p>
          <w:p w14:paraId="31CA7CB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（能耗值）</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609BA4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p w14:paraId="5F593C07">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4B8BA0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范围：-999999.99–999999.99</w:t>
            </w:r>
          </w:p>
          <w:p w14:paraId="2A8367D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•示例:1250.50、23500.75</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FE0B80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记录设备在采集时刻的能耗读数，是监测的核心指标。</w:t>
            </w:r>
          </w:p>
          <w:p w14:paraId="7B14887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能耗值为零或正值时正常，为负值时视为异常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6533EC61">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06344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39AE722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Unit</w:t>
            </w:r>
          </w:p>
          <w:p w14:paraId="432ED9E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（单位）</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770767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NVARCHAR(10)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BBC5D8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枚举值：“m³” / “t” / “kWh”</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540BE6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能耗值所使用的物理单位。</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63A8A3C6">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0E25F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28E7E96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auto"/>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data_quality</w:t>
            </w:r>
          </w:p>
          <w:p w14:paraId="3610FDE1">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auto"/>
                <w:kern w:val="0"/>
                <w:sz w:val="18"/>
                <w:szCs w:val="18"/>
                <w:u w:val="none"/>
                <w:lang w:val="en-US" w:eastAsia="zh-CN" w:bidi="ar"/>
              </w:rPr>
              <w:t>（数据质量）</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78B0FBD">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08E6E9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枚举值：“优” / “良” / “中” / “差”</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F0F23D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表示数据的可信度，系统通过波动校验自动标记，中/差会触发复核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327783FF">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43AEA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5FF5973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FF"/>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plant_area_id</w:t>
            </w:r>
          </w:p>
          <w:p w14:paraId="2202CCF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（厂区编号）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0308821">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NVARCHAR(20)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F8E9AA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 被设备表、监测表、峰谷表引用。</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A3B368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厂区的唯一标识代码。</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6B581EB6">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 xml:space="preserve">• 主键 </w:t>
            </w:r>
          </w:p>
        </w:tc>
      </w:tr>
      <w:tr w14:paraId="31A60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0DCA417C">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FF0000"/>
                <w:kern w:val="0"/>
                <w:sz w:val="18"/>
                <w:szCs w:val="18"/>
                <w:u w:val="none"/>
                <w:lang w:val="en-US" w:eastAsia="zh-CN" w:bidi="ar"/>
              </w:rPr>
              <w:t>峰谷能耗数据表（energy_peakvalley）</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01CE75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CBD605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77412C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714F92E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p>
        </w:tc>
      </w:tr>
      <w:tr w14:paraId="17B7E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7EA18DCA">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record_id</w:t>
            </w:r>
          </w:p>
          <w:p w14:paraId="57EB3AE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（记录编号）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69A549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NVARCHAR(30)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E48B08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格式：PVXXXXX（固定前缀 PV + 5 位流水号）</w:t>
            </w:r>
          </w:p>
          <w:p w14:paraId="30369A3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示例：PV00001、PV00235、PV12058</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557A00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标识一天一个厂区一类能源的峰谷统计记录。</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3FBCD48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主键</w:t>
            </w:r>
          </w:p>
        </w:tc>
      </w:tr>
      <w:tr w14:paraId="0C15F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7C93D9C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energy_type</w:t>
            </w:r>
          </w:p>
          <w:p w14:paraId="5B26F890">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（能源类型）</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86F703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NVARCHAR(10)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94423D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xml:space="preserve">• </w:t>
            </w:r>
            <w:r>
              <w:rPr>
                <w:rFonts w:hint="eastAsia" w:ascii="微软雅黑" w:hAnsi="微软雅黑" w:eastAsia="微软雅黑" w:cs="微软雅黑"/>
                <w:i w:val="0"/>
                <w:iCs w:val="0"/>
                <w:caps w:val="0"/>
                <w:color w:val="000000"/>
                <w:spacing w:val="0"/>
                <w:kern w:val="0"/>
                <w:sz w:val="18"/>
                <w:szCs w:val="18"/>
                <w:lang w:val="en-US" w:eastAsia="zh-CN" w:bidi="ar"/>
              </w:rPr>
              <w:t>枚举值：</w:t>
            </w:r>
            <w:r>
              <w:rPr>
                <w:rFonts w:hint="eastAsia" w:ascii="微软雅黑" w:hAnsi="微软雅黑" w:eastAsia="微软雅黑" w:cs="微软雅黑"/>
                <w:b w:val="0"/>
                <w:i w:val="0"/>
                <w:iCs w:val="0"/>
                <w:color w:val="000000"/>
                <w:kern w:val="0"/>
                <w:sz w:val="18"/>
                <w:szCs w:val="18"/>
                <w:u w:val="none"/>
                <w:lang w:val="en-US" w:eastAsia="zh-CN" w:bidi="ar"/>
              </w:rPr>
              <w:t>“水”、“蒸汽”、“天然气”</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809E25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标识统计对象的能源类别。</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4CAD1D31">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44C22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4C0432F7">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FF"/>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plant_area_id</w:t>
            </w:r>
          </w:p>
          <w:p w14:paraId="0EF731F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（厂区编号）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71788D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NVARCHAR(20)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A81456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 被设备表、监测表、峰谷表引用。</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578580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厂区的唯一标识代码。</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3BB5252A">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 xml:space="preserve">• 主键 </w:t>
            </w:r>
          </w:p>
        </w:tc>
      </w:tr>
      <w:tr w14:paraId="3CFA2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503D380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statistic_date</w:t>
            </w:r>
          </w:p>
          <w:p w14:paraId="224FAF6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（统计日期）</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9201F9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DATE</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AEF34C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格式 ：YYYY-MM-DD</w:t>
            </w:r>
          </w:p>
          <w:p w14:paraId="68EF5D2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示例：2025-03-12</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B65DEB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记录峰谷能耗统计对应的自然日。</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41AE3828">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2E284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0D2EB65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peak_energy</w:t>
            </w:r>
          </w:p>
          <w:p w14:paraId="5AF65697">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（尖峰时段能耗）</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878745D">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2C564B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范围：-999999.99–999999.99</w:t>
            </w:r>
          </w:p>
          <w:p w14:paraId="432FA2B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示例：1520.35、300.00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6180FD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10:00–12:00 / 16:00–18:00 的能耗总量。</w:t>
            </w:r>
          </w:p>
          <w:p w14:paraId="794C842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能耗值为零或正值时正常，为负值时视为异常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01D3A3EF">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762F3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127B6B5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high_energy</w:t>
            </w:r>
          </w:p>
          <w:p w14:paraId="0BA8F3E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（高峰时段能耗）</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14C93E9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ACB29D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范围：-999999.99–999999.99</w:t>
            </w:r>
          </w:p>
          <w:p w14:paraId="5B46190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示例：1520.35、300.00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087285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8:00-10:00/12:00-16:00/18:00-22:00的能耗总量。</w:t>
            </w:r>
          </w:p>
          <w:p w14:paraId="73A7EC2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能耗值为零或正值时正常，为负值时视为异常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2323F945">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4910C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5FD29DC0">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flat_energy</w:t>
            </w:r>
          </w:p>
          <w:p w14:paraId="12C57615">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（平段能耗）</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3CA6F5C">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3B501FF5">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范围：-999999.99–999999.99</w:t>
            </w:r>
          </w:p>
          <w:p w14:paraId="1FDBA8B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示例：1520.35、300.00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16C94E3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6:00-8:00/22:00-24:00的能耗总量。</w:t>
            </w:r>
          </w:p>
          <w:p w14:paraId="4BA037E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能耗值为零或正值时正常，为负值时视为异常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33DF30BB">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3AFA9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0220642A">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valley_energy</w:t>
            </w:r>
          </w:p>
          <w:p w14:paraId="333398F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（低谷时段能耗）</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E8DC94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50F939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范围：-999999.99–999999.99</w:t>
            </w:r>
          </w:p>
          <w:p w14:paraId="7059AC8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示例：1520.35、300.00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8EDF171">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00:00-6:00的能耗总量。</w:t>
            </w:r>
          </w:p>
          <w:p w14:paraId="063DAA6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能耗值为零或正值时正常，为负值时视为异常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64C50734">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62A3D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528743AD">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total_energy</w:t>
            </w:r>
          </w:p>
          <w:p w14:paraId="0773F37C">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（总能耗）</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9C6AEB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F3BE28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范围：-999999.99–999999.99</w:t>
            </w:r>
          </w:p>
          <w:p w14:paraId="4F187D8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示例：1520.35、300.00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3B84A8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一天中总能耗的计算结果。</w:t>
            </w:r>
          </w:p>
          <w:p w14:paraId="7C01D31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能耗值为零或正值时正常，为负值时视为异常</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546F79D1">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5F287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03026D5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peakvalley_price</w:t>
            </w:r>
          </w:p>
          <w:p w14:paraId="277EB91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（峰谷电价）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66B128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DECIMAL(5,2)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8C04A35">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0-10.00</w:t>
            </w:r>
          </w:p>
          <w:p w14:paraId="5A3E1B91">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单位：元/kWh</w:t>
            </w:r>
          </w:p>
          <w:p w14:paraId="4DE5D9D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示例：0.85</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5CC789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用于换算峰谷能耗成本的综合电价或能源单价。</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04D2B32B">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270A1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653433E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energy_cost</w:t>
            </w:r>
          </w:p>
          <w:p w14:paraId="775D253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（能耗成本）</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38B6137">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DECIMAL(8,2)</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1C1ECE9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范围： -999999.99–999999.99</w:t>
            </w:r>
          </w:p>
          <w:p w14:paraId="7503A692">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单位：元</w:t>
            </w:r>
          </w:p>
          <w:p w14:paraId="274ED7C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示例：12500.30</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A8BB06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后台自行计算能耗能耗成本值</w:t>
            </w:r>
          </w:p>
          <w:p w14:paraId="5358434B">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能耗成本为零或正值时正常，为负值时视为异常（一般不为负，后台自动计算）</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4CFBA8A6">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无关联</w:t>
            </w:r>
          </w:p>
        </w:tc>
      </w:tr>
      <w:tr w14:paraId="1AC23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2A88591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FF"/>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厂区基础信息表 (plant_area_info)</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0FF232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FF"/>
                <w:kern w:val="0"/>
                <w:sz w:val="18"/>
                <w:szCs w:val="18"/>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D37CB4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FF"/>
                <w:kern w:val="0"/>
                <w:sz w:val="18"/>
                <w:szCs w:val="18"/>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1CA735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FF"/>
                <w:kern w:val="0"/>
                <w:sz w:val="18"/>
                <w:szCs w:val="18"/>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28EE39B5">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FF"/>
                <w:kern w:val="0"/>
                <w:sz w:val="18"/>
                <w:szCs w:val="18"/>
                <w:u w:val="none"/>
                <w:lang w:val="en-US" w:eastAsia="zh-CN" w:bidi="ar"/>
              </w:rPr>
            </w:pPr>
          </w:p>
        </w:tc>
      </w:tr>
      <w:tr w14:paraId="58998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0DBDD935">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FF"/>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plant_area_id</w:t>
            </w:r>
          </w:p>
          <w:p w14:paraId="4AC6B05C">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FF"/>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（厂区编号）</w:t>
            </w: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A03F40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FF"/>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NVARCHAR(20)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628C88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FF"/>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 格式：XY（字母数字结合）</w:t>
            </w:r>
          </w:p>
          <w:p w14:paraId="5F87AD0B">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FF"/>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 示例: A3，B2，C2</w:t>
            </w:r>
          </w:p>
          <w:p w14:paraId="2F601A0A">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FF"/>
                <w:kern w:val="0"/>
                <w:sz w:val="18"/>
                <w:szCs w:val="18"/>
                <w:u w:val="none"/>
                <w:lang w:val="en-US" w:eastAsia="zh-CN" w:bidi="ar"/>
              </w:rPr>
            </w:pPr>
            <w:bookmarkStart w:id="0" w:name="_GoBack"/>
            <w:bookmarkEnd w:id="0"/>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37287A5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FF"/>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厂区的唯一标识代码。</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6E729D7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FF"/>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 xml:space="preserve">• 主键 </w:t>
            </w:r>
          </w:p>
        </w:tc>
      </w:tr>
      <w:tr w14:paraId="17006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376702F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FF"/>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plant_area_name</w:t>
            </w:r>
          </w:p>
          <w:p w14:paraId="09E349C0">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FF"/>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(厂区名称)</w:t>
            </w:r>
          </w:p>
          <w:p w14:paraId="7740438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FF"/>
                <w:kern w:val="0"/>
                <w:sz w:val="18"/>
                <w:szCs w:val="18"/>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68C3515">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FF"/>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NVARCHAR(50)</w:t>
            </w: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08DBF7D">
            <w:pPr>
              <w:keepNext w:val="0"/>
              <w:keepLines w:val="0"/>
              <w:widowControl/>
              <w:suppressLineNumbers w:val="0"/>
              <w:snapToGrid w:val="0"/>
              <w:ind w:left="0" w:leftChars="0" w:right="0" w:rightChars="0" w:firstLine="0" w:firstLineChars="0"/>
              <w:jc w:val="both"/>
              <w:textAlignment w:val="top"/>
              <w:rPr>
                <w:rFonts w:hint="default" w:ascii="微软雅黑" w:hAnsi="微软雅黑" w:eastAsia="微软雅黑" w:cs="微软雅黑"/>
                <w:b w:val="0"/>
                <w:i w:val="0"/>
                <w:iCs w:val="0"/>
                <w:color w:val="0000FF"/>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 格式: 自由文本</w:t>
            </w:r>
          </w:p>
          <w:p w14:paraId="2A20933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FF"/>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 示例: A3总装车间</w:t>
            </w: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121F229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FF"/>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厂区的中文名称。</w:t>
            </w: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33ED2F1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FF"/>
                <w:kern w:val="0"/>
                <w:sz w:val="18"/>
                <w:szCs w:val="18"/>
                <w:u w:val="none"/>
                <w:lang w:val="en-US" w:eastAsia="zh-CN" w:bidi="ar"/>
              </w:rPr>
            </w:pPr>
            <w:r>
              <w:rPr>
                <w:rFonts w:hint="eastAsia" w:ascii="微软雅黑" w:hAnsi="微软雅黑" w:eastAsia="微软雅黑" w:cs="微软雅黑"/>
                <w:b w:val="0"/>
                <w:i w:val="0"/>
                <w:iCs w:val="0"/>
                <w:color w:val="0000FF"/>
                <w:kern w:val="0"/>
                <w:sz w:val="18"/>
                <w:szCs w:val="18"/>
                <w:u w:val="none"/>
                <w:lang w:val="en-US" w:eastAsia="zh-CN" w:bidi="ar"/>
              </w:rPr>
              <w:t>• 无关联</w:t>
            </w:r>
          </w:p>
          <w:p w14:paraId="156D8D1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FF"/>
                <w:kern w:val="0"/>
                <w:sz w:val="18"/>
                <w:szCs w:val="18"/>
                <w:u w:val="none"/>
                <w:lang w:val="en-US" w:eastAsia="zh-CN" w:bidi="ar"/>
              </w:rPr>
            </w:pPr>
          </w:p>
        </w:tc>
      </w:tr>
      <w:tr w14:paraId="3588A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3D361B8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13BD999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25E5E2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3169049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0148120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r w14:paraId="0A8EF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4F80BE7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EED3C8A">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8401A9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F748B0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57FC4E91">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r w14:paraId="705D0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5F1C34A1">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DC58A2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A1AEC9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E24161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4F6DA8C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r w14:paraId="0D56F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796A239C">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E9DCC0D">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C3664C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89D762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4AC8F62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r w14:paraId="7844A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7D97DC3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17BCD1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0DD3BE5">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8C2F22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1ABE57F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r w14:paraId="7F1FB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613DCB2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1C1A674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9C61B4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672362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7348ABD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r w14:paraId="31BDB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739E04C7">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3F2FF6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6CB69D1">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DDC5BF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0AA6911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r w14:paraId="6364D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258ABCCC">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82DD52B">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477CB5C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1C8CB4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6F1B03C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r w14:paraId="35461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59D846B6">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3679D47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55226CD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D7B17A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3048AE8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r w14:paraId="41EB4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1FC5646D">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C1C593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AABFEC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BCAFB5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55477D78">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r w14:paraId="02D55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4E25A523">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047BCD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B7CA1CC">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32A00C0D">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5B5395A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r w14:paraId="1F2B8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13250574">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464C998">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64646D1">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203BA835">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303674A1">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r w14:paraId="65A8B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61088C71">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BEF02A7">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EEEB2C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132273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52F9E522">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r w14:paraId="17701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63CEF63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F9642F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2D639B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9EF9C3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73E2FDC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r w14:paraId="49964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240CDA5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BE491A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083A912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27BF0023">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2F139FDB">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r w14:paraId="53132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3FB6FAB9">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566EC6F0">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65E3B8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A0B611F">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73595A34">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r w14:paraId="33B76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top"/>
          </w:tcPr>
          <w:p w14:paraId="4C605D5F">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7821C4A2">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43A06019">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top"/>
          </w:tcPr>
          <w:p w14:paraId="623F489E">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top"/>
          </w:tcPr>
          <w:p w14:paraId="0C68C45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r w14:paraId="106DA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8"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top"/>
          </w:tcPr>
          <w:p w14:paraId="1C6815C0">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712"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6D032CFE">
            <w:pPr>
              <w:keepNext w:val="0"/>
              <w:keepLines w:val="0"/>
              <w:widowControl/>
              <w:suppressLineNumbers w:val="0"/>
              <w:snapToGrid w:val="0"/>
              <w:ind w:left="0" w:leftChars="0" w:right="0" w:rightChars="0" w:firstLine="0" w:firstLineChars="0"/>
              <w:jc w:val="center"/>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239"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3AC73040">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1901"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top"/>
          </w:tcPr>
          <w:p w14:paraId="093A63D7">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c>
          <w:tcPr>
            <w:tcW w:w="2428"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top"/>
          </w:tcPr>
          <w:p w14:paraId="0A7A903A">
            <w:pPr>
              <w:keepNext w:val="0"/>
              <w:keepLines w:val="0"/>
              <w:widowControl/>
              <w:suppressLineNumbers w:val="0"/>
              <w:snapToGrid w:val="0"/>
              <w:ind w:left="0" w:leftChars="0" w:right="0" w:rightChars="0" w:firstLine="0" w:firstLineChars="0"/>
              <w:jc w:val="both"/>
              <w:textAlignment w:val="top"/>
              <w:rPr>
                <w:rFonts w:hint="eastAsia" w:ascii="微软雅黑" w:hAnsi="微软雅黑" w:eastAsia="微软雅黑" w:cs="微软雅黑"/>
                <w:b w:val="0"/>
                <w:i w:val="0"/>
                <w:iCs w:val="0"/>
                <w:color w:val="000000"/>
                <w:kern w:val="0"/>
                <w:sz w:val="20"/>
                <w:szCs w:val="20"/>
                <w:u w:val="none"/>
                <w:lang w:val="en-US" w:eastAsia="zh-CN" w:bidi="ar"/>
              </w:rPr>
            </w:pPr>
          </w:p>
        </w:tc>
      </w:tr>
    </w:tbl>
    <w:p w14:paraId="4BA8CAAE">
      <w:pPr>
        <w:rPr>
          <w:rFonts w:hint="eastAsia" w:asciiTheme="minorEastAsia" w:hAnsiTheme="minorEastAsia" w:eastAsiaTheme="minorEastAsia" w:cstheme="minorEastAsia"/>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695014859" w:date="2025-12-19T16:58:45Z" w:initials="">
    <w:p w14:paraId="70E7E262">
      <w:pPr>
        <w:pStyle w:val="11"/>
        <w:rPr>
          <w:rFonts w:hint="eastAsia"/>
          <w:lang w:val="en-US" w:eastAsia="zh-CN"/>
        </w:rPr>
      </w:pPr>
      <w:r>
        <w:rPr>
          <w:rFonts w:hint="eastAsia"/>
          <w:lang w:val="en-US" w:eastAsia="zh-CN"/>
        </w:rPr>
        <w:t>加上了有关于电的内容，在能源类型里面加上了，能耗值即为配电网里面的正向有功电量。。</w:t>
      </w:r>
    </w:p>
    <w:p w14:paraId="2D51C133">
      <w:pPr>
        <w:pStyle w:val="11"/>
        <w:rPr>
          <w:rFonts w:hint="eastAsia"/>
          <w:lang w:val="en-US" w:eastAsia="zh-CN"/>
        </w:rPr>
      </w:pPr>
      <w:r>
        <w:rPr>
          <w:rFonts w:hint="eastAsia"/>
          <w:lang w:val="en-US" w:eastAsia="zh-CN"/>
        </w:rPr>
        <w:t>下面是我对电量的理解：（有关于其他两条业务线）</w:t>
      </w:r>
    </w:p>
    <w:p w14:paraId="243EE789">
      <w:pPr>
        <w:rPr>
          <w:rFonts w:hint="default"/>
          <w:lang w:val="en-US" w:eastAsia="zh-CN"/>
        </w:rPr>
      </w:pPr>
      <w:r>
        <w:rPr>
          <w:rFonts w:hint="eastAsia"/>
          <w:lang w:val="en-US" w:eastAsia="zh-CN"/>
        </w:rPr>
        <w:t>kWh：</w:t>
      </w:r>
    </w:p>
    <w:p w14:paraId="77274F2E">
      <w:pPr>
        <w:rPr>
          <w:rFonts w:hint="eastAsia"/>
          <w:lang w:val="en-US" w:eastAsia="zh-CN"/>
        </w:rPr>
      </w:pPr>
      <w:r>
        <w:rPr>
          <w:rFonts w:hint="eastAsia"/>
          <w:lang w:val="en-US" w:eastAsia="zh-CN"/>
        </w:rPr>
        <w:t>正向有功电量（耗电）</w:t>
      </w:r>
    </w:p>
    <w:p w14:paraId="7AD9F176">
      <w:pPr>
        <w:rPr>
          <w:rFonts w:hint="eastAsia"/>
          <w:lang w:val="en-US" w:eastAsia="zh-CN"/>
        </w:rPr>
      </w:pPr>
      <w:r>
        <w:rPr>
          <w:rFonts w:hint="eastAsia"/>
          <w:lang w:val="en-US" w:eastAsia="zh-CN"/>
        </w:rPr>
        <w:t>发电量=上网电量（反向有功电量）+自用电量</w:t>
      </w:r>
    </w:p>
    <w:p w14:paraId="3E557095">
      <w:pPr>
        <w:pStyle w:val="11"/>
        <w:rPr>
          <w:rFonts w:hint="default"/>
          <w:lang w:val="en-US" w:eastAsia="zh-CN"/>
        </w:rPr>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E55709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A3872F"/>
    <w:multiLevelType w:val="singleLevel"/>
    <w:tmpl w:val="C7A3872F"/>
    <w:lvl w:ilvl="0" w:tentative="0">
      <w:start w:val="1"/>
      <w:numFmt w:val="decimal"/>
      <w:suff w:val="space"/>
      <w:lvlText w:val="%1."/>
      <w:lvlJc w:val="left"/>
      <w:pPr>
        <w:ind w:left="0" w:firstLine="0"/>
      </w:pPr>
      <w:rPr>
        <w:rFont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695014859">
    <w15:presenceInfo w15:providerId="WPS Office" w15:userId="73205861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921FB4"/>
    <w:rsid w:val="01C25065"/>
    <w:rsid w:val="02235B22"/>
    <w:rsid w:val="049542D9"/>
    <w:rsid w:val="0D9A6E96"/>
    <w:rsid w:val="0DAA4BF9"/>
    <w:rsid w:val="0F343EBD"/>
    <w:rsid w:val="0FD47BB9"/>
    <w:rsid w:val="10237C8E"/>
    <w:rsid w:val="130B7C68"/>
    <w:rsid w:val="15A9411A"/>
    <w:rsid w:val="16C805D0"/>
    <w:rsid w:val="1767428D"/>
    <w:rsid w:val="19260936"/>
    <w:rsid w:val="19D90D46"/>
    <w:rsid w:val="1AC6778B"/>
    <w:rsid w:val="1EBF050A"/>
    <w:rsid w:val="22D21682"/>
    <w:rsid w:val="25686DF2"/>
    <w:rsid w:val="27053614"/>
    <w:rsid w:val="2B447689"/>
    <w:rsid w:val="2C0B1D41"/>
    <w:rsid w:val="330966F1"/>
    <w:rsid w:val="3DC47569"/>
    <w:rsid w:val="3FAE0762"/>
    <w:rsid w:val="42224F20"/>
    <w:rsid w:val="432B58BF"/>
    <w:rsid w:val="43422D96"/>
    <w:rsid w:val="45311DC7"/>
    <w:rsid w:val="471C2241"/>
    <w:rsid w:val="4A364346"/>
    <w:rsid w:val="4EC07803"/>
    <w:rsid w:val="4EF60E2B"/>
    <w:rsid w:val="51073649"/>
    <w:rsid w:val="518B5691"/>
    <w:rsid w:val="523B78D6"/>
    <w:rsid w:val="52506A55"/>
    <w:rsid w:val="537D2167"/>
    <w:rsid w:val="59921FB4"/>
    <w:rsid w:val="5C6F0AB8"/>
    <w:rsid w:val="5E4F367F"/>
    <w:rsid w:val="5EDA583B"/>
    <w:rsid w:val="60970099"/>
    <w:rsid w:val="69AC0A3C"/>
    <w:rsid w:val="6C0A7EB8"/>
    <w:rsid w:val="6FAF0247"/>
    <w:rsid w:val="7243779C"/>
    <w:rsid w:val="725400E9"/>
    <w:rsid w:val="74C94DB4"/>
    <w:rsid w:val="76300364"/>
    <w:rsid w:val="77F47B34"/>
    <w:rsid w:val="7A2D24A9"/>
    <w:rsid w:val="7B3C7FE0"/>
    <w:rsid w:val="7B8345FE"/>
    <w:rsid w:val="7E7A0ECD"/>
    <w:rsid w:val="7EED34ED"/>
    <w:rsid w:val="7F1A231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3">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5">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18">
    <w:name w:val="Strong"/>
    <w:basedOn w:val="1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3170</Words>
  <Characters>4293</Characters>
  <Lines>0</Lines>
  <Paragraphs>0</Paragraphs>
  <TotalTime>10</TotalTime>
  <ScaleCrop>false</ScaleCrop>
  <LinksUpToDate>false</LinksUpToDate>
  <CharactersWithSpaces>4418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2025-11-27T13:10:00Z</dcterms:created>
  <dc:creator>TH1RT3EN</dc:creator>
  <cp:lastModifiedBy>WPS_1695014859</cp:lastModifiedBy>
  <dcterms:modified xsi:type="dcterms:W3CDTF">2025-12-19T09:11:29Z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F03B99AAF3B2463A9BAF97D0252B5E84_13</vt:lpwstr>
  </property>
  <property fmtid="{D5CDD505-2E9C-101B-9397-08002B2CF9AE}" pid="4" name="KSOTemplateDocerSaveRecord">
    <vt:lpwstr>eyJoZGlkIjoiODFiZWM4MzMyMWQxYTk4YzdlNDE2Njg3MjY5M2ZkNDkiLCJ1c2VySWQiOiIxNTM2NDkwNjY0In0=</vt:lpwstr>
  </property>
</Properties>
</file>