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7D741">
      <w:pPr>
        <w:pStyle w:val="2"/>
        <w:numPr>
          <w:ilvl w:val="0"/>
          <w:numId w:val="1"/>
        </w:numPr>
        <w:ind w:left="0" w:leftChars="0" w:firstLine="0" w:firstLineChars="0"/>
      </w:pPr>
      <w:r>
        <w:t>系统业务</w:t>
      </w:r>
    </w:p>
    <w:p w14:paraId="76E76CE3">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综合能耗管理业务线是智慧能源管理系统中的重要核心组成部分，面向企业水、蒸汽、天然气等多能源场景下的全过程能耗监测与统计需求。通过统一接入智能计量设备数据、自动执行数据质量校验、进行能耗分时拆分与成本计算，该业务线实现对多能源消耗的实时监控、异常数据识别、能耗成本核算与高耗能区域定位分析。其核心目标是解决传统能耗管理模式中人工抄录误差大、多能源分散统计困难、峰谷能耗不可视化、能耗异常发现滞后的问题，为企业节能降耗、经济运行优化提供可靠的数据支撑 。</w:t>
      </w:r>
    </w:p>
    <w:p w14:paraId="61607036">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智能计量设备自动采集水、蒸汽、天然气等能耗数据，并将原始能耗数据传入“能耗数据采集与接入”过程。采集模块对数据进行封装后，将其作为待校验能耗数据传递给“数据波动性校验与标记”过程，用于后续的数据质量判断 。</w:t>
      </w:r>
    </w:p>
    <w:p w14:paraId="401A31AA">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计量设备信息表向校验过程和入库过程提供设备基础信息，包括厂区编号和能源类型。系统根据波动性规则对能耗数据进行质量判定，将标记后的能耗监测数据（优/良/中/差）传递给入库模块进行全量存储 。</w:t>
      </w:r>
    </w:p>
    <w:p w14:paraId="53F0CBD3">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对于判定为“中/差”的异常能耗数据，系统将其作为疑似异常数据传递至“异常能耗识别与推送”过程，用于异常识别和后续的业务处理。入库模块将所有完整监测数据（含质量标记）写入能耗监测数据表，为统计分析和报表生成提供数据基础 。</w:t>
      </w:r>
    </w:p>
    <w:p w14:paraId="0CBF1104">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异常识别模块将识别出的疑似异常以“异常数据清单”的形式推送给能源管理员；对于判定为重大能源异常的事件，系统将相关信息推送至告警运维系统。能源管理员根据异常清单进行核实后，通过“异常数据输入”过程将修正后的数据状态反馈回系统，并更新“能耗监测数据表”中的记录，完成异常数据的闭环处理 。</w:t>
      </w:r>
    </w:p>
    <w:p w14:paraId="6F6AA480">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能耗监测数据表向峰谷统计模块提供当日监测数据（含设备、厂区和能源类型），用于自动划分尖峰、高峰、平段和低谷能耗，并据此计算能耗成本。峰谷统计模块将生成的峰谷能耗统计结果写入峰谷能耗数据表，为成本核算与能耗结构分析提供依据 。</w:t>
      </w:r>
    </w:p>
    <w:p w14:paraId="2D45745E">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峰谷能耗数据表向报表生成模块提供历史与当日的“日峰谷能耗与成本明细”，用于识别高耗能区域并生成能源管理报表。最终，报表生成模块将整理后的能耗汇总数据（按厂区、能源类型及峰谷占比）传递至大屏展示系统，并生成日能耗成本报表供能源管理员查看，用于企业管理层的可视化监控与决策支持 。</w:t>
      </w:r>
    </w:p>
    <w:p w14:paraId="7DDD89E4">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p>
    <w:p w14:paraId="51105A2C">
      <w:pPr>
        <w:pStyle w:val="14"/>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230" cy="7399020"/>
            <wp:effectExtent l="0" t="0" r="1270" b="5080"/>
            <wp:docPr id="2" name="图片 2" descr="能耗分析（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能耗分析（3）.drawio"/>
                    <pic:cNvPicPr>
                      <a:picLocks noChangeAspect="1"/>
                    </pic:cNvPicPr>
                  </pic:nvPicPr>
                  <pic:blipFill>
                    <a:blip r:embed="rId6"/>
                    <a:stretch>
                      <a:fillRect/>
                    </a:stretch>
                  </pic:blipFill>
                  <pic:spPr>
                    <a:xfrm>
                      <a:off x="0" y="0"/>
                      <a:ext cx="5269230" cy="7399020"/>
                    </a:xfrm>
                    <a:prstGeom prst="rect">
                      <a:avLst/>
                    </a:prstGeom>
                  </pic:spPr>
                </pic:pic>
              </a:graphicData>
            </a:graphic>
          </wp:inline>
        </w:drawing>
      </w:r>
    </w:p>
    <w:p w14:paraId="66C75E20">
      <w:pPr>
        <w:ind w:firstLine="420"/>
        <w:jc w:val="center"/>
        <w:rPr>
          <w:rFonts w:hint="eastAsia" w:asciiTheme="minorEastAsia" w:hAnsiTheme="minorEastAsia" w:cstheme="minorEastAsia"/>
          <w:sz w:val="24"/>
          <w:lang w:val="en-US" w:eastAsia="zh-CN"/>
        </w:rPr>
      </w:pPr>
      <w:r>
        <w:rPr>
          <w:rFonts w:hint="eastAsia" w:asciiTheme="minorEastAsia" w:hAnsiTheme="minorEastAsia" w:cstheme="minorEastAsia"/>
          <w:sz w:val="24"/>
          <w:lang w:val="en-US" w:eastAsia="zh-CN"/>
        </w:rPr>
        <w:t xml:space="preserve">图 x-x </w:t>
      </w:r>
      <w:r>
        <w:rPr>
          <w:rFonts w:asciiTheme="minorEastAsia" w:hAnsiTheme="minorEastAsia" w:cstheme="minorEastAsia"/>
          <w:sz w:val="24"/>
        </w:rPr>
        <w:t>综合能耗管理业务线</w:t>
      </w:r>
      <w:r>
        <w:rPr>
          <w:rFonts w:hint="eastAsia" w:asciiTheme="minorEastAsia" w:hAnsiTheme="minorEastAsia" w:cstheme="minorEastAsia"/>
          <w:sz w:val="24"/>
          <w:lang w:val="en-US" w:eastAsia="zh-CN"/>
        </w:rPr>
        <w:t>数据流图</w:t>
      </w:r>
    </w:p>
    <w:p w14:paraId="6AB46FFD">
      <w:pPr>
        <w:keepNext w:val="0"/>
        <w:keepLines w:val="0"/>
        <w:widowControl w:val="0"/>
        <w:suppressLineNumbers w:val="0"/>
        <w:spacing w:before="0" w:beforeAutospacing="0" w:after="0" w:afterAutospacing="0" w:line="360" w:lineRule="auto"/>
        <w:ind w:left="0" w:right="0" w:firstLine="420" w:firstLineChars="0"/>
        <w:jc w:val="center"/>
        <w:rPr>
          <w:rFonts w:hint="eastAsia" w:ascii="宋体" w:hAnsi="宋体" w:eastAsia="宋体" w:cs="宋体"/>
          <w:kern w:val="2"/>
          <w:sz w:val="24"/>
          <w:szCs w:val="24"/>
          <w:lang w:val="en-US" w:eastAsia="zh-CN" w:bidi="ar"/>
        </w:rPr>
      </w:pPr>
    </w:p>
    <w:p w14:paraId="12F4CC91">
      <w:pPr>
        <w:pStyle w:val="2"/>
        <w:numPr>
          <w:ilvl w:val="0"/>
          <w:numId w:val="1"/>
        </w:numPr>
        <w:ind w:left="0" w:leftChars="0" w:firstLine="0" w:firstLineChars="0"/>
      </w:pPr>
      <w:r>
        <w:t>系统实现业务的角色、功能和信息需求</w:t>
      </w:r>
    </w:p>
    <w:p w14:paraId="5DBA2C64">
      <w:pPr>
        <w:ind w:firstLine="420" w:firstLineChars="0"/>
        <w:rPr>
          <w:rFonts w:hint="eastAsia" w:asciiTheme="minorEastAsia" w:hAnsiTheme="minorEastAsia" w:eastAsiaTheme="minorEastAsia" w:cstheme="minorEastAsia"/>
          <w:sz w:val="24"/>
          <w:szCs w:val="24"/>
          <w:lang w:val="en-US" w:eastAsia="zh-CN"/>
        </w:rPr>
      </w:pPr>
      <w:bookmarkStart w:id="0" w:name="_GoBack"/>
      <w:bookmarkEnd w:id="0"/>
    </w:p>
    <w:p w14:paraId="019BC1E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272405" cy="5203825"/>
            <wp:effectExtent l="0" t="0" r="10795" b="3175"/>
            <wp:docPr id="1" name="图片 1" descr="用例最最终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用例最最终图片"/>
                    <pic:cNvPicPr>
                      <a:picLocks noChangeAspect="1"/>
                    </pic:cNvPicPr>
                  </pic:nvPicPr>
                  <pic:blipFill>
                    <a:blip r:embed="rId7"/>
                    <a:stretch>
                      <a:fillRect/>
                    </a:stretch>
                  </pic:blipFill>
                  <pic:spPr>
                    <a:xfrm>
                      <a:off x="0" y="0"/>
                      <a:ext cx="5272405" cy="5203825"/>
                    </a:xfrm>
                    <a:prstGeom prst="rect">
                      <a:avLst/>
                    </a:prstGeom>
                  </pic:spPr>
                </pic:pic>
              </a:graphicData>
            </a:graphic>
          </wp:inline>
        </w:drawing>
      </w:r>
    </w:p>
    <w:p w14:paraId="64A7DEF1">
      <w:pPr>
        <w:keepNext w:val="0"/>
        <w:keepLines w:val="0"/>
        <w:widowControl w:val="0"/>
        <w:suppressLineNumbers w:val="0"/>
        <w:spacing w:before="0" w:beforeAutospacing="0" w:after="0" w:afterAutospacing="0" w:line="360" w:lineRule="auto"/>
        <w:ind w:left="0" w:right="0" w:firstLine="420" w:firstLineChars="0"/>
        <w:jc w:val="center"/>
        <w:rPr>
          <w:rFonts w:hint="default" w:ascii="Calibri" w:hAnsi="Calibri" w:eastAsia="宋体" w:cs="Times New Roman"/>
          <w:kern w:val="2"/>
          <w:sz w:val="21"/>
          <w:szCs w:val="21"/>
        </w:rPr>
      </w:pPr>
      <w:r>
        <w:rPr>
          <w:rFonts w:hint="eastAsia" w:ascii="宋体" w:hAnsi="宋体" w:eastAsia="宋体" w:cs="宋体"/>
          <w:kern w:val="2"/>
          <w:sz w:val="24"/>
          <w:szCs w:val="24"/>
          <w:lang w:val="en-US" w:eastAsia="zh-CN" w:bidi="ar"/>
        </w:rPr>
        <w:t xml:space="preserve">图 x-x </w:t>
      </w:r>
      <w:commentRangeStart w:id="0"/>
      <w:r>
        <w:rPr>
          <w:rFonts w:hint="eastAsia" w:ascii="宋体" w:hAnsi="宋体" w:eastAsia="宋体" w:cs="宋体"/>
          <w:kern w:val="2"/>
          <w:sz w:val="24"/>
          <w:szCs w:val="24"/>
          <w:lang w:val="en-US" w:eastAsia="zh-CN" w:bidi="ar"/>
        </w:rPr>
        <w:t>综合能耗管理业务线用例图</w:t>
      </w:r>
      <w:commentRangeEnd w:id="0"/>
      <w:r>
        <w:commentReference w:id="0"/>
      </w:r>
    </w:p>
    <w:p w14:paraId="46A3DDBC">
      <w:pPr>
        <w:ind w:firstLine="420" w:firstLineChars="0"/>
        <w:rPr>
          <w:rFonts w:hint="eastAsia" w:asciiTheme="minorEastAsia" w:hAnsiTheme="minorEastAsia" w:eastAsiaTheme="minorEastAsia" w:cstheme="minorEastAsia"/>
          <w:sz w:val="24"/>
          <w:szCs w:val="24"/>
          <w:lang w:val="en-US" w:eastAsia="zh-CN"/>
        </w:rPr>
      </w:pPr>
    </w:p>
    <w:p w14:paraId="1AAAD74B">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综合能耗管理业务线涉及能源管理员、设备管理员、企业管理层以及系统后台四类参与者。能源管理员承担企业日常能耗监控相关的核心业务操作，包括查看分析能耗数据表以及审核系统识别的异常能耗记录。当能源管理员查看能耗分析数据时，系统可根据分析结果扩展出“制定分析依据的节能优化方案”这一可选操作，用于进一步支持节能策略制定。设备管理员负责维护计量设备的基础信息，如设备安装位置、能源类型、所属厂区及校准周期等，以保证能耗数据采集过程具备准确的设备属性支撑。企业管理层主要通过系统提供的大屏总览界面查看整体能源运行情况、峰谷能耗占比与关键能耗趋势，用于宏观决策和能源管理监督。</w:t>
      </w:r>
    </w:p>
    <w:p w14:paraId="36C54A32">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后台自动承担能耗数据的采集、处理与统计功能，包括周期性收集智能计量设备上传的能耗数据，以及执行峰谷时段统计与异常判定等自动化过程。后台处理的结果为能源管理员和企业管理层提供数据基础，支持其完成监控、审核、分析和决策等操作。</w:t>
      </w:r>
    </w:p>
    <w:p w14:paraId="54576622">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rPr>
          <w:rFonts w:hint="eastAsia" w:ascii="宋体" w:hAnsi="宋体" w:eastAsia="宋体" w:cs="宋体"/>
        </w:rPr>
        <w:t>系统的数据输入主要包括计量设备上传的能耗监测记录、设备管理员维护的设备基础信息，以及系统后台自动执行统计过程中所需的时间划分与计算参数。系统的处理过程涉及能耗数据自动采集、数据清洗与校验、峰谷分时段计算、异常能耗识别及能耗记录汇总等。最终输出的信息包括能耗分析数据表、异常能耗记录、节能优化方案建议、大屏能耗总览信息以及其他可视化统计结果。</w:t>
      </w:r>
    </w:p>
    <w:p w14:paraId="456F5060">
      <w:pPr>
        <w:pStyle w:val="2"/>
        <w:numPr>
          <w:ilvl w:val="0"/>
          <w:numId w:val="1"/>
        </w:numPr>
        <w:ind w:left="0" w:leftChars="0" w:firstLine="0" w:firstLineChars="0"/>
        <w:rPr>
          <w:b w:val="0"/>
        </w:rPr>
      </w:pPr>
      <w:commentRangeStart w:id="1"/>
      <w:r>
        <w:t>数据字典</w:t>
      </w:r>
      <w:commentRangeEnd w:id="1"/>
      <w:r>
        <w:commentReference w:id="1"/>
      </w:r>
    </w:p>
    <w:p w14:paraId="387EECEA">
      <w:pPr>
        <w:ind w:firstLine="420" w:firstLineChars="0"/>
        <w:rPr>
          <w:rFonts w:hint="eastAsia" w:asciiTheme="minorEastAsia" w:hAnsiTheme="minorEastAsia" w:eastAsiaTheme="minorEastAsia" w:cstheme="minorEastAsia"/>
          <w:sz w:val="24"/>
          <w:szCs w:val="24"/>
          <w:lang w:val="en-US" w:eastAsia="zh-CN"/>
        </w:rPr>
      </w:pPr>
    </w:p>
    <w:tbl>
      <w:tblPr>
        <w:tblStyle w:val="16"/>
        <w:tblW w:w="10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12"/>
        <w:gridCol w:w="2239"/>
        <w:gridCol w:w="1901"/>
        <w:gridCol w:w="2428"/>
      </w:tblGrid>
      <w:tr w14:paraId="57F33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218" w:type="dxa"/>
            <w:tcBorders>
              <w:top w:val="single" w:color="000000" w:themeColor="dark1" w:sz="8" w:space="0"/>
              <w:left w:val="nil"/>
              <w:bottom w:val="single" w:color="000000" w:themeColor="dark1" w:sz="8" w:space="0"/>
              <w:right w:val="single" w:color="999999" w:themeColor="dark1" w:themeTint="66" w:sz="6" w:space="0"/>
            </w:tcBorders>
            <w:shd w:val="clear" w:color="auto" w:fill="FFFFFF"/>
            <w:vAlign w:val="center"/>
          </w:tcPr>
          <w:p w14:paraId="6F124207">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数据项名</w:t>
            </w:r>
          </w:p>
          <w:p w14:paraId="0503620E">
            <w:pPr>
              <w:keepNext w:val="0"/>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（别名）</w:t>
            </w:r>
          </w:p>
        </w:tc>
        <w:tc>
          <w:tcPr>
            <w:tcW w:w="1712"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6E5963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数据类型</w:t>
            </w:r>
          </w:p>
        </w:tc>
        <w:tc>
          <w:tcPr>
            <w:tcW w:w="2239"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3CB11BB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取值约束</w:t>
            </w:r>
          </w:p>
        </w:tc>
        <w:tc>
          <w:tcPr>
            <w:tcW w:w="1901"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0DB8A7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含义说明</w:t>
            </w:r>
          </w:p>
        </w:tc>
        <w:tc>
          <w:tcPr>
            <w:tcW w:w="2428" w:type="dxa"/>
            <w:tcBorders>
              <w:top w:val="single" w:color="000000" w:themeColor="dark1" w:sz="8" w:space="0"/>
              <w:left w:val="single" w:color="999999" w:themeColor="dark1" w:themeTint="66" w:sz="6" w:space="0"/>
              <w:bottom w:val="single" w:color="000000" w:themeColor="dark1" w:sz="8" w:space="0"/>
              <w:right w:val="nil"/>
            </w:tcBorders>
            <w:shd w:val="clear" w:color="auto" w:fill="FFFFFF"/>
            <w:vAlign w:val="center"/>
          </w:tcPr>
          <w:p w14:paraId="47F3C82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与其他数据项的关系</w:t>
            </w:r>
          </w:p>
        </w:tc>
      </w:tr>
      <w:tr w14:paraId="5A61C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000000" w:themeColor="dark1" w:sz="8" w:space="0"/>
              <w:left w:val="nil"/>
              <w:bottom w:val="single" w:color="999999" w:themeColor="dark1" w:themeTint="66" w:sz="6" w:space="0"/>
              <w:right w:val="single" w:color="999999" w:themeColor="dark1" w:themeTint="66" w:sz="6" w:space="0"/>
            </w:tcBorders>
            <w:shd w:val="clear" w:color="auto" w:fill="FFFFFF"/>
            <w:vAlign w:val="top"/>
          </w:tcPr>
          <w:p w14:paraId="2DD871C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能耗计量设备信息表（energy_meter）</w:t>
            </w:r>
          </w:p>
        </w:tc>
        <w:tc>
          <w:tcPr>
            <w:tcW w:w="1712"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F123C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34813A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F7E96B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000000" w:themeColor="dark1" w:sz="8" w:space="0"/>
              <w:left w:val="single" w:color="999999" w:themeColor="dark1" w:themeTint="66" w:sz="6" w:space="0"/>
              <w:bottom w:val="single" w:color="999999" w:themeColor="dark1" w:themeTint="66" w:sz="6" w:space="0"/>
              <w:right w:val="nil"/>
            </w:tcBorders>
            <w:shd w:val="clear" w:color="auto" w:fill="FFFFFF"/>
            <w:vAlign w:val="top"/>
          </w:tcPr>
          <w:p w14:paraId="316CD10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61E4A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000000" w:themeColor="dark1" w:sz="8" w:space="0"/>
              <w:left w:val="nil"/>
              <w:bottom w:val="single" w:color="999999" w:themeColor="dark1" w:themeTint="66" w:sz="6" w:space="0"/>
              <w:right w:val="single" w:color="999999" w:themeColor="dark1" w:themeTint="66" w:sz="6" w:space="0"/>
            </w:tcBorders>
            <w:shd w:val="clear" w:color="auto" w:fill="FFFFFF"/>
            <w:vAlign w:val="top"/>
          </w:tcPr>
          <w:p w14:paraId="7C8CDC4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device_id</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（设备编号）</w:t>
            </w:r>
          </w:p>
        </w:tc>
        <w:tc>
          <w:tcPr>
            <w:tcW w:w="1712"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4A3DC3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11D58B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格式：TTXXXXX(类型码+5位流水号)</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类型(TT)：CS=水; LS=蒸汽; NG=天然气</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示例：CS10004</w:t>
            </w:r>
          </w:p>
        </w:tc>
        <w:tc>
          <w:tcPr>
            <w:tcW w:w="1901"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223F9C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系统中设备的唯一标识符，用于区分每一台能耗计量设备。</w:t>
            </w:r>
          </w:p>
        </w:tc>
        <w:tc>
          <w:tcPr>
            <w:tcW w:w="2428" w:type="dxa"/>
            <w:tcBorders>
              <w:top w:val="single" w:color="000000" w:themeColor="dark1" w:sz="8" w:space="0"/>
              <w:left w:val="single" w:color="999999" w:themeColor="dark1" w:themeTint="66" w:sz="6" w:space="0"/>
              <w:bottom w:val="single" w:color="999999" w:themeColor="dark1" w:themeTint="66" w:sz="6" w:space="0"/>
              <w:right w:val="nil"/>
            </w:tcBorders>
            <w:shd w:val="clear" w:color="auto" w:fill="FFFFFF"/>
            <w:vAlign w:val="top"/>
          </w:tcPr>
          <w:p w14:paraId="14EEC78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设备台账表的唯一标识。</w:t>
            </w:r>
          </w:p>
        </w:tc>
      </w:tr>
      <w:tr w14:paraId="68C4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4FEEDA2">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energy_type</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(能源类型）</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DB2DF3C">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DB637D0">
            <w:pPr>
              <w:keepNext w:val="0"/>
              <w:keepLines w:val="0"/>
              <w:widowControl/>
              <w:suppressLineNumbers w:val="0"/>
              <w:spacing w:before="0" w:beforeAutospacing="0" w:after="0" w:afterAutospacing="0" w:line="280" w:lineRule="atLeast"/>
              <w:ind w:left="0" w:leftChars="0" w:right="0" w:rightChars="0" w:firstLine="0" w:firstLineChars="0"/>
              <w:jc w:val="both"/>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枚举值：</w:t>
            </w:r>
            <w:r>
              <w:rPr>
                <w:rFonts w:hint="eastAsia" w:ascii="微软雅黑" w:hAnsi="微软雅黑" w:eastAsia="微软雅黑" w:cs="微软雅黑"/>
                <w:b w:val="0"/>
                <w:i w:val="0"/>
                <w:iCs w:val="0"/>
                <w:color w:val="000000"/>
                <w:kern w:val="0"/>
                <w:sz w:val="18"/>
                <w:szCs w:val="18"/>
                <w:u w:val="none"/>
                <w:lang w:val="en-US" w:eastAsia="zh-CN" w:bidi="ar"/>
              </w:rPr>
              <w:t>“水”、“蒸汽”、“天然气”</w:t>
            </w:r>
            <w:r>
              <w:rPr>
                <w:rFonts w:hint="eastAsia" w:ascii="微软雅黑" w:hAnsi="微软雅黑" w:eastAsia="微软雅黑" w:cs="微软雅黑"/>
                <w:b w:val="0"/>
                <w:i w:val="0"/>
                <w:iCs w:val="0"/>
                <w:color w:val="000000"/>
                <w:kern w:val="0"/>
                <w:sz w:val="18"/>
                <w:szCs w:val="18"/>
                <w:u w:val="none"/>
                <w:lang w:val="en-US" w:eastAsia="zh-CN" w:bidi="ar"/>
              </w:rPr>
              <w:br w:type="textWrapping"/>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4F46A7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表示该设备监测的能源种类，用于区分能耗单位与后续统计逻辑。</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1F80AB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19280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D0197E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install_location</w:t>
            </w:r>
          </w:p>
          <w:p w14:paraId="7D24084E">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（安装位置）</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E05E1D8">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271F7F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格式：“厂区代号–安装点代号”二级结构表示。</w:t>
            </w:r>
          </w:p>
          <w:p w14:paraId="6415256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安装点代号为自由文本，不强制统一编码</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w:t>
            </w:r>
          </w:p>
          <w:p w14:paraId="6E252AB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A3-B1（A3 厂区 / B1 点位）</w:t>
            </w:r>
          </w:p>
          <w:p w14:paraId="69021AD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DG-NW（豆果厂区 / NW 点位）</w:t>
            </w:r>
          </w:p>
          <w:p w14:paraId="443E472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ZW-02（真旺厂区 / 02 点位）</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A0EEFE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记录能源计量设备在厂区中的实际物理安装点。</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E3F2698">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722B8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42FE85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pipe_spec</w:t>
            </w:r>
          </w:p>
          <w:p w14:paraId="1CCEDBD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（管径规格）</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D7AA55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70F6D8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枚举值：DN20、DN25、DN32、DN40、DN50、DN65、DN80、DN100、DN125、DN150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5459BF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表示设备安装所在管道的公称直径，是计量设备量程选择与能耗监测数据合理性校验的重要物理参数。</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49A877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F6C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3B743BE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Communication</w:t>
            </w:r>
          </w:p>
          <w:p w14:paraId="4066EAF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_protocol</w:t>
            </w:r>
          </w:p>
          <w:p w14:paraId="315FB84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（通信协议）</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4C0869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95CEF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枚举值：“RS485” 、“LoRa”</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D04BD6">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设备向系统上传数据采用的通信传输方式。</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BB75F1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A89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BB996C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operation_status</w:t>
            </w:r>
          </w:p>
          <w:p w14:paraId="396392B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（运行状态）</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0EE2FF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NVARCHAR(5)</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EAAA4A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枚举值：“正常”、“故障”</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B7835B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表示设备当前运行状态，用于能耗监测数据异常排查。</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19AC7D0E">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6EA0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8420E9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calibration_</w:t>
            </w:r>
          </w:p>
          <w:p w14:paraId="0DD4209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cycle_month</w:t>
            </w:r>
          </w:p>
          <w:p w14:paraId="75997FA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（校准周期（月））</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1666BF0">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INT</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90E1A2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范围：1–24（单位：月）• 示例：6</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35F677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设备定期校准的周期，用于维护计划和设备台账管理。</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C7F9A6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BD95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5340C3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manufacturer（生产厂家）</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632421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NVARCHAR(50)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07A9C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文本，不做格式限制</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B6B079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记录设备生产厂商，用于设备质量追溯与维护管理。</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7C9E397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40DB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A5C74B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p w14:paraId="190C8B2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能耗监测数据表（energy_monitoring）</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AE29D1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996FC1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55F69D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0AF44E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242E2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39DAB9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record_id</w:t>
            </w:r>
          </w:p>
          <w:p w14:paraId="702BFE5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（数据编号）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F3EDAC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NVARCHAR(30)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09CDF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格式：EMXXXXX（固定前缀 EM + 5 位流水号）</w:t>
            </w:r>
          </w:p>
          <w:p w14:paraId="35325DE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流水号范围：00001–99999</w:t>
            </w:r>
          </w:p>
          <w:p w14:paraId="5FEB447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示例：EM00001、EM02345、EM10004</w:t>
            </w:r>
          </w:p>
          <w:p w14:paraId="113A6F5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5E2EF7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唯一标识一条能耗监测记录。</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14E8FAC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r>
              <w:rPr>
                <w:rFonts w:hint="eastAsia" w:ascii="微软雅黑" w:hAnsi="微软雅黑" w:eastAsia="微软雅黑" w:cs="微软雅黑"/>
                <w:b w:val="0"/>
                <w:i w:val="0"/>
                <w:iCs w:val="0"/>
                <w:color w:val="000000"/>
                <w:kern w:val="0"/>
                <w:sz w:val="18"/>
                <w:szCs w:val="18"/>
                <w:u w:val="none"/>
                <w:lang w:val="en-US" w:eastAsia="zh-CN" w:bidi="ar"/>
              </w:rPr>
              <w:br w:type="textWrapping"/>
            </w:r>
          </w:p>
        </w:tc>
      </w:tr>
      <w:tr w14:paraId="258CD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6E9EFD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device_id</w:t>
            </w:r>
          </w:p>
          <w:p w14:paraId="1F4847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E16107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86BF43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格式：TTXXXXX(类型码+5位流水号)</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类型(TT)：CS=水; LS=蒸汽; NG=天然气</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示例：CS10004</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F976E2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标识数据来源设备。</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6367D2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外键引用</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能耗计量设备信息表（energy_meter）</w:t>
            </w:r>
          </w:p>
          <w:p w14:paraId="6962626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用于关联其监测数据，引用本业务线的能耗计量设备信息表。</w:t>
            </w:r>
          </w:p>
        </w:tc>
      </w:tr>
      <w:tr w14:paraId="4A78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68E74B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collected_at</w:t>
            </w:r>
          </w:p>
          <w:p w14:paraId="7384ABF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（采集时间）</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D4E65B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DATETIME</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BD43F3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格式：“YYYY-MM-DD HH:MM:SS”</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示例：2025-03-12 14:25:30。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6730C3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记录能耗值的真实采集时刻，是峰谷划分与统计的依据。</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F813D5E">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4CBF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B51F61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energy_value</w:t>
            </w:r>
          </w:p>
          <w:p w14:paraId="31CA7CB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（能耗值）</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09BA4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p w14:paraId="5F593C0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4B8BA0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2A8367D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•示例:1250.50、23500.75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FE0B80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记录设备在采集时刻的能耗读数，是监测的核心指标。</w:t>
            </w:r>
          </w:p>
          <w:p w14:paraId="7B14887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533EC6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6344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39AE722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Unit</w:t>
            </w:r>
          </w:p>
          <w:p w14:paraId="432ED9E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（单位）</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770767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BBC5D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枚举值：“m³” / “t” / “kWh”</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540BE6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能耗值所使用的物理单位。</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3A8A3C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E25F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28E7E96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data_quality</w:t>
            </w:r>
          </w:p>
          <w:p w14:paraId="3610FDE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（数据质量）</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78B0FB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8E6E9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枚举值：“优” / “良” / “中” / “差”</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F0F23D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表示数据的可信度，系统通过波动校验自动标记，中/差会触发复核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327783FF">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43AEA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E58D99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plant_area_id</w:t>
            </w:r>
          </w:p>
          <w:p w14:paraId="1254494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（所属厂区编号）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030882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268CD7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使用厂区代号</w:t>
            </w:r>
          </w:p>
          <w:p w14:paraId="0F8E9AA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示例：ZW、DG、A3</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A3B368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表示监测数据所属厂区，用于区域级能耗统计与设备归属分析</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B581EB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1A6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DCA417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峰谷能耗数据表（energy_peakvalley）</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01CE7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CBD605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77412C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14F92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17B7E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7EA18DC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record_id</w:t>
            </w:r>
          </w:p>
          <w:p w14:paraId="57EB3AE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69A549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NVARCHAR(30)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E48B0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格式：PVXXXXX（固定前缀 PV + 5 位流水号）</w:t>
            </w:r>
          </w:p>
          <w:p w14:paraId="30369A3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示例：PV00001、PV00235、PV12058</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557A00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标识一天一个厂区一类能源的峰谷统计记录。</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FBCD48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p>
        </w:tc>
      </w:tr>
      <w:tr w14:paraId="0C15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C93D9C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energy_type</w:t>
            </w:r>
          </w:p>
          <w:p w14:paraId="5B26F89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（能源类型）</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6F703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94423D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枚举值：</w:t>
            </w:r>
            <w:r>
              <w:rPr>
                <w:rFonts w:hint="eastAsia" w:ascii="微软雅黑" w:hAnsi="微软雅黑" w:eastAsia="微软雅黑" w:cs="微软雅黑"/>
                <w:b w:val="0"/>
                <w:i w:val="0"/>
                <w:iCs w:val="0"/>
                <w:color w:val="000000"/>
                <w:kern w:val="0"/>
                <w:sz w:val="18"/>
                <w:szCs w:val="18"/>
                <w:u w:val="none"/>
                <w:lang w:val="en-US" w:eastAsia="zh-CN" w:bidi="ar"/>
              </w:rPr>
              <w:t>“水”、“蒸汽”、“天然气”</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809E25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标识统计对象的能源类别。</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CAD1D3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44C2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1BDDF75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plant_area_id</w:t>
            </w:r>
          </w:p>
          <w:p w14:paraId="6DAE20E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71788D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A81456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厂区编码，如 “ZWF”、“DGF”、“A3F”</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578580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标识该峰谷统计记录所属的生产厂区。</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BB5252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CFA2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503D380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statistic_date</w:t>
            </w:r>
          </w:p>
          <w:p w14:paraId="224FAF6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（统计日期）</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9201F9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AEF34C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 ：YYYY-MM-DD</w:t>
            </w:r>
          </w:p>
          <w:p w14:paraId="68EF5D2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示例：2025-03-12</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B65DEB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记录峰谷能耗统计对应的自然日。</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1AE3828">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E284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D2EB6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peak_energy</w:t>
            </w:r>
          </w:p>
          <w:p w14:paraId="5AF6569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（尖峰时段能耗）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878745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2C564B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432FA2B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6180FD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10:00–12:00 / 16:00–18:00 的能耗总量。</w:t>
            </w:r>
          </w:p>
          <w:p w14:paraId="794C842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1D3A3EF">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762F3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27B6B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high_energy</w:t>
            </w:r>
          </w:p>
          <w:p w14:paraId="0BA8F3E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（高峰时段能耗）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4C93E9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ACB29D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5B46190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87285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8:00-10:00/12:00-16:00/18:00-22:00的能耗总量。</w:t>
            </w:r>
          </w:p>
          <w:p w14:paraId="73A7EC2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323F94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4910C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FD29DC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flat_energy</w:t>
            </w:r>
          </w:p>
          <w:p w14:paraId="12C5761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（平段能耗）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3CA6F5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B501FF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1FDBA8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6C94E3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6:00-8:00/22:00-24:00的能耗总量。</w:t>
            </w:r>
          </w:p>
          <w:p w14:paraId="4BA037E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3DF30B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AFA9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220642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valley_energy</w:t>
            </w:r>
          </w:p>
          <w:p w14:paraId="333398F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（低谷时段能耗）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E8DC94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50F939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7059AC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EDF17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00:00-6:00的能耗总量。</w:t>
            </w:r>
          </w:p>
          <w:p w14:paraId="063DAA6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4C50734">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62A3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28743A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total_energy</w:t>
            </w:r>
          </w:p>
          <w:p w14:paraId="0773F37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（总能耗）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9C6AEB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F3BE28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4F187D8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B84A8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一天中总能耗的计算结果。</w:t>
            </w:r>
          </w:p>
          <w:p w14:paraId="7C01D31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46F79D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F28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3026D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peakvalley_price</w:t>
            </w:r>
          </w:p>
          <w:p w14:paraId="277EB91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（峰谷电价）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66B128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DECIMAL(5,2)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8C04A3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0-10.00</w:t>
            </w:r>
          </w:p>
          <w:p w14:paraId="5A3E1B9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单位：元/kWh</w:t>
            </w:r>
          </w:p>
          <w:p w14:paraId="4DE5D9D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示例：0.85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5CC78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用于换算峰谷能耗成本的综合电价或能源单价。</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4D2B32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70A1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53433E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energy_cost</w:t>
            </w:r>
          </w:p>
          <w:p w14:paraId="775D253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（能耗成本）</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8B613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C1ECE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 -999999.99–999999.99</w:t>
            </w:r>
          </w:p>
          <w:p w14:paraId="7503A692">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单位：元</w:t>
            </w:r>
          </w:p>
          <w:p w14:paraId="274ED7C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示例：12500.30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A8BB06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后台自行计算能耗能耗成本值</w:t>
            </w:r>
          </w:p>
          <w:p w14:paraId="5358434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能耗成本为零或正值时正常，为负值时视为异常（一般不为负，后台自动计算）</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CFBA8A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1AC23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2A88591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FF232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D37CB4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1CA735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8EE39B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5899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DBDD93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A03F40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628C88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7287A5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E729D7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1700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740438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8C351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08DBF7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21F22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33ED2F1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2E260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9D375B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19FE8A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F84CD1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2F8256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F00E0B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048D3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C701F9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B39E0F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3BAB6D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108A8B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C60414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bl>
    <w:p w14:paraId="7BBFC125">
      <w:pPr>
        <w:rPr>
          <w:rFonts w:hint="eastAsia" w:asciiTheme="minorEastAsia" w:hAnsiTheme="minorEastAsia" w:eastAsia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H1RT3EN" w:date="2025-12-17T00:17:35Z" w:initials="">
    <w:p w14:paraId="42829E00">
      <w:pPr>
        <w:pStyle w:val="11"/>
        <w:rPr>
          <w:rFonts w:hint="eastAsia"/>
          <w:lang w:val="en-US" w:eastAsia="zh-CN"/>
        </w:rPr>
      </w:pPr>
      <w:r>
        <w:rPr>
          <w:rFonts w:hint="eastAsia"/>
          <w:lang w:val="en-US" w:eastAsia="zh-CN"/>
        </w:rPr>
        <w:t>extend的格式不对，重新检查一下我有个文档里写过要怎么画，你有点画反了</w:t>
      </w:r>
    </w:p>
    <w:p w14:paraId="5288B25D">
      <w:pPr>
        <w:pStyle w:val="11"/>
        <w:rPr>
          <w:rFonts w:hint="eastAsia"/>
          <w:lang w:val="en-US" w:eastAsia="zh-CN"/>
        </w:rPr>
      </w:pPr>
    </w:p>
    <w:p w14:paraId="21349FBF">
      <w:pPr>
        <w:pStyle w:val="11"/>
        <w:rPr>
          <w:rFonts w:hint="eastAsia"/>
          <w:lang w:val="en-US" w:eastAsia="zh-CN"/>
        </w:rPr>
      </w:pPr>
    </w:p>
    <w:p w14:paraId="322FC3D0">
      <w:pPr>
        <w:pStyle w:val="11"/>
        <w:rPr>
          <w:rFonts w:hint="default"/>
          <w:lang w:val="en-US" w:eastAsia="zh-CN"/>
        </w:rPr>
      </w:pPr>
      <w:r>
        <w:rPr>
          <w:rFonts w:hint="eastAsia"/>
          <w:lang w:val="en-US" w:eastAsia="zh-CN"/>
        </w:rPr>
        <w:t>系统后台这样画的画，把逗号前后拆成两个</w:t>
      </w:r>
    </w:p>
  </w:comment>
  <w:comment w:id="1" w:author="TH1RT3EN" w:date="2025-12-17T00:18:24Z" w:initials="">
    <w:p w14:paraId="63737FDE">
      <w:pPr>
        <w:pStyle w:val="11"/>
        <w:rPr>
          <w:rFonts w:hint="default" w:eastAsiaTheme="minorEastAsia"/>
          <w:lang w:val="en-US" w:eastAsia="zh-CN"/>
        </w:rPr>
      </w:pPr>
      <w:r>
        <w:rPr>
          <w:rFonts w:hint="eastAsia"/>
          <w:lang w:val="en-US" w:eastAsia="zh-CN"/>
        </w:rPr>
        <w:t>数据项不用单独用一行说明是什么表，这里的这几行去掉，然后所有数据项取并集，不要重复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22FC3D0" w15:done="0"/>
  <w15:commentEx w15:paraId="63737FD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3872F"/>
    <w:multiLevelType w:val="singleLevel"/>
    <w:tmpl w:val="C7A3872F"/>
    <w:lvl w:ilvl="0" w:tentative="0">
      <w:start w:val="1"/>
      <w:numFmt w:val="decimal"/>
      <w:suff w:val="space"/>
      <w:lvlText w:val="%1."/>
      <w:lvlJc w:val="left"/>
      <w:pPr>
        <w:ind w:left="0" w:firstLine="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1RT3EN">
    <w15:presenceInfo w15:providerId="WPS Office" w15:userId="345956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21FB4"/>
    <w:rsid w:val="010E72CB"/>
    <w:rsid w:val="01C25065"/>
    <w:rsid w:val="02235B22"/>
    <w:rsid w:val="049542D9"/>
    <w:rsid w:val="0D9A6E96"/>
    <w:rsid w:val="0DAA4BF9"/>
    <w:rsid w:val="0FD47BB9"/>
    <w:rsid w:val="15A9411A"/>
    <w:rsid w:val="16C805D0"/>
    <w:rsid w:val="1767428D"/>
    <w:rsid w:val="19D90D46"/>
    <w:rsid w:val="1AC6778B"/>
    <w:rsid w:val="1EBF050A"/>
    <w:rsid w:val="22D21682"/>
    <w:rsid w:val="25686DF2"/>
    <w:rsid w:val="27053614"/>
    <w:rsid w:val="2B447689"/>
    <w:rsid w:val="2C0B1D41"/>
    <w:rsid w:val="330966F1"/>
    <w:rsid w:val="332E31A4"/>
    <w:rsid w:val="3FAE0762"/>
    <w:rsid w:val="42224F20"/>
    <w:rsid w:val="432B58BF"/>
    <w:rsid w:val="45311DC7"/>
    <w:rsid w:val="471C2241"/>
    <w:rsid w:val="48581E32"/>
    <w:rsid w:val="4A364346"/>
    <w:rsid w:val="4EF60E2B"/>
    <w:rsid w:val="51073649"/>
    <w:rsid w:val="518B5691"/>
    <w:rsid w:val="523B78D6"/>
    <w:rsid w:val="537D2167"/>
    <w:rsid w:val="59921FB4"/>
    <w:rsid w:val="5C6F0AB8"/>
    <w:rsid w:val="5E4F367F"/>
    <w:rsid w:val="5EDA583B"/>
    <w:rsid w:val="60970099"/>
    <w:rsid w:val="69AC0A3C"/>
    <w:rsid w:val="6FAF0247"/>
    <w:rsid w:val="725400E9"/>
    <w:rsid w:val="74C94DB4"/>
    <w:rsid w:val="76300364"/>
    <w:rsid w:val="77F47B34"/>
    <w:rsid w:val="7A2D24A9"/>
    <w:rsid w:val="7B3C7FE0"/>
    <w:rsid w:val="7E7A0ECD"/>
    <w:rsid w:val="7EED34ED"/>
    <w:rsid w:val="7F1A23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8">
    <w:name w:val="Strong"/>
    <w:basedOn w:val="1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3170</Words>
  <Characters>4293</Characters>
  <Lines>0</Lines>
  <Paragraphs>0</Paragraphs>
  <TotalTime>55</TotalTime>
  <ScaleCrop>false</ScaleCrop>
  <LinksUpToDate>false</LinksUpToDate>
  <CharactersWithSpaces>4418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2025-11-27T13:10:00Z</dcterms:created>
  <dc:creator>TH1RT3EN</dc:creator>
  <cp:lastModifiedBy>WPS_1695014859</cp:lastModifiedBy>
  <dcterms:modified xsi:type="dcterms:W3CDTF">2025-12-19T08:51:42Z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5F6CE9B428024627ADCC34A7EB63171A_13</vt:lpwstr>
  </property>
  <property fmtid="{D5CDD505-2E9C-101B-9397-08002B2CF9AE}" pid="4" name="KSOTemplateDocerSaveRecord">
    <vt:lpwstr>eyJoZGlkIjoiODFiZWM4MzMyMWQxYTk4YzdlNDE2Njg3MjY5M2ZkNDkiLCJ1c2VySWQiOiIxNTM2NDkwNjY0In0=</vt:lpwstr>
  </property>
</Properties>
</file>