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ackground w:color="FFFFFF"/>
  <w:body>
    <w:p w:rsidR="00841765" w:rsidRDefault="00000000" w14:paraId="652660CF" w14:textId="77777777">
      <w:pPr>
        <w:pStyle w:val="Kop1"/>
        <w:keepNext w:val="0"/>
        <w:keepLines w:val="0"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</w:pPr>
      <w:bookmarkStart w:name="_5yvknqya0u8o" w:colFirst="0" w:colLast="0" w:id="0"/>
      <w:bookmarkEnd w:id="0"/>
      <w:r>
        <w:t>Traditional GRC related PDCA Cycle</w:t>
      </w:r>
    </w:p>
    <w:p w:rsidR="00841765" w:rsidRDefault="00000000" w14:paraId="0C5CC7CF" w14:textId="77777777">
      <w:pPr>
        <w:pStyle w:val="Kop1"/>
        <w:keepNext w:val="0"/>
        <w:keepLines w:val="0"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</w:pPr>
      <w:bookmarkStart w:name="_107o6uiybrwd" w:colFirst="0" w:colLast="0" w:id="1"/>
      <w:bookmarkEnd w:id="1"/>
      <w:r>
        <w:rPr>
          <w:noProof/>
        </w:rPr>
        <w:drawing>
          <wp:inline distT="114300" distB="114300" distL="114300" distR="114300" wp14:anchorId="6338002E" wp14:editId="766BD1A7">
            <wp:extent cx="7962900" cy="194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946" t="29677" r="11502" b="19302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76249C" w:rsidR="00841765" w:rsidRDefault="00000000" w14:paraId="5E6A052C" w14:textId="77777777">
      <w:p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  <w:rPr>
          <w:lang w:val="en-US"/>
        </w:rPr>
      </w:pPr>
      <w:r w:rsidRPr="0076249C">
        <w:rPr>
          <w:lang w:val="en-US"/>
        </w:rPr>
        <w:t xml:space="preserve">The PDCA cycle is easy to understand and a best practice for structurally embedding continuous improvement in an organization. </w:t>
      </w:r>
    </w:p>
    <w:p w:rsidRPr="0076249C" w:rsidR="00841765" w:rsidRDefault="00000000" w14:paraId="245552EF" w14:textId="77777777">
      <w:p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  <w:rPr>
          <w:lang w:val="en-US"/>
        </w:rPr>
      </w:pPr>
      <w:r w:rsidRPr="0076249C">
        <w:rPr>
          <w:lang w:val="en-US"/>
        </w:rPr>
        <w:br/>
      </w:r>
      <w:r w:rsidRPr="0076249C">
        <w:rPr>
          <w:lang w:val="en-US"/>
        </w:rPr>
        <w:t xml:space="preserve">When mapping traditional GRC aspect on the cycle, it becomes clear that there is (inherently) a certain amount of complexity in the model. </w:t>
      </w:r>
    </w:p>
    <w:p w:rsidRPr="0076249C" w:rsidR="00841765" w:rsidP="741AD20D" w:rsidRDefault="00000000" w14:paraId="785B6E84" w14:textId="5F25D08E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/>
        <w:rPr>
          <w:lang w:val="en-US"/>
        </w:rPr>
      </w:pPr>
      <w:r w:rsidRPr="741AD20D" w:rsidR="00000000">
        <w:rPr>
          <w:lang w:val="en-US"/>
        </w:rPr>
        <w:t xml:space="preserve">Similar activities are described under slightly different names, depending on the phase they are in. </w:t>
      </w:r>
      <w:r w:rsidRPr="741AD20D" w:rsidR="00000000">
        <w:rPr>
          <w:lang w:val="en-US"/>
        </w:rPr>
        <w:t>E.g.</w:t>
      </w:r>
      <w:r w:rsidRPr="741AD20D" w:rsidR="00000000">
        <w:rPr>
          <w:lang w:val="en-US"/>
        </w:rPr>
        <w:t xml:space="preserve"> Develop Policies &amp; Procedures, Update Policies &amp; Procedures. This makes </w:t>
      </w:r>
      <w:r w:rsidRPr="741AD20D" w:rsidR="00000000">
        <w:rPr>
          <w:lang w:val="en-US"/>
        </w:rPr>
        <w:t>sens</w:t>
      </w:r>
      <w:r w:rsidRPr="741AD20D" w:rsidR="6C5850FC">
        <w:rPr>
          <w:lang w:val="en-US"/>
        </w:rPr>
        <w:t>e</w:t>
      </w:r>
      <w:r w:rsidRPr="741AD20D" w:rsidR="00000000">
        <w:rPr>
          <w:lang w:val="en-US"/>
        </w:rPr>
        <w:t xml:space="preserve"> as there is a semantic similarity between the Do and Act phases. Since it is the intent of </w:t>
      </w:r>
      <w:r w:rsidRPr="741AD20D" w:rsidR="60192BBB">
        <w:rPr>
          <w:lang w:val="en-US"/>
        </w:rPr>
        <w:t>SimplTrust</w:t>
      </w:r>
      <w:r w:rsidRPr="741AD20D" w:rsidR="00000000">
        <w:rPr>
          <w:lang w:val="en-US"/>
        </w:rPr>
        <w:t xml:space="preserve"> to keep things simple, we want to describe activity only once, even if it can appear multiple times in a workflow. </w:t>
      </w:r>
    </w:p>
    <w:p w:rsidRPr="0076249C" w:rsidR="00841765" w:rsidP="741AD20D" w:rsidRDefault="00000000" w14:paraId="66ABBA08" w14:textId="0A84AA35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rPr>
          <w:lang w:val="en-US"/>
        </w:rPr>
      </w:pPr>
      <w:r w:rsidRPr="741AD20D" w:rsidR="00000000">
        <w:rPr>
          <w:lang w:val="en-US"/>
        </w:rPr>
        <w:t>There are similarities between activities in terms of the type of work they represent</w:t>
      </w:r>
      <w:r w:rsidRPr="741AD20D" w:rsidR="00000000">
        <w:rPr>
          <w:lang w:val="en-US"/>
        </w:rPr>
        <w:t xml:space="preserve">.  </w:t>
      </w:r>
      <w:r w:rsidRPr="741AD20D" w:rsidR="00000000">
        <w:rPr>
          <w:lang w:val="en-US"/>
        </w:rPr>
        <w:t>E.g.</w:t>
      </w:r>
      <w:r w:rsidRPr="741AD20D" w:rsidR="00000000">
        <w:rPr>
          <w:lang w:val="en-US"/>
        </w:rPr>
        <w:t xml:space="preserve"> Implementing Procedures or Implementing corrective actions are both examples of implementations that need to be performed by named people in the organization. As </w:t>
      </w:r>
      <w:r w:rsidRPr="741AD20D" w:rsidR="60192BBB">
        <w:rPr>
          <w:lang w:val="en-US"/>
        </w:rPr>
        <w:t>SimplTrust</w:t>
      </w:r>
      <w:r w:rsidRPr="741AD20D" w:rsidR="00000000">
        <w:rPr>
          <w:lang w:val="en-US"/>
        </w:rPr>
        <w:t xml:space="preserve"> wants to keep things simple, we simply consider these to be ‘</w:t>
      </w:r>
      <w:r w:rsidRPr="741AD20D" w:rsidR="00000000">
        <w:rPr>
          <w:lang w:val="en-US"/>
        </w:rPr>
        <w:t>actions’</w:t>
      </w:r>
      <w:r w:rsidRPr="741AD20D" w:rsidR="00000000">
        <w:rPr>
          <w:lang w:val="en-US"/>
        </w:rPr>
        <w:t>. The platform will suggest what type of action is to be undertaken for which context (</w:t>
      </w:r>
      <w:r w:rsidRPr="741AD20D" w:rsidR="00000000">
        <w:rPr>
          <w:lang w:val="en-US"/>
        </w:rPr>
        <w:t>e.g.</w:t>
      </w:r>
      <w:r w:rsidRPr="741AD20D" w:rsidR="00000000">
        <w:rPr>
          <w:lang w:val="en-US"/>
        </w:rPr>
        <w:t xml:space="preserve"> implement procedure x, implement a corrective action for asset Y, etc.) by whom.</w:t>
      </w:r>
    </w:p>
    <w:p w:rsidRPr="0076249C" w:rsidR="00841765" w:rsidRDefault="00000000" w14:paraId="650CBD50" w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after="80"/>
        <w:rPr>
          <w:lang w:val="en-US"/>
        </w:rPr>
      </w:pPr>
      <w:r w:rsidRPr="0076249C">
        <w:rPr>
          <w:lang w:val="en-US"/>
        </w:rPr>
        <w:t>More stuff to be added later in introduction (focus on BC, focus on assets, focus on regulatory reference modeling, …)</w:t>
      </w:r>
    </w:p>
    <w:p w:rsidRPr="0076249C" w:rsidR="00841765" w:rsidRDefault="00000000" w14:paraId="34C7A24B" w14:textId="77777777">
      <w:p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  <w:rPr>
          <w:lang w:val="en-US"/>
        </w:rPr>
      </w:pPr>
      <w:r w:rsidRPr="0076249C">
        <w:rPr>
          <w:lang w:val="en-US"/>
        </w:rPr>
        <w:br w:type="page"/>
      </w:r>
    </w:p>
    <w:p w:rsidR="00841765" w:rsidRDefault="00000000" w14:paraId="69A9F73A" w14:textId="77777777">
      <w:pPr>
        <w:pStyle w:val="Kop1"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</w:pPr>
      <w:bookmarkStart w:name="_ietzx6s4086r" w:colFirst="0" w:colLast="0" w:id="2"/>
      <w:bookmarkEnd w:id="2"/>
      <w:r>
        <w:t>Revised model</w:t>
      </w:r>
      <w:commentRangeStart w:id="3"/>
      <w:r>
        <w:rPr>
          <w:noProof/>
        </w:rPr>
        <w:drawing>
          <wp:inline distT="114300" distB="114300" distL="114300" distR="114300" wp14:anchorId="2156F7EB" wp14:editId="2071BCC7">
            <wp:extent cx="8524875" cy="5191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299" r="23093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 w:rsidR="00841765" w:rsidRDefault="00000000" w14:paraId="387E600F" w14:textId="77777777">
      <w:pPr>
        <w:pStyle w:val="Kop1"/>
        <w:keepNext w:val="0"/>
        <w:keepLines w:val="0"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360" w:after="80"/>
      </w:pPr>
      <w:bookmarkStart w:name="_ay3j0lbynywa" w:colFirst="0" w:colLast="0" w:id="4"/>
      <w:bookmarkEnd w:id="4"/>
      <w:r>
        <w:rPr>
          <w:noProof/>
        </w:rPr>
        <w:drawing>
          <wp:inline distT="114300" distB="114300" distL="114300" distR="114300" wp14:anchorId="4663DFEE" wp14:editId="00928BCD">
            <wp:extent cx="9552214" cy="59293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r="22986"/>
                    <a:stretch>
                      <a:fillRect/>
                    </a:stretch>
                  </pic:blipFill>
                  <pic:spPr>
                    <a:xfrm>
                      <a:off x="0" y="0"/>
                      <a:ext cx="9552214" cy="592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17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" w:author="Tom Hendrickx" w:date="2024-10-29T21:26:00Z" w:id="3">
    <w:p w:rsidR="00841765" w:rsidRDefault="00000000" w14:paraId="1109DEE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Flow makes sense.</w:t>
      </w:r>
    </w:p>
    <w:p w:rsidR="00841765" w:rsidRDefault="00000000" w14:paraId="42B872C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Aandachtspunten voor onszelf:</w:t>
      </w:r>
    </w:p>
    <w:p w:rsidR="00841765" w:rsidRDefault="00000000" w14:paraId="3917DFC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Valoriseer in de Act flow de strategic review op basis van  ons advies -&gt; input voor discussie met klant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17DF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17DFC6" w16cid:durableId="3FD37E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4FAB" w:rsidP="0076249C" w:rsidRDefault="00B44FAB" w14:paraId="7A0A1E04" w14:textId="77777777">
      <w:pPr>
        <w:spacing w:line="240" w:lineRule="auto"/>
      </w:pPr>
      <w:r>
        <w:separator/>
      </w:r>
    </w:p>
  </w:endnote>
  <w:endnote w:type="continuationSeparator" w:id="0">
    <w:p w:rsidR="00B44FAB" w:rsidP="0076249C" w:rsidRDefault="00B44FAB" w14:paraId="1EFB4C2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56B2E33E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3C441390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7D17D058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4FAB" w:rsidP="0076249C" w:rsidRDefault="00B44FAB" w14:paraId="06904D31" w14:textId="77777777">
      <w:pPr>
        <w:spacing w:line="240" w:lineRule="auto"/>
      </w:pPr>
      <w:r>
        <w:separator/>
      </w:r>
    </w:p>
  </w:footnote>
  <w:footnote w:type="continuationSeparator" w:id="0">
    <w:p w:rsidR="00B44FAB" w:rsidP="0076249C" w:rsidRDefault="00B44FAB" w14:paraId="0CA89AA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5A8CF4A2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3332DDEF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249C" w:rsidRDefault="0076249C" w14:paraId="50E4678D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253BC"/>
    <w:multiLevelType w:val="multilevel"/>
    <w:tmpl w:val="5AFA9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2792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m Hendrickx">
    <w15:presenceInfo w15:providerId="None" w15:userId="Tom Hendrickx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2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65"/>
    <w:rsid w:val="00000000"/>
    <w:rsid w:val="003900BA"/>
    <w:rsid w:val="0076249C"/>
    <w:rsid w:val="00841765"/>
    <w:rsid w:val="00B44FAB"/>
    <w:rsid w:val="56B4E98C"/>
    <w:rsid w:val="60192BBB"/>
    <w:rsid w:val="6C5850FC"/>
    <w:rsid w:val="741AD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0DAAE"/>
  <w15:docId w15:val="{C4E5DDB8-F791-DF4B-BE87-AFE5FCE2A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lang w:val="nl" w:eastAsia="nl-NL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color w:val="000000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hAnsi="Trebuchet MS" w:eastAsia="Trebuchet MS" w:cs="Trebuchet MS"/>
      <w:color w:val="000000"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 w:after="160" w:line="259" w:lineRule="auto"/>
      <w:outlineLvl w:val="2"/>
    </w:pPr>
    <w:rPr>
      <w:rFonts w:ascii="Trebuchet MS" w:hAnsi="Trebuchet MS" w:eastAsia="Trebuchet MS" w:cs="Trebuchet MS"/>
      <w:color w:val="000000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hAnsi="Trebuchet MS" w:eastAsia="Trebuchet MS" w:cs="Trebuchet MS"/>
      <w:color w:val="000000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6249C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76249C"/>
  </w:style>
  <w:style w:type="paragraph" w:styleId="Voettekst">
    <w:name w:val="footer"/>
    <w:basedOn w:val="Standaard"/>
    <w:link w:val="VoettekstChar"/>
    <w:uiPriority w:val="99"/>
    <w:unhideWhenUsed/>
    <w:rsid w:val="0076249C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76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2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36A914B22AC42BE997D471BD61B0F" ma:contentTypeVersion="12" ma:contentTypeDescription="Een nieuw document maken." ma:contentTypeScope="" ma:versionID="459a4cf0838ac4ee76509be6d420f3b6">
  <xsd:schema xmlns:xsd="http://www.w3.org/2001/XMLSchema" xmlns:xs="http://www.w3.org/2001/XMLSchema" xmlns:p="http://schemas.microsoft.com/office/2006/metadata/properties" xmlns:ns2="781a1c4a-ff2c-4e36-a024-1c4a3b2b85e5" xmlns:ns3="f1bea56b-85e3-4c8f-a64b-2be97c8151dc" targetNamespace="http://schemas.microsoft.com/office/2006/metadata/properties" ma:root="true" ma:fieldsID="4633e8ae36884d993188bce32f0c9e34" ns2:_="" ns3:_="">
    <xsd:import namespace="781a1c4a-ff2c-4e36-a024-1c4a3b2b85e5"/>
    <xsd:import namespace="f1bea56b-85e3-4c8f-a64b-2be97c8151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1c4a-ff2c-4e36-a024-1c4a3b2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4df6bf44-d1c7-4634-8c54-f9044d03e6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ea56b-85e3-4c8f-a64b-2be97c8151d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471443d-2360-4ca1-89d9-417f41e09a41}" ma:internalName="TaxCatchAll" ma:showField="CatchAllData" ma:web="f1bea56b-85e3-4c8f-a64b-2be97c8151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1a1c4a-ff2c-4e36-a024-1c4a3b2b85e5">
      <Terms xmlns="http://schemas.microsoft.com/office/infopath/2007/PartnerControls"/>
    </lcf76f155ced4ddcb4097134ff3c332f>
    <TaxCatchAll xmlns="f1bea56b-85e3-4c8f-a64b-2be97c8151dc" xsi:nil="true"/>
  </documentManagement>
</p:properties>
</file>

<file path=customXml/itemProps1.xml><?xml version="1.0" encoding="utf-8"?>
<ds:datastoreItem xmlns:ds="http://schemas.openxmlformats.org/officeDocument/2006/customXml" ds:itemID="{F92A2A30-8EC2-4D51-BEE0-A91821D8BC1A}"/>
</file>

<file path=customXml/itemProps2.xml><?xml version="1.0" encoding="utf-8"?>
<ds:datastoreItem xmlns:ds="http://schemas.openxmlformats.org/officeDocument/2006/customXml" ds:itemID="{40395D1A-3E15-4FD5-A2E6-556D14835A90}"/>
</file>

<file path=customXml/itemProps3.xml><?xml version="1.0" encoding="utf-8"?>
<ds:datastoreItem xmlns:ds="http://schemas.openxmlformats.org/officeDocument/2006/customXml" ds:itemID="{15ABE126-D0BC-46EF-81BD-AA1FABC5C8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Hendrickx</cp:lastModifiedBy>
  <cp:revision>3</cp:revision>
  <dcterms:created xsi:type="dcterms:W3CDTF">2025-01-13T12:27:00Z</dcterms:created>
  <dcterms:modified xsi:type="dcterms:W3CDTF">2025-01-13T12:42:23Z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0x010100E8536A914B22AC42BE997D471BD61B0F</vt:lpwstr>
  </property>
</Properties>
</file>