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9D40EA" w:rsidRDefault="00000000" w14:paraId="00000001" w14:textId="0B95770D">
      <w:r w:rsidR="5E034408">
        <w:rPr/>
        <w:t>SimplTrust</w:t>
      </w:r>
      <w:r w:rsidR="00000000">
        <w:rPr/>
        <w:t xml:space="preserve"> Studiegids</w:t>
      </w:r>
    </w:p>
    <w:p w:rsidR="009D40EA" w:rsidRDefault="009D40EA" w14:paraId="00000002" w14:textId="77777777"/>
    <w:p w:rsidR="009D40EA" w:rsidRDefault="00000000" w14:paraId="00000003" w14:textId="77777777">
      <w:r>
        <w:t>Beschrijf de traditionele PDCA-cyclus in de context van GRC.</w:t>
      </w:r>
    </w:p>
    <w:p w:rsidR="009D40EA" w:rsidRDefault="00000000" w14:paraId="00000004" w14:textId="77777777">
      <w:pPr>
        <w:numPr>
          <w:ilvl w:val="0"/>
          <w:numId w:val="5"/>
        </w:numPr>
      </w:pPr>
      <w:r>
        <w:t>De traditionele PDCA-cyclus (Plan-Do-Check-Act) in GRC is een iteratief proces voor het systematisch beheren van governance, risico en compliance. Het omvat het plannen van GRC-activiteiten, het implementeren van plannen, het controleren van de effectiviteit en het nemen van corrigerende maatregelen.</w:t>
      </w:r>
    </w:p>
    <w:p w:rsidR="009D40EA" w:rsidRDefault="009D40EA" w14:paraId="00000005" w14:textId="77777777">
      <w:pPr>
        <w:ind w:left="720"/>
      </w:pPr>
    </w:p>
    <w:p w:rsidR="009D40EA" w:rsidRDefault="009D40EA" w14:paraId="00000006" w14:textId="77777777">
      <w:pPr>
        <w:ind w:left="720"/>
      </w:pPr>
    </w:p>
    <w:p w:rsidR="009D40EA" w:rsidRDefault="00000000" w14:paraId="00000007" w14:textId="2CF1C5DC">
      <w:r w:rsidR="00000000">
        <w:rPr/>
        <w:t xml:space="preserve">Wat zijn de drie belangrijkste vereenvoudigingen die </w:t>
      </w:r>
      <w:r w:rsidR="5E034408">
        <w:rPr/>
        <w:t>SimplTrust</w:t>
      </w:r>
      <w:r w:rsidR="00000000">
        <w:rPr/>
        <w:t xml:space="preserve"> introduceert ten opzichte van de traditionele GRC PDCA-cyclus?</w:t>
      </w:r>
    </w:p>
    <w:p w:rsidR="009D40EA" w:rsidRDefault="00000000" w14:paraId="00000008" w14:textId="3E55A359">
      <w:pPr>
        <w:numPr>
          <w:ilvl w:val="0"/>
          <w:numId w:val="5"/>
        </w:numPr>
        <w:rPr/>
      </w:pPr>
      <w:r w:rsidR="5E034408">
        <w:rPr/>
        <w:t>SimplTrust</w:t>
      </w:r>
      <w:r w:rsidR="00000000">
        <w:rPr/>
        <w:t xml:space="preserve"> vereenvoudigt de traditionele GRC PDCA-cyclus door:</w:t>
      </w:r>
    </w:p>
    <w:p w:rsidR="009D40EA" w:rsidRDefault="00000000" w14:paraId="00000009" w14:textId="77777777">
      <w:pPr>
        <w:numPr>
          <w:ilvl w:val="0"/>
          <w:numId w:val="5"/>
        </w:numPr>
      </w:pPr>
      <w:r>
        <w:t xml:space="preserve"> (1) activiteiten die in verschillende fasen onder verschillende namen worden beschreven, samen te voegen, </w:t>
      </w:r>
    </w:p>
    <w:p w:rsidR="009D40EA" w:rsidRDefault="00000000" w14:paraId="0000000A" w14:textId="77777777">
      <w:pPr>
        <w:numPr>
          <w:ilvl w:val="0"/>
          <w:numId w:val="5"/>
        </w:numPr>
      </w:pPr>
      <w:r>
        <w:t xml:space="preserve">(2) verschillende soorten taken te categoriseren als "acties" en </w:t>
      </w:r>
    </w:p>
    <w:p w:rsidR="009D40EA" w:rsidRDefault="00000000" w14:paraId="0000000B" w14:textId="77777777">
      <w:pPr>
        <w:numPr>
          <w:ilvl w:val="0"/>
          <w:numId w:val="5"/>
        </w:numPr>
      </w:pPr>
      <w:r>
        <w:t>(3) AI-gestuurde aanbevelingen te bieden voor optimale actieplanning.</w:t>
      </w:r>
    </w:p>
    <w:p w:rsidR="009D40EA" w:rsidRDefault="009D40EA" w14:paraId="0000000C" w14:textId="77777777"/>
    <w:p w:rsidR="009D40EA" w:rsidRDefault="00000000" w14:paraId="0000000D" w14:textId="77777777">
      <w:pPr>
        <w:rPr>
          <w:b/>
        </w:rPr>
      </w:pPr>
      <w:r>
        <w:rPr>
          <w:b/>
        </w:rPr>
        <w:t>Investeerders</w:t>
      </w:r>
    </w:p>
    <w:p w:rsidR="009D40EA" w:rsidRDefault="00000000" w14:paraId="0000000E" w14:textId="4B08575F">
      <w:r w:rsidR="00000000">
        <w:rPr/>
        <w:t xml:space="preserve">Wat maakt </w:t>
      </w:r>
      <w:r w:rsidR="5E034408">
        <w:rPr/>
        <w:t>SimplTrust</w:t>
      </w:r>
      <w:r w:rsidR="00000000">
        <w:rPr/>
        <w:t xml:space="preserve"> uniek ten opzichte van bestaande GRC-oplossingen? [1, 2]</w:t>
      </w:r>
    </w:p>
    <w:p w:rsidR="009D40EA" w:rsidRDefault="00000000" w14:paraId="0000000F" w14:textId="6983D151">
      <w:pPr>
        <w:numPr>
          <w:ilvl w:val="0"/>
          <w:numId w:val="1"/>
        </w:numPr>
        <w:rPr/>
      </w:pPr>
      <w:r w:rsidR="5E034408">
        <w:rPr/>
        <w:t>SimplTrust</w:t>
      </w:r>
      <w:r w:rsidR="00000000">
        <w:rPr/>
        <w:t xml:space="preserve"> is specifiek ontworpen voor MKB's met beperkte IT-ervaring en middelen. </w:t>
      </w:r>
    </w:p>
    <w:p w:rsidR="009D40EA" w:rsidRDefault="00000000" w14:paraId="00000010" w14:textId="77777777">
      <w:pPr>
        <w:numPr>
          <w:ilvl w:val="0"/>
          <w:numId w:val="1"/>
        </w:numPr>
      </w:pPr>
      <w:r>
        <w:t>Het platform vereenvoudigt compliancebeheer door gebruikers stap voor stap te begeleiden, te focussen op bruikbare acties en complexe regelgeving te vertalen in duidelijke taken. [3-5]</w:t>
      </w:r>
    </w:p>
    <w:p w:rsidR="009D40EA" w:rsidRDefault="00000000" w14:paraId="00000011" w14:textId="6AB7AD55">
      <w:pPr>
        <w:numPr>
          <w:ilvl w:val="0"/>
          <w:numId w:val="1"/>
        </w:numPr>
        <w:rPr/>
      </w:pPr>
      <w:r w:rsidR="00000000">
        <w:rPr/>
        <w:t xml:space="preserve">In tegenstelling tot veel bestaande oplossingen die zich richten op grote ondernemingen, is </w:t>
      </w:r>
      <w:r w:rsidR="5E034408">
        <w:rPr/>
        <w:t>SimplTrust</w:t>
      </w:r>
      <w:r w:rsidR="00000000">
        <w:rPr/>
        <w:t xml:space="preserve"> gebruiksvriendelijk en betaalbaar, waardoor het toegankelijk is voor een breder publiek. [2, 4, 6]</w:t>
      </w:r>
    </w:p>
    <w:p w:rsidR="009D40EA" w:rsidRDefault="00000000" w14:paraId="00000012" w14:textId="642C25DD">
      <w:r w:rsidR="00000000">
        <w:rPr/>
        <w:t xml:space="preserve">Hoe waarborgt </w:t>
      </w:r>
      <w:r w:rsidR="5E034408">
        <w:rPr/>
        <w:t>SimplTrust</w:t>
      </w:r>
      <w:r w:rsidR="00000000">
        <w:rPr/>
        <w:t xml:space="preserve"> de veiligheid en privacy van klantgegevens? [6, 7]</w:t>
      </w:r>
    </w:p>
    <w:p w:rsidR="009D40EA" w:rsidP="163FF545" w:rsidRDefault="00000000" w14:paraId="00000013" w14:textId="7CC4B850">
      <w:pPr>
        <w:numPr>
          <w:ilvl w:val="0"/>
          <w:numId w:val="1"/>
        </w:numPr>
        <w:pBdr>
          <w:top w:val="nil" w:color="000000" w:sz="0" w:space="0"/>
          <w:left w:val="nil" w:color="000000" w:sz="0" w:space="0"/>
          <w:bottom w:val="nil" w:color="000000" w:sz="0" w:space="0"/>
          <w:right w:val="nil" w:color="000000" w:sz="0" w:space="0"/>
          <w:between w:val="nil" w:color="000000" w:sz="0" w:space="0"/>
        </w:pBdr>
        <w:rPr/>
      </w:pPr>
      <w:r w:rsidR="5E034408">
        <w:rPr/>
        <w:t>SimplTrust</w:t>
      </w:r>
      <w:r w:rsidR="00000000">
        <w:rPr/>
        <w:t xml:space="preserve"> implementeert robuuste beveiligingsmaatregelen, waaronder encryptie en regelmatige beveiligingsaudits. [8] </w:t>
      </w:r>
    </w:p>
    <w:p w:rsidR="009D40EA" w:rsidRDefault="00000000" w14:paraId="00000014" w14:textId="77777777">
      <w:pPr>
        <w:numPr>
          <w:ilvl w:val="0"/>
          <w:numId w:val="1"/>
        </w:numPr>
        <w:pBdr>
          <w:top w:val="nil"/>
          <w:left w:val="nil"/>
          <w:bottom w:val="nil"/>
          <w:right w:val="nil"/>
          <w:between w:val="nil"/>
        </w:pBdr>
      </w:pPr>
      <w:r>
        <w:t xml:space="preserve">De dataopslag is EU-gebaseerd, wat voldoet aan de strenge Europese privacywetgeving. [9] </w:t>
      </w:r>
    </w:p>
    <w:p w:rsidR="009D40EA" w:rsidP="163FF545" w:rsidRDefault="00000000" w14:paraId="00000015" w14:textId="658E7505">
      <w:pPr>
        <w:numPr>
          <w:ilvl w:val="0"/>
          <w:numId w:val="1"/>
        </w:numPr>
        <w:pBdr>
          <w:top w:val="nil" w:color="000000" w:sz="0" w:space="0"/>
          <w:left w:val="nil" w:color="000000" w:sz="0" w:space="0"/>
          <w:bottom w:val="nil" w:color="000000" w:sz="0" w:space="0"/>
          <w:right w:val="nil" w:color="000000" w:sz="0" w:space="0"/>
          <w:between w:val="nil" w:color="000000" w:sz="0" w:space="0"/>
        </w:pBdr>
        <w:rPr/>
      </w:pPr>
      <w:r w:rsidR="00000000">
        <w:rPr/>
        <w:t xml:space="preserve">ovendien communiceert </w:t>
      </w:r>
      <w:r w:rsidR="5E034408">
        <w:rPr/>
        <w:t>SimplTrust</w:t>
      </w:r>
      <w:r w:rsidR="00000000">
        <w:rPr/>
        <w:t xml:space="preserve"> transparant hoe gebruikersgegevens door de AI-assistent worden gebruikt om vertrouwen op te bouwen. [7]</w:t>
      </w:r>
    </w:p>
    <w:p w:rsidR="009D40EA" w:rsidRDefault="009D40EA" w14:paraId="00000016" w14:textId="77777777">
      <w:pPr>
        <w:ind w:left="720"/>
      </w:pPr>
    </w:p>
    <w:p w:rsidR="009D40EA" w:rsidRDefault="00000000" w14:paraId="00000017" w14:textId="4BA02840">
      <w:r w:rsidR="00000000">
        <w:rPr/>
        <w:t xml:space="preserve">Wat is het verdienmodel van </w:t>
      </w:r>
      <w:r w:rsidR="5E034408">
        <w:rPr/>
        <w:t>SimplTrust</w:t>
      </w:r>
      <w:r w:rsidR="00000000">
        <w:rPr/>
        <w:t xml:space="preserve"> en hoe ziet het groeipotentieel eruit? [10-12]</w:t>
      </w:r>
    </w:p>
    <w:p w:rsidR="009D40EA" w:rsidRDefault="00000000" w14:paraId="00000018" w14:textId="77777777">
      <w:pPr>
        <w:numPr>
          <w:ilvl w:val="0"/>
          <w:numId w:val="1"/>
        </w:numPr>
        <w:pBdr>
          <w:top w:val="nil"/>
          <w:left w:val="nil"/>
          <w:bottom w:val="nil"/>
          <w:right w:val="nil"/>
          <w:between w:val="nil"/>
        </w:pBdr>
      </w:pPr>
      <w:r>
        <w:t xml:space="preserve">Het primaire verdienmodel is SaaS, met een maandelijks abonnementsgeld voor toegang tot het platform. [10] De prijs is afhankelijk van factoren zoals jaarlijkse omzet, geactiveerde wetgeving/standaarden en functionaliteiten. [11] </w:t>
      </w:r>
    </w:p>
    <w:p w:rsidR="009D40EA" w:rsidRDefault="00000000" w14:paraId="00000019" w14:textId="77777777">
      <w:pPr>
        <w:numPr>
          <w:ilvl w:val="0"/>
          <w:numId w:val="1"/>
        </w:numPr>
        <w:pBdr>
          <w:top w:val="nil"/>
          <w:left w:val="nil"/>
          <w:bottom w:val="nil"/>
          <w:right w:val="nil"/>
          <w:between w:val="nil"/>
        </w:pBdr>
      </w:pPr>
      <w:r>
        <w:t>De EU-markt voor GRC-tools voor MKB's heeft een enorm groeipotentieel, aangezien slechts ongeveer 20% van de MKB's dergelijke tools gebruikt. [10]</w:t>
      </w:r>
    </w:p>
    <w:p w:rsidR="009D40EA" w:rsidRDefault="009D40EA" w14:paraId="0000001A" w14:textId="77777777">
      <w:pPr>
        <w:numPr>
          <w:ilvl w:val="0"/>
          <w:numId w:val="3"/>
        </w:numPr>
      </w:pPr>
    </w:p>
    <w:p w:rsidR="009D40EA" w:rsidRDefault="00000000" w14:paraId="0000001B" w14:textId="77777777">
      <w:r>
        <w:t>Hoe ziet de roadmap voor de ontwikkeling van het platform eruit? [13-15]</w:t>
      </w:r>
    </w:p>
    <w:p w:rsidR="009D40EA" w:rsidP="163FF545" w:rsidRDefault="00000000" w14:paraId="0000001C" w14:textId="78E23B8A">
      <w:pPr>
        <w:numPr>
          <w:ilvl w:val="0"/>
          <w:numId w:val="1"/>
        </w:numPr>
        <w:pBdr>
          <w:top w:val="nil" w:color="000000" w:sz="0" w:space="0"/>
          <w:left w:val="nil" w:color="000000" w:sz="0" w:space="0"/>
          <w:bottom w:val="nil" w:color="000000" w:sz="0" w:space="0"/>
          <w:right w:val="nil" w:color="000000" w:sz="0" w:space="0"/>
          <w:between w:val="nil" w:color="000000" w:sz="0" w:space="0"/>
        </w:pBdr>
        <w:rPr/>
      </w:pPr>
      <w:r w:rsidR="00000000">
        <w:rPr/>
        <w:t xml:space="preserve">De ontwikkeling van </w:t>
      </w:r>
      <w:r w:rsidR="5E034408">
        <w:rPr/>
        <w:t>SimplTrust</w:t>
      </w:r>
      <w:r w:rsidR="00000000">
        <w:rPr/>
        <w:t xml:space="preserve"> volgt een agile aanpak, met een backlog van geprioriteerde functies. [13] De MVP richt zich op kernfunctionaliteiten, zoals het identificeren van risico's, het maken van actieplannen en het monitoren van de voortgang. [16] </w:t>
      </w:r>
    </w:p>
    <w:p w:rsidR="009D40EA" w:rsidRDefault="00000000" w14:paraId="0000001D" w14:textId="77777777">
      <w:pPr>
        <w:numPr>
          <w:ilvl w:val="0"/>
          <w:numId w:val="1"/>
        </w:numPr>
        <w:pBdr>
          <w:top w:val="nil"/>
          <w:left w:val="nil"/>
          <w:bottom w:val="nil"/>
          <w:right w:val="nil"/>
          <w:between w:val="nil"/>
        </w:pBdr>
      </w:pPr>
      <w:r>
        <w:t>Geavanceerde functies, zoals AI-integratie en geautomatiseerde bewijsverzameling, worden in latere fasen toegevoegd op basis van feedback van gebruikers. [14, 15]</w:t>
      </w:r>
    </w:p>
    <w:p w:rsidR="009D40EA" w:rsidRDefault="009D40EA" w14:paraId="0000001E" w14:textId="77777777">
      <w:pPr>
        <w:ind w:left="720"/>
      </w:pPr>
    </w:p>
    <w:p w:rsidR="009D40EA" w:rsidRDefault="00000000" w14:paraId="0000001F" w14:textId="77777777">
      <w:pPr>
        <w:rPr>
          <w:b/>
        </w:rPr>
      </w:pPr>
      <w:r>
        <w:rPr>
          <w:b/>
        </w:rPr>
        <w:t>Partners</w:t>
      </w:r>
    </w:p>
    <w:p w:rsidR="009D40EA" w:rsidRDefault="00000000" w14:paraId="00000020" w14:textId="38A1FFAF">
      <w:r w:rsidR="00000000">
        <w:rPr/>
        <w:t xml:space="preserve">Hoe kunnen partners waarde toevoegen aan het </w:t>
      </w:r>
      <w:r w:rsidR="5E034408">
        <w:rPr/>
        <w:t>SimplTrust</w:t>
      </w:r>
      <w:r w:rsidR="00000000">
        <w:rPr/>
        <w:t>-ecosysteem? [11, 17, 18]</w:t>
      </w:r>
    </w:p>
    <w:p w:rsidR="009D40EA" w:rsidRDefault="00000000" w14:paraId="00000021" w14:textId="77777777">
      <w:pPr>
        <w:ind w:left="720"/>
      </w:pPr>
      <w:r>
        <w:t>Partners kunnen op verschillende manieren waarde toevoegen, bijvoorbeeld door:</w:t>
      </w:r>
    </w:p>
    <w:p w:rsidR="009D40EA" w:rsidRDefault="00000000" w14:paraId="00000022" w14:textId="77777777">
      <w:pPr>
        <w:numPr>
          <w:ilvl w:val="0"/>
          <w:numId w:val="2"/>
        </w:numPr>
      </w:pPr>
      <w:r>
        <w:t>Implementatiepartner te worden en klanten te helpen bij het opzetten en configureren van het platform. [11]</w:t>
      </w:r>
    </w:p>
    <w:p w:rsidR="009D40EA" w:rsidRDefault="00000000" w14:paraId="00000023" w14:textId="77777777">
      <w:pPr>
        <w:numPr>
          <w:ilvl w:val="0"/>
          <w:numId w:val="2"/>
        </w:numPr>
      </w:pPr>
      <w:r>
        <w:t xml:space="preserve">Systeemconnectoren, functionele uitbreidingen en configuraties voor specifieke wetgeving en </w:t>
      </w:r>
      <w:r>
        <w:lastRenderedPageBreak/>
        <w:t>standaarden te ontwikkelen en te verkopen via de marktplaats. [11]</w:t>
      </w:r>
    </w:p>
    <w:p w:rsidR="009D40EA" w:rsidRDefault="00000000" w14:paraId="00000024" w14:textId="77777777">
      <w:pPr>
        <w:numPr>
          <w:ilvl w:val="0"/>
          <w:numId w:val="2"/>
        </w:numPr>
      </w:pPr>
      <w:r>
        <w:t>Consultancydiensten aan te bieden aan premiumklanten via het supportprogramma. [17]</w:t>
      </w:r>
    </w:p>
    <w:p w:rsidR="009D40EA" w:rsidRDefault="00000000" w14:paraId="00000025" w14:textId="54BF71D1">
      <w:r w:rsidR="00000000">
        <w:rPr/>
        <w:t xml:space="preserve">Welke ondersteuning biedt </w:t>
      </w:r>
      <w:r w:rsidR="5E034408">
        <w:rPr/>
        <w:t>SimplTrust</w:t>
      </w:r>
      <w:r w:rsidR="00000000">
        <w:rPr/>
        <w:t xml:space="preserve"> aan zijn partners? [11, 18]</w:t>
      </w:r>
    </w:p>
    <w:p w:rsidR="009D40EA" w:rsidRDefault="00000000" w14:paraId="00000026" w14:textId="77777777">
      <w:pPr>
        <w:numPr>
          <w:ilvl w:val="0"/>
          <w:numId w:val="2"/>
        </w:numPr>
      </w:pPr>
      <w:r>
        <w:t xml:space="preserve">Implementatiepartners krijgen toegang tot gratis tijdelijke klantomgevingen, multi-tenantbeheertools en de mogelijkheid om het platform aan te passen met eigen content. [11] </w:t>
      </w:r>
    </w:p>
    <w:p w:rsidR="009D40EA" w:rsidRDefault="00000000" w14:paraId="00000027" w14:textId="77777777">
      <w:pPr>
        <w:numPr>
          <w:ilvl w:val="0"/>
          <w:numId w:val="2"/>
        </w:numPr>
      </w:pPr>
      <w:r>
        <w:t>Ze ontvangen ook een commissie voor elke klant die zich abonneert. [17] Consultancypartners kunnen deelnemen aan het supportprogramma voor premiumklanten. [17]</w:t>
      </w:r>
    </w:p>
    <w:p w:rsidR="009D40EA" w:rsidRDefault="009D40EA" w14:paraId="00000028" w14:textId="77777777">
      <w:pPr>
        <w:ind w:left="720"/>
      </w:pPr>
    </w:p>
    <w:p w:rsidR="009D40EA" w:rsidRDefault="00000000" w14:paraId="00000029" w14:textId="4C6AB7F7">
      <w:r w:rsidR="00000000">
        <w:rPr/>
        <w:t xml:space="preserve">Hoe zorgen we voor een win-winsituatie voor zowel partners als </w:t>
      </w:r>
      <w:r w:rsidR="5E034408">
        <w:rPr/>
        <w:t>SimplTrust</w:t>
      </w:r>
      <w:r w:rsidR="00000000">
        <w:rPr/>
        <w:t>? [18, 19]</w:t>
      </w:r>
    </w:p>
    <w:p w:rsidR="009D40EA" w:rsidRDefault="00000000" w14:paraId="0000002A" w14:textId="2D47C07D">
      <w:pPr>
        <w:numPr>
          <w:ilvl w:val="0"/>
          <w:numId w:val="2"/>
        </w:numPr>
        <w:rPr/>
      </w:pPr>
      <w:r w:rsidR="00000000">
        <w:rPr/>
        <w:t xml:space="preserve">Partners profiteren van de gebruiksvriendelijkheid en begeleide inzichten van </w:t>
      </w:r>
      <w:r w:rsidR="5E034408">
        <w:rPr/>
        <w:t>SimplTrust</w:t>
      </w:r>
      <w:r w:rsidR="00000000">
        <w:rPr/>
        <w:t xml:space="preserve">, waardoor ze klanten effectiever kunnen helpen bij het bereiken van hun compliance- en beveiligingsdoelen. [18] </w:t>
      </w:r>
    </w:p>
    <w:p w:rsidR="009D40EA" w:rsidRDefault="00000000" w14:paraId="0000002B" w14:textId="2D7D418D">
      <w:pPr>
        <w:numPr>
          <w:ilvl w:val="0"/>
          <w:numId w:val="2"/>
        </w:numPr>
        <w:rPr/>
      </w:pPr>
      <w:r w:rsidR="5E034408">
        <w:rPr/>
        <w:t>SimplTrust</w:t>
      </w:r>
      <w:r w:rsidR="00000000">
        <w:rPr/>
        <w:t xml:space="preserve"> biedt partners een gebruiksvriendelijk platform dat vooraf kan worden geconfigureerd, evenals inzichten en aanbevelingen die het werk van partners vergemakkelijken. [19]</w:t>
      </w:r>
    </w:p>
    <w:p w:rsidR="009D40EA" w:rsidRDefault="009D40EA" w14:paraId="0000002C" w14:textId="77777777">
      <w:pPr>
        <w:ind w:left="720"/>
      </w:pPr>
    </w:p>
    <w:p w:rsidR="009D40EA" w:rsidRDefault="00000000" w14:paraId="0000002D" w14:textId="77777777">
      <w:pPr>
        <w:rPr>
          <w:b/>
        </w:rPr>
      </w:pPr>
      <w:r>
        <w:rPr>
          <w:b/>
        </w:rPr>
        <w:t>Klanten</w:t>
      </w:r>
    </w:p>
    <w:p w:rsidR="009D40EA" w:rsidRDefault="009D40EA" w14:paraId="0000002E" w14:textId="77777777">
      <w:pPr>
        <w:rPr>
          <w:b/>
        </w:rPr>
      </w:pPr>
    </w:p>
    <w:p w:rsidR="009D40EA" w:rsidRDefault="00000000" w14:paraId="0000002F" w14:textId="12F716CC">
      <w:r w:rsidR="00000000">
        <w:rPr/>
        <w:t xml:space="preserve">Is </w:t>
      </w:r>
      <w:r w:rsidR="5E034408">
        <w:rPr/>
        <w:t>SimplTrust</w:t>
      </w:r>
      <w:r w:rsidR="00000000">
        <w:rPr/>
        <w:t xml:space="preserve"> geschikt voor mijn specifieke branche en bedrijfsgrootte? [3, 20, 21]</w:t>
      </w:r>
    </w:p>
    <w:p w:rsidR="009D40EA" w:rsidRDefault="00000000" w14:paraId="00000030" w14:textId="424E8B20">
      <w:pPr>
        <w:numPr>
          <w:ilvl w:val="0"/>
          <w:numId w:val="4"/>
        </w:numPr>
        <w:rPr/>
      </w:pPr>
      <w:r w:rsidR="5E034408">
        <w:rPr/>
        <w:t>SimplTrust</w:t>
      </w:r>
      <w:r w:rsidR="00000000">
        <w:rPr/>
        <w:t xml:space="preserve"> is ontworpen voor MKB's in verschillende branches. [3] </w:t>
      </w:r>
    </w:p>
    <w:p w:rsidR="009D40EA" w:rsidRDefault="00000000" w14:paraId="00000031" w14:textId="7FCDDAE7">
      <w:pPr>
        <w:numPr>
          <w:ilvl w:val="0"/>
          <w:numId w:val="4"/>
        </w:numPr>
        <w:rPr/>
      </w:pPr>
      <w:r w:rsidR="00000000">
        <w:rPr/>
        <w:t xml:space="preserve">Het platform biedt branchespecifieke templates en vragenlijsten die helpen bij het identificeren van relevante regelgeving. [20, 22] Het voorbeeld van Fabricon, een productiebedrijf met 120 medewerkers, toont aan dat </w:t>
      </w:r>
      <w:r w:rsidR="5E034408">
        <w:rPr/>
        <w:t>SimplTrust</w:t>
      </w:r>
      <w:r w:rsidR="00000000">
        <w:rPr/>
        <w:t xml:space="preserve"> effectief kan worden ingezet in verschillende sectoren. [21]</w:t>
      </w:r>
    </w:p>
    <w:p w:rsidR="009D40EA" w:rsidRDefault="009D40EA" w14:paraId="00000032" w14:textId="77777777">
      <w:pPr>
        <w:ind w:left="720"/>
      </w:pPr>
    </w:p>
    <w:p w:rsidR="009D40EA" w:rsidRDefault="00000000" w14:paraId="00000033" w14:textId="0598FB09">
      <w:r w:rsidR="00000000">
        <w:rPr/>
        <w:t xml:space="preserve">Hoe gebruiksvriendelijk is </w:t>
      </w:r>
      <w:r w:rsidR="5E034408">
        <w:rPr/>
        <w:t>SimplTrust</w:t>
      </w:r>
      <w:r w:rsidR="00000000">
        <w:rPr/>
        <w:t xml:space="preserve"> en heb ik speciale expertise nodig om het te gebruiken? [1, 3, 23]</w:t>
      </w:r>
    </w:p>
    <w:p w:rsidR="009D40EA" w:rsidRDefault="00000000" w14:paraId="00000034" w14:textId="32D695F8">
      <w:pPr>
        <w:numPr>
          <w:ilvl w:val="0"/>
          <w:numId w:val="4"/>
        </w:numPr>
        <w:rPr/>
      </w:pPr>
      <w:r w:rsidR="5E034408">
        <w:rPr/>
        <w:t>SimplTrust</w:t>
      </w:r>
      <w:r w:rsidR="00000000">
        <w:rPr/>
        <w:t xml:space="preserve"> is ontworpen met de focus op gebruiksvriendelijkheid, met een intuïtieve interface en duidelijke instructies. [3, 23] Er is geen specifieke expertise vereist om het platform te gebruiken. [1] </w:t>
      </w:r>
    </w:p>
    <w:p w:rsidR="009D40EA" w:rsidRDefault="00000000" w14:paraId="00000035" w14:textId="77777777">
      <w:pPr>
        <w:numPr>
          <w:ilvl w:val="0"/>
          <w:numId w:val="4"/>
        </w:numPr>
      </w:pPr>
      <w:r>
        <w:t>Het platform biedt stapsgewijze begeleiding en vertaalt complexe regelgeving in duidelijke, bruikbare taken. [3, 24]</w:t>
      </w:r>
    </w:p>
    <w:p w:rsidR="009D40EA" w:rsidRDefault="009D40EA" w14:paraId="00000036" w14:textId="77777777"/>
    <w:p w:rsidR="009D40EA" w:rsidRDefault="00000000" w14:paraId="00000037" w14:textId="1AEFD09D">
      <w:r w:rsidR="00000000">
        <w:rPr/>
        <w:t xml:space="preserve">Welke voordelen heeft het gebruik van </w:t>
      </w:r>
      <w:r w:rsidR="5E034408">
        <w:rPr/>
        <w:t>SimplTrust</w:t>
      </w:r>
      <w:r w:rsidR="00000000">
        <w:rPr/>
        <w:t xml:space="preserve"> voor mijn bedrijf? [3, 25-28]</w:t>
      </w:r>
    </w:p>
    <w:p w:rsidR="009D40EA" w:rsidRDefault="00000000" w14:paraId="00000038" w14:textId="1FD7216D">
      <w:pPr>
        <w:ind w:left="720"/>
      </w:pPr>
      <w:r w:rsidR="5E034408">
        <w:rPr/>
        <w:t>SimplTrust</w:t>
      </w:r>
      <w:r w:rsidR="00000000">
        <w:rPr/>
        <w:t xml:space="preserve"> helpt bedrijven bij:</w:t>
      </w:r>
    </w:p>
    <w:p w:rsidR="009D40EA" w:rsidRDefault="00000000" w14:paraId="00000039" w14:textId="77777777">
      <w:pPr>
        <w:numPr>
          <w:ilvl w:val="0"/>
          <w:numId w:val="4"/>
        </w:numPr>
      </w:pPr>
      <w:r>
        <w:t>Het identificeren van risico's en voldoen aan wettelijke vereisten. [3, 27]</w:t>
      </w:r>
    </w:p>
    <w:p w:rsidR="009D40EA" w:rsidRDefault="00000000" w14:paraId="0000003A" w14:textId="77777777">
      <w:pPr>
        <w:numPr>
          <w:ilvl w:val="0"/>
          <w:numId w:val="4"/>
        </w:numPr>
      </w:pPr>
      <w:r>
        <w:t>Het creëren en beheren van actieplannen om risico's te beperken. [3, 27]</w:t>
      </w:r>
    </w:p>
    <w:p w:rsidR="009D40EA" w:rsidRDefault="00000000" w14:paraId="0000003B" w14:textId="77777777">
      <w:pPr>
        <w:numPr>
          <w:ilvl w:val="0"/>
          <w:numId w:val="4"/>
        </w:numPr>
      </w:pPr>
      <w:r>
        <w:t>Het monitoren van de voortgang en genereren van rapporten. [3, 27]</w:t>
      </w:r>
    </w:p>
    <w:p w:rsidR="009D40EA" w:rsidRDefault="00000000" w14:paraId="0000003C" w14:textId="77777777">
      <w:pPr>
        <w:numPr>
          <w:ilvl w:val="0"/>
          <w:numId w:val="4"/>
        </w:numPr>
      </w:pPr>
      <w:r>
        <w:t>Het verkrijgen van toegang tot educatieve bronnen en kennis over IT-risico's en complianceverplichtingen. [16, 27]</w:t>
      </w:r>
    </w:p>
    <w:p w:rsidR="009D40EA" w:rsidRDefault="00000000" w14:paraId="0000003D" w14:textId="77777777">
      <w:pPr>
        <w:numPr>
          <w:ilvl w:val="0"/>
          <w:numId w:val="4"/>
        </w:numPr>
      </w:pPr>
      <w:r>
        <w:t>Het verhogen van de cybersecurity awareness van werknemers. [29]</w:t>
      </w:r>
    </w:p>
    <w:p w:rsidR="009D40EA" w:rsidRDefault="00000000" w14:paraId="0000003E" w14:textId="77777777">
      <w:pPr>
        <w:numPr>
          <w:ilvl w:val="0"/>
          <w:numId w:val="4"/>
        </w:numPr>
      </w:pPr>
      <w:r>
        <w:t>Het transformeren van compliance in een strategisch voordeel dat vertrouwen opbouwt, kwaliteit garandeert en de groei van het bedrijf stimuleert. [26, 28]</w:t>
      </w:r>
    </w:p>
    <w:p w:rsidR="009D40EA" w:rsidRDefault="00000000" w14:paraId="0000003F" w14:textId="77777777">
      <w:pPr>
        <w:numPr>
          <w:ilvl w:val="0"/>
          <w:numId w:val="4"/>
        </w:numPr>
      </w:pPr>
      <w:r>
        <w:t>En het belangrijkste, het platform is gericht op bedrijven met beperkte expertise in cyber of compliancy. Een doorgedreven laagdrempeligheid en actiegedreven workflow, begeleidt bedrijven stap voor stap, en met kennis van zaken, doorheen het traject.</w:t>
      </w:r>
    </w:p>
    <w:p w:rsidR="009D40EA" w:rsidRDefault="009D40EA" w14:paraId="00000040" w14:textId="77777777"/>
    <w:p w:rsidR="009D40EA" w:rsidRDefault="009D40EA" w14:paraId="00000041" w14:textId="77777777"/>
    <w:sectPr w:rsidR="009D40EA">
      <w:headerReference w:type="even" r:id="rId7"/>
      <w:headerReference w:type="default" r:id="rId8"/>
      <w:footerReference w:type="even" r:id="rId9"/>
      <w:footerReference w:type="default" r:id="rId10"/>
      <w:headerReference w:type="first" r:id="rId11"/>
      <w:footerReference w:type="first" r:id="rId12"/>
      <w:pgSz w:w="11906" w:h="16838" w:orient="portrait"/>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42DDA" w:rsidP="00625E6D" w:rsidRDefault="00F42DDA" w14:paraId="280E3A6E" w14:textId="77777777">
      <w:pPr>
        <w:spacing w:line="240" w:lineRule="auto"/>
      </w:pPr>
      <w:r>
        <w:separator/>
      </w:r>
    </w:p>
  </w:endnote>
  <w:endnote w:type="continuationSeparator" w:id="0">
    <w:p w:rsidR="00F42DDA" w:rsidP="00625E6D" w:rsidRDefault="00F42DDA" w14:paraId="0405737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5E6D" w:rsidRDefault="00625E6D" w14:paraId="57B8033A"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5E6D" w:rsidRDefault="00625E6D" w14:paraId="1D5DE03B" w14:textId="7777777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5E6D" w:rsidRDefault="00625E6D" w14:paraId="5595A98F"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42DDA" w:rsidP="00625E6D" w:rsidRDefault="00F42DDA" w14:paraId="52E34FBB" w14:textId="77777777">
      <w:pPr>
        <w:spacing w:line="240" w:lineRule="auto"/>
      </w:pPr>
      <w:r>
        <w:separator/>
      </w:r>
    </w:p>
  </w:footnote>
  <w:footnote w:type="continuationSeparator" w:id="0">
    <w:p w:rsidR="00F42DDA" w:rsidP="00625E6D" w:rsidRDefault="00F42DDA" w14:paraId="64843E1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5E6D" w:rsidRDefault="00625E6D" w14:paraId="54A5ABFA"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5E6D" w:rsidRDefault="00625E6D" w14:paraId="5079C2BA" w14:textId="7777777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5E6D" w:rsidRDefault="00625E6D" w14:paraId="226E347D"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6563"/>
    <w:multiLevelType w:val="multilevel"/>
    <w:tmpl w:val="9496B386"/>
    <w:lvl w:ilvl="0">
      <w:start w:val="1"/>
      <w:numFmt w:val="bullet"/>
      <w:lvlText w:val=""/>
      <w:lvlJc w:val="left"/>
      <w:pPr>
        <w:ind w:left="720" w:hanging="360"/>
      </w:pPr>
      <w:rPr>
        <w:rFonts w:ascii="Arial" w:hAnsi="Arial" w:eastAsia="Arial" w:cs="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3351A"/>
    <w:multiLevelType w:val="multilevel"/>
    <w:tmpl w:val="D4AA259C"/>
    <w:lvl w:ilvl="0">
      <w:start w:val="1"/>
      <w:numFmt w:val="bullet"/>
      <w:lvlText w:val="●"/>
      <w:lvlJc w:val="left"/>
      <w:pPr>
        <w:ind w:left="720" w:hanging="360"/>
      </w:pPr>
      <w:rPr>
        <w:rFonts w:ascii="Arial" w:hAnsi="Arial" w:eastAsia="Arial" w:cs="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2F1C0E"/>
    <w:multiLevelType w:val="multilevel"/>
    <w:tmpl w:val="DF206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4611E2"/>
    <w:multiLevelType w:val="multilevel"/>
    <w:tmpl w:val="6B32B780"/>
    <w:lvl w:ilvl="0">
      <w:start w:val="1"/>
      <w:numFmt w:val="bullet"/>
      <w:lvlText w:val="●"/>
      <w:lvlJc w:val="left"/>
      <w:pPr>
        <w:ind w:left="720" w:hanging="360"/>
      </w:pPr>
      <w:rPr>
        <w:rFonts w:ascii="Arial" w:hAnsi="Arial" w:eastAsia="Arial" w:cs="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AC113B"/>
    <w:multiLevelType w:val="multilevel"/>
    <w:tmpl w:val="92984464"/>
    <w:lvl w:ilvl="0">
      <w:start w:val="1"/>
      <w:numFmt w:val="bullet"/>
      <w:lvlText w:val="●"/>
      <w:lvlJc w:val="left"/>
      <w:pPr>
        <w:ind w:left="720" w:hanging="360"/>
      </w:pPr>
      <w:rPr>
        <w:rFonts w:ascii="Arial" w:hAnsi="Arial" w:eastAsia="Arial" w:cs="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9033482">
    <w:abstractNumId w:val="2"/>
  </w:num>
  <w:num w:numId="2" w16cid:durableId="1233346964">
    <w:abstractNumId w:val="1"/>
  </w:num>
  <w:num w:numId="3" w16cid:durableId="1033337034">
    <w:abstractNumId w:val="3"/>
  </w:num>
  <w:num w:numId="4" w16cid:durableId="1539124204">
    <w:abstractNumId w:val="4"/>
  </w:num>
  <w:num w:numId="5" w16cid:durableId="77917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isplayBackgroundShape/>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EA"/>
    <w:rsid w:val="00000000"/>
    <w:rsid w:val="003900BA"/>
    <w:rsid w:val="00625E6D"/>
    <w:rsid w:val="009D40EA"/>
    <w:rsid w:val="00F42DDA"/>
    <w:rsid w:val="163FF545"/>
    <w:rsid w:val="5E0344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4E5DDB8-F791-DF4B-BE87-AFE5FCE2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lang w:val="nl" w:eastAsia="nl-NL"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uiPriority w:val="9"/>
    <w:qFormat/>
    <w:pPr>
      <w:keepNext/>
      <w:keepLines/>
      <w:pBdr>
        <w:top w:val="nil"/>
        <w:left w:val="nil"/>
        <w:bottom w:val="nil"/>
        <w:right w:val="nil"/>
        <w:between w:val="nil"/>
      </w:pBdr>
      <w:spacing w:before="200"/>
      <w:outlineLvl w:val="0"/>
    </w:pPr>
    <w:rPr>
      <w:color w:val="000000"/>
      <w:sz w:val="32"/>
      <w:szCs w:val="32"/>
    </w:rPr>
  </w:style>
  <w:style w:type="paragraph" w:styleId="Kop2">
    <w:name w:val="heading 2"/>
    <w:basedOn w:val="Standaard"/>
    <w:next w:val="Standaard"/>
    <w:uiPriority w:val="9"/>
    <w:semiHidden/>
    <w:unhideWhenUsed/>
    <w:qFormat/>
    <w:pPr>
      <w:keepNext/>
      <w:keepLines/>
      <w:pBdr>
        <w:top w:val="nil"/>
        <w:left w:val="nil"/>
        <w:bottom w:val="nil"/>
        <w:right w:val="nil"/>
        <w:between w:val="nil"/>
      </w:pBdr>
      <w:spacing w:before="200"/>
      <w:outlineLvl w:val="1"/>
    </w:pPr>
    <w:rPr>
      <w:rFonts w:ascii="Trebuchet MS" w:hAnsi="Trebuchet MS" w:eastAsia="Trebuchet MS" w:cs="Trebuchet MS"/>
      <w:color w:val="000000"/>
      <w:sz w:val="28"/>
      <w:szCs w:val="28"/>
    </w:rPr>
  </w:style>
  <w:style w:type="paragraph" w:styleId="Kop3">
    <w:name w:val="heading 3"/>
    <w:basedOn w:val="Standaard"/>
    <w:next w:val="Standaard"/>
    <w:uiPriority w:val="9"/>
    <w:semiHidden/>
    <w:unhideWhenUsed/>
    <w:qFormat/>
    <w:pPr>
      <w:keepNext/>
      <w:keepLines/>
      <w:pBdr>
        <w:top w:val="nil"/>
        <w:left w:val="nil"/>
        <w:bottom w:val="nil"/>
        <w:right w:val="nil"/>
        <w:between w:val="nil"/>
      </w:pBdr>
      <w:spacing w:before="160" w:after="160" w:line="259" w:lineRule="auto"/>
      <w:outlineLvl w:val="2"/>
    </w:pPr>
    <w:rPr>
      <w:rFonts w:ascii="Trebuchet MS" w:hAnsi="Trebuchet MS" w:eastAsia="Trebuchet MS" w:cs="Trebuchet MS"/>
      <w:color w:val="000000"/>
      <w:sz w:val="24"/>
      <w:szCs w:val="24"/>
    </w:rPr>
  </w:style>
  <w:style w:type="paragraph" w:styleId="Kop4">
    <w:name w:val="heading 4"/>
    <w:basedOn w:val="Standaard"/>
    <w:next w:val="Standaard"/>
    <w:uiPriority w:val="9"/>
    <w:semiHidden/>
    <w:unhideWhenUsed/>
    <w:qFormat/>
    <w:pPr>
      <w:keepNext/>
      <w:keepLines/>
      <w:pBdr>
        <w:top w:val="nil"/>
        <w:left w:val="nil"/>
        <w:bottom w:val="nil"/>
        <w:right w:val="nil"/>
        <w:between w:val="nil"/>
      </w:pBdr>
      <w:spacing w:before="160"/>
      <w:outlineLvl w:val="3"/>
    </w:pPr>
    <w:rPr>
      <w:rFonts w:ascii="Trebuchet MS" w:hAnsi="Trebuchet MS" w:eastAsia="Trebuchet MS" w:cs="Trebuchet MS"/>
      <w:color w:val="666666"/>
      <w:sz w:val="22"/>
      <w:szCs w:val="22"/>
      <w:u w:val="single"/>
    </w:rPr>
  </w:style>
  <w:style w:type="paragraph" w:styleId="Kop5">
    <w:name w:val="heading 5"/>
    <w:basedOn w:val="Standaard"/>
    <w:next w:val="Standaard"/>
    <w:uiPriority w:val="9"/>
    <w:semiHidden/>
    <w:unhideWhenUsed/>
    <w:qFormat/>
    <w:pPr>
      <w:keepNext/>
      <w:keepLines/>
      <w:pBdr>
        <w:top w:val="nil"/>
        <w:left w:val="nil"/>
        <w:bottom w:val="nil"/>
        <w:right w:val="nil"/>
        <w:between w:val="nil"/>
      </w:pBdr>
      <w:spacing w:before="160"/>
      <w:outlineLvl w:val="4"/>
    </w:pPr>
    <w:rPr>
      <w:rFonts w:ascii="Trebuchet MS" w:hAnsi="Trebuchet MS" w:eastAsia="Trebuchet MS" w:cs="Trebuchet MS"/>
      <w:color w:val="666666"/>
      <w:sz w:val="22"/>
      <w:szCs w:val="22"/>
    </w:rPr>
  </w:style>
  <w:style w:type="paragraph" w:styleId="Kop6">
    <w:name w:val="heading 6"/>
    <w:basedOn w:val="Standaard"/>
    <w:next w:val="Standaard"/>
    <w:uiPriority w:val="9"/>
    <w:semiHidden/>
    <w:unhideWhenUsed/>
    <w:qFormat/>
    <w:pPr>
      <w:keepNext/>
      <w:keepLines/>
      <w:pBdr>
        <w:top w:val="nil"/>
        <w:left w:val="nil"/>
        <w:bottom w:val="nil"/>
        <w:right w:val="nil"/>
        <w:between w:val="nil"/>
      </w:pBdr>
      <w:spacing w:before="160"/>
      <w:outlineLvl w:val="5"/>
    </w:pPr>
    <w:rPr>
      <w:rFonts w:ascii="Trebuchet MS" w:hAnsi="Trebuchet MS" w:eastAsia="Trebuchet MS" w:cs="Trebuchet MS"/>
      <w:i/>
      <w:color w:val="666666"/>
      <w:sz w:val="22"/>
      <w:szCs w:val="2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pBdr>
        <w:top w:val="nil"/>
        <w:left w:val="nil"/>
        <w:bottom w:val="nil"/>
        <w:right w:val="nil"/>
        <w:between w:val="nil"/>
      </w:pBdr>
    </w:pPr>
    <w:rPr>
      <w:rFonts w:ascii="Trebuchet MS" w:hAnsi="Trebuchet MS" w:eastAsia="Trebuchet MS" w:cs="Trebuchet MS"/>
      <w:color w:val="000000"/>
      <w:sz w:val="42"/>
      <w:szCs w:val="42"/>
    </w:rPr>
  </w:style>
  <w:style w:type="paragraph" w:styleId="Ondertitel">
    <w:name w:val="Subtitle"/>
    <w:basedOn w:val="Standaard"/>
    <w:next w:val="Standaard"/>
    <w:uiPriority w:val="11"/>
    <w:qFormat/>
    <w:pPr>
      <w:keepNext/>
      <w:keepLines/>
      <w:pBdr>
        <w:top w:val="nil"/>
        <w:left w:val="nil"/>
        <w:bottom w:val="nil"/>
        <w:right w:val="nil"/>
        <w:between w:val="nil"/>
      </w:pBdr>
      <w:spacing w:after="200"/>
    </w:pPr>
    <w:rPr>
      <w:rFonts w:ascii="Trebuchet MS" w:hAnsi="Trebuchet MS" w:eastAsia="Trebuchet MS" w:cs="Trebuchet MS"/>
      <w:i/>
      <w:color w:val="666666"/>
      <w:sz w:val="26"/>
      <w:szCs w:val="26"/>
    </w:rPr>
  </w:style>
  <w:style w:type="paragraph" w:styleId="Koptekst">
    <w:name w:val="header"/>
    <w:basedOn w:val="Standaard"/>
    <w:link w:val="KoptekstChar"/>
    <w:uiPriority w:val="99"/>
    <w:unhideWhenUsed/>
    <w:rsid w:val="00625E6D"/>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625E6D"/>
  </w:style>
  <w:style w:type="paragraph" w:styleId="Voettekst">
    <w:name w:val="footer"/>
    <w:basedOn w:val="Standaard"/>
    <w:link w:val="VoettekstChar"/>
    <w:uiPriority w:val="99"/>
    <w:unhideWhenUsed/>
    <w:rsid w:val="00625E6D"/>
    <w:pPr>
      <w:tabs>
        <w:tab w:val="center" w:pos="4536"/>
        <w:tab w:val="right" w:pos="9072"/>
      </w:tabs>
      <w:spacing w:line="240" w:lineRule="auto"/>
    </w:pPr>
  </w:style>
  <w:style w:type="character" w:styleId="VoettekstChar" w:customStyle="1">
    <w:name w:val="Voettekst Char"/>
    <w:basedOn w:val="Standaardalinea-lettertype"/>
    <w:link w:val="Voettekst"/>
    <w:uiPriority w:val="99"/>
    <w:rsid w:val="00625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536A914B22AC42BE997D471BD61B0F" ma:contentTypeVersion="12" ma:contentTypeDescription="Create a new document." ma:contentTypeScope="" ma:versionID="3dbbe7a286197e57536ba1f88466d06f">
  <xsd:schema xmlns:xsd="http://www.w3.org/2001/XMLSchema" xmlns:xs="http://www.w3.org/2001/XMLSchema" xmlns:p="http://schemas.microsoft.com/office/2006/metadata/properties" xmlns:ns2="781a1c4a-ff2c-4e36-a024-1c4a3b2b85e5" xmlns:ns3="f1bea56b-85e3-4c8f-a64b-2be97c8151dc" targetNamespace="http://schemas.microsoft.com/office/2006/metadata/properties" ma:root="true" ma:fieldsID="f99fe52e254406d982d99390e68e3164" ns2:_="" ns3:_="">
    <xsd:import namespace="781a1c4a-ff2c-4e36-a024-1c4a3b2b85e5"/>
    <xsd:import namespace="f1bea56b-85e3-4c8f-a64b-2be97c815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a1c4a-ff2c-4e36-a024-1c4a3b2b8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df6bf44-d1c7-4634-8c54-f9044d03e6d5"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ea56b-85e3-4c8f-a64b-2be97c8151d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471443d-2360-4ca1-89d9-417f41e09a41}" ma:internalName="TaxCatchAll" ma:showField="CatchAllData" ma:web="f1bea56b-85e3-4c8f-a64b-2be97c815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1a1c4a-ff2c-4e36-a024-1c4a3b2b85e5">
      <Terms xmlns="http://schemas.microsoft.com/office/infopath/2007/PartnerControls"/>
    </lcf76f155ced4ddcb4097134ff3c332f>
    <TaxCatchAll xmlns="f1bea56b-85e3-4c8f-a64b-2be97c8151dc" xsi:nil="true"/>
  </documentManagement>
</p:properties>
</file>

<file path=customXml/itemProps1.xml><?xml version="1.0" encoding="utf-8"?>
<ds:datastoreItem xmlns:ds="http://schemas.openxmlformats.org/officeDocument/2006/customXml" ds:itemID="{395930B8-79EE-412B-8D02-CE375B71D49E}"/>
</file>

<file path=customXml/itemProps2.xml><?xml version="1.0" encoding="utf-8"?>
<ds:datastoreItem xmlns:ds="http://schemas.openxmlformats.org/officeDocument/2006/customXml" ds:itemID="{240997E1-2349-4AFC-90F6-639D9193ECF5}"/>
</file>

<file path=customXml/itemProps3.xml><?xml version="1.0" encoding="utf-8"?>
<ds:datastoreItem xmlns:ds="http://schemas.openxmlformats.org/officeDocument/2006/customXml" ds:itemID="{4FDF59D4-B83F-45DE-9B93-647CF3FD26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Hendrickx</cp:lastModifiedBy>
  <cp:revision>3</cp:revision>
  <dcterms:created xsi:type="dcterms:W3CDTF">2025-01-13T12:30:00Z</dcterms:created>
  <dcterms:modified xsi:type="dcterms:W3CDTF">2025-01-13T12:44:20Z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0x010100E8536A914B22AC42BE997D471BD61B0F</vt:lpwstr>
  </property>
</Properties>
</file>