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E18E" w14:textId="77777777" w:rsidR="007C4F04" w:rsidRPr="007C4F04" w:rsidRDefault="007C4F04" w:rsidP="007C4F04">
      <w:pPr>
        <w:spacing w:after="60"/>
        <w:jc w:val="center"/>
        <w:rPr>
          <w:rFonts w:ascii="Calibri" w:eastAsia="Calibri" w:hAnsi="Calibri" w:cs="Calibri"/>
          <w:b/>
          <w:bCs/>
          <w:sz w:val="26"/>
          <w:szCs w:val="26"/>
        </w:rPr>
      </w:pPr>
      <w:r w:rsidRPr="007C4F04">
        <w:rPr>
          <w:rFonts w:ascii="Calibri" w:eastAsia="Calibri" w:hAnsi="Calibri" w:cs="Calibri"/>
          <w:b/>
          <w:bCs/>
          <w:sz w:val="26"/>
          <w:szCs w:val="26"/>
        </w:rPr>
        <w:t>SIMATS ENGINEERING (SAVEETHA SCHOOL OF ENGINEERING)</w:t>
      </w:r>
    </w:p>
    <w:p w14:paraId="692CBD01" w14:textId="77777777" w:rsidR="007C4F04" w:rsidRPr="007C4F04" w:rsidRDefault="007C4F04" w:rsidP="007C4F04">
      <w:pPr>
        <w:spacing w:after="60"/>
        <w:jc w:val="center"/>
        <w:rPr>
          <w:rFonts w:ascii="Calibri" w:eastAsia="Calibri" w:hAnsi="Calibri" w:cs="Calibri"/>
          <w:b/>
          <w:bCs/>
          <w:sz w:val="26"/>
          <w:szCs w:val="26"/>
        </w:rPr>
      </w:pPr>
      <w:r w:rsidRPr="007C4F04">
        <w:rPr>
          <w:rFonts w:ascii="Calibri" w:eastAsia="Calibri" w:hAnsi="Calibri" w:cs="Calibri"/>
          <w:b/>
          <w:bCs/>
          <w:sz w:val="26"/>
          <w:szCs w:val="26"/>
        </w:rPr>
        <w:t>Department of Computer Science and Engineering</w:t>
      </w:r>
    </w:p>
    <w:p w14:paraId="745BC6F2" w14:textId="77777777" w:rsidR="007C4F04" w:rsidRPr="007C4F04" w:rsidRDefault="007C4F04" w:rsidP="007C4F04">
      <w:pPr>
        <w:spacing w:after="60"/>
        <w:jc w:val="center"/>
        <w:rPr>
          <w:rFonts w:ascii="Calibri" w:eastAsia="Calibri" w:hAnsi="Calibri" w:cs="Calibri"/>
          <w:b/>
          <w:bCs/>
          <w:sz w:val="26"/>
          <w:szCs w:val="26"/>
        </w:rPr>
      </w:pPr>
      <w:r w:rsidRPr="007C4F04">
        <w:rPr>
          <w:rFonts w:ascii="Calibri" w:eastAsia="Calibri" w:hAnsi="Calibri" w:cs="Calibri"/>
          <w:b/>
          <w:bCs/>
          <w:sz w:val="26"/>
          <w:szCs w:val="26"/>
        </w:rPr>
        <w:t xml:space="preserve">CO5 ASSESSMENT TOOL 1 </w:t>
      </w:r>
      <w:proofErr w:type="gramStart"/>
      <w:r w:rsidRPr="007C4F04">
        <w:rPr>
          <w:rFonts w:ascii="Calibri" w:eastAsia="Calibri" w:hAnsi="Calibri" w:cs="Calibri"/>
          <w:b/>
          <w:bCs/>
          <w:sz w:val="26"/>
          <w:szCs w:val="26"/>
        </w:rPr>
        <w:t>–  Research</w:t>
      </w:r>
      <w:proofErr w:type="gramEnd"/>
      <w:r w:rsidRPr="007C4F04">
        <w:rPr>
          <w:rFonts w:ascii="Calibri" w:eastAsia="Calibri" w:hAnsi="Calibri" w:cs="Calibri"/>
          <w:b/>
          <w:bCs/>
          <w:sz w:val="26"/>
          <w:szCs w:val="26"/>
        </w:rPr>
        <w:t xml:space="preserve"> Paper Review / Literature Survey</w:t>
      </w:r>
    </w:p>
    <w:p w14:paraId="7FEC2E37" w14:textId="77777777" w:rsidR="007C4F04" w:rsidRPr="007C4F04" w:rsidRDefault="007C4F04" w:rsidP="007C4F04">
      <w:pPr>
        <w:spacing w:after="60"/>
        <w:jc w:val="center"/>
        <w:rPr>
          <w:rFonts w:ascii="Calibri" w:eastAsia="Calibri" w:hAnsi="Calibri" w:cs="Calibri"/>
          <w:b/>
          <w:bCs/>
          <w:sz w:val="26"/>
          <w:szCs w:val="26"/>
        </w:rPr>
      </w:pPr>
    </w:p>
    <w:p w14:paraId="22B6015F" w14:textId="77777777" w:rsidR="007C4F04" w:rsidRPr="007C4F04" w:rsidRDefault="007C4F04" w:rsidP="007C4F04">
      <w:pPr>
        <w:spacing w:after="60"/>
        <w:jc w:val="center"/>
        <w:rPr>
          <w:rFonts w:ascii="Calibri" w:eastAsia="Calibri" w:hAnsi="Calibri" w:cs="Calibri"/>
          <w:b/>
          <w:bCs/>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628"/>
        <w:gridCol w:w="1695"/>
        <w:gridCol w:w="1593"/>
        <w:gridCol w:w="5154"/>
      </w:tblGrid>
      <w:tr w:rsidR="007C4F04" w:rsidRPr="007C4F04" w14:paraId="53025F6B"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B5F6A0F"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674A567" w14:textId="70840485"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CSA10</w:t>
            </w:r>
            <w:r>
              <w:rPr>
                <w:rFonts w:ascii="Calibri" w:eastAsia="Calibri" w:hAnsi="Calibri" w:cs="Calibri"/>
                <w:sz w:val="24"/>
                <w:szCs w:val="24"/>
              </w:rPr>
              <w:t>08</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3FA4618"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35FF337"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Software Engineering </w:t>
            </w:r>
          </w:p>
        </w:tc>
      </w:tr>
      <w:tr w:rsidR="007C4F04" w:rsidRPr="007C4F04" w14:paraId="7C1E0CAB"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D136EEE"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D9358E3"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CO5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8C5A752"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1B0F119"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Assessment Tool 1 – Research Paper Review / Literature Survey </w:t>
            </w:r>
          </w:p>
        </w:tc>
      </w:tr>
      <w:tr w:rsidR="007C4F04" w:rsidRPr="007C4F04" w14:paraId="416C7B45"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7D8EBFE"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7E24105"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DE53D2C"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E68B173"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25  </w:t>
            </w:r>
          </w:p>
        </w:tc>
      </w:tr>
      <w:tr w:rsidR="007C4F04" w:rsidRPr="007C4F04" w14:paraId="37A3AB8C"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9C1CE85"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CO5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1B1CB6F6"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Evaluate emerging technologies and societal impacts, maintaining and evolving software systems responsibly</w:t>
            </w:r>
          </w:p>
        </w:tc>
      </w:tr>
      <w:tr w:rsidR="007C4F04" w:rsidRPr="007C4F04" w14:paraId="5187F32A"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CF8EBD5"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47C1948" w14:textId="3785DC35" w:rsidR="007C4F04" w:rsidRPr="007C4F04" w:rsidRDefault="007C4F04" w:rsidP="007C4F04">
            <w:pPr>
              <w:spacing w:after="60"/>
              <w:jc w:val="both"/>
              <w:rPr>
                <w:rFonts w:ascii="Calibri" w:eastAsia="Calibri" w:hAnsi="Calibri" w:cs="Calibri"/>
                <w:sz w:val="24"/>
                <w:szCs w:val="24"/>
              </w:rPr>
            </w:pPr>
            <w:proofErr w:type="gramStart"/>
            <w:r>
              <w:rPr>
                <w:rFonts w:ascii="Calibri" w:eastAsia="Calibri" w:hAnsi="Calibri" w:cs="Calibri"/>
                <w:sz w:val="24"/>
                <w:szCs w:val="24"/>
              </w:rPr>
              <w:t>S.THANISHKA</w:t>
            </w:r>
            <w:proofErr w:type="gramEnd"/>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7E29CE5"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BA9F0CE" w14:textId="40CCFD6E" w:rsidR="007C4F04" w:rsidRPr="007C4F04" w:rsidRDefault="007C4F04" w:rsidP="007C4F04">
            <w:pPr>
              <w:spacing w:after="60"/>
              <w:jc w:val="both"/>
              <w:rPr>
                <w:rFonts w:ascii="Calibri" w:eastAsia="Calibri" w:hAnsi="Calibri" w:cs="Calibri"/>
                <w:sz w:val="24"/>
                <w:szCs w:val="24"/>
              </w:rPr>
            </w:pPr>
            <w:r>
              <w:rPr>
                <w:rFonts w:ascii="Calibri" w:eastAsia="Calibri" w:hAnsi="Calibri" w:cs="Calibri"/>
                <w:sz w:val="24"/>
                <w:szCs w:val="24"/>
              </w:rPr>
              <w:t>192521457</w:t>
            </w:r>
          </w:p>
        </w:tc>
      </w:tr>
      <w:tr w:rsidR="007C4F04" w:rsidRPr="007C4F04" w14:paraId="51900011"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7887469"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8E6DE65" w14:textId="398955EF" w:rsidR="007C4F04" w:rsidRPr="007C4F04" w:rsidRDefault="007C4F04" w:rsidP="007C4F04">
            <w:pPr>
              <w:spacing w:after="60"/>
              <w:jc w:val="both"/>
              <w:rPr>
                <w:rFonts w:ascii="Calibri" w:eastAsia="Calibri" w:hAnsi="Calibri" w:cs="Calibri"/>
                <w:sz w:val="24"/>
                <w:szCs w:val="24"/>
              </w:rPr>
            </w:pPr>
            <w:r>
              <w:rPr>
                <w:rFonts w:ascii="Calibri" w:eastAsia="Calibri" w:hAnsi="Calibri" w:cs="Calibri"/>
                <w:sz w:val="24"/>
                <w:szCs w:val="24"/>
              </w:rPr>
              <w:t>22.8.26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BEECB5E"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2FCA699"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60 minutes</w:t>
            </w:r>
          </w:p>
        </w:tc>
      </w:tr>
    </w:tbl>
    <w:p w14:paraId="1C5F66C4" w14:textId="77777777" w:rsidR="007C4F04" w:rsidRPr="007C4F04" w:rsidRDefault="007C4F04" w:rsidP="007C4F04">
      <w:pPr>
        <w:spacing w:after="60"/>
        <w:jc w:val="center"/>
        <w:rPr>
          <w:rFonts w:ascii="Calibri" w:eastAsia="Calibri" w:hAnsi="Calibri" w:cs="Calibr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070"/>
      </w:tblGrid>
      <w:tr w:rsidR="007C4F04" w:rsidRPr="007C4F04" w14:paraId="110A9DA8" w14:textId="77777777">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12F637D6"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Code of Conduct</w:t>
            </w:r>
          </w:p>
          <w:p w14:paraId="0AC8BCED" w14:textId="6A7CEDAD"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i/>
                <w:iCs/>
                <w:sz w:val="24"/>
                <w:szCs w:val="24"/>
              </w:rPr>
              <w:t>I ____</w:t>
            </w:r>
            <w:proofErr w:type="gramStart"/>
            <w:r>
              <w:rPr>
                <w:rFonts w:ascii="Calibri" w:eastAsia="Calibri" w:hAnsi="Calibri" w:cs="Calibri"/>
                <w:i/>
                <w:iCs/>
                <w:sz w:val="24"/>
                <w:szCs w:val="24"/>
              </w:rPr>
              <w:t>S.THANISHKA</w:t>
            </w:r>
            <w:proofErr w:type="gramEnd"/>
            <w:r>
              <w:rPr>
                <w:rFonts w:ascii="Calibri" w:eastAsia="Calibri" w:hAnsi="Calibri" w:cs="Calibri"/>
                <w:i/>
                <w:iCs/>
                <w:sz w:val="24"/>
                <w:szCs w:val="24"/>
              </w:rPr>
              <w:t>(</w:t>
            </w:r>
            <w:proofErr w:type="gramStart"/>
            <w:r>
              <w:rPr>
                <w:rFonts w:ascii="Calibri" w:eastAsia="Calibri" w:hAnsi="Calibri" w:cs="Calibri"/>
                <w:i/>
                <w:iCs/>
                <w:sz w:val="24"/>
                <w:szCs w:val="24"/>
              </w:rPr>
              <w:t>192521457)</w:t>
            </w:r>
            <w:r w:rsidRPr="007C4F04">
              <w:rPr>
                <w:rFonts w:ascii="Calibri" w:eastAsia="Calibri" w:hAnsi="Calibri" w:cs="Calibri"/>
                <w:i/>
                <w:iCs/>
                <w:sz w:val="24"/>
                <w:szCs w:val="24"/>
              </w:rPr>
              <w:t>_</w:t>
            </w:r>
            <w:proofErr w:type="gramEnd"/>
            <w:r w:rsidRPr="007C4F04">
              <w:rPr>
                <w:rFonts w:ascii="Calibri" w:eastAsia="Calibri" w:hAnsi="Calibri" w:cs="Calibri"/>
                <w:i/>
                <w:iCs/>
                <w:sz w:val="24"/>
                <w:szCs w:val="24"/>
              </w:rPr>
              <w:t>_____________________ (Name / Reg No) certify that this submission is my original work and that I have adhered to the guidelines specified for this assessment. I understand that any violation of academic integrity rules will result in disciplinary action.</w:t>
            </w:r>
          </w:p>
          <w:p w14:paraId="52047BB5" w14:textId="4DB57BEF"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Signature of the Student: __</w:t>
            </w:r>
            <w:proofErr w:type="gramStart"/>
            <w:r>
              <w:rPr>
                <w:rFonts w:ascii="Calibri" w:eastAsia="Calibri" w:hAnsi="Calibri" w:cs="Calibri"/>
                <w:sz w:val="24"/>
                <w:szCs w:val="24"/>
              </w:rPr>
              <w:t>S.THANISHKA</w:t>
            </w:r>
            <w:proofErr w:type="gramEnd"/>
            <w:r w:rsidRPr="007C4F04">
              <w:rPr>
                <w:rFonts w:ascii="Calibri" w:eastAsia="Calibri" w:hAnsi="Calibri" w:cs="Calibri"/>
                <w:sz w:val="24"/>
                <w:szCs w:val="24"/>
              </w:rPr>
              <w:t>_______________________</w:t>
            </w:r>
          </w:p>
        </w:tc>
      </w:tr>
    </w:tbl>
    <w:p w14:paraId="5F4EF3C5"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Annexure A – Research Paper Review / Literature Survey </w:t>
      </w:r>
    </w:p>
    <w:p w14:paraId="72EAC02E"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Instructions to Students:</w:t>
      </w:r>
    </w:p>
    <w:p w14:paraId="32DB88F7" w14:textId="77777777" w:rsid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Each student is assigned an individual problem statement. Based on the assigned problem statement, conduct a literature survey and review relevant research papers to understand the existing approaches, techniques, technologies, limitations, and research gaps related to the problem.</w:t>
      </w:r>
    </w:p>
    <w:p w14:paraId="3EB0DA33" w14:textId="77777777" w:rsidR="007C4F04" w:rsidRPr="007C4F04" w:rsidRDefault="007C4F04" w:rsidP="007C4F04">
      <w:pPr>
        <w:spacing w:after="60"/>
        <w:jc w:val="both"/>
        <w:rPr>
          <w:rFonts w:ascii="Calibri" w:eastAsia="Calibri" w:hAnsi="Calibri" w:cs="Calibri"/>
          <w:b/>
          <w:bCs/>
          <w:sz w:val="24"/>
          <w:szCs w:val="24"/>
        </w:rPr>
      </w:pPr>
      <w:r w:rsidRPr="007C4F04">
        <w:rPr>
          <w:rFonts w:ascii="Calibri" w:eastAsia="Calibri" w:hAnsi="Calibri" w:cs="Calibri"/>
          <w:b/>
          <w:bCs/>
          <w:sz w:val="24"/>
          <w:szCs w:val="24"/>
        </w:rPr>
        <w:t>Case Study 32 – SDG 16: Digital Court Case Tracking System</w:t>
      </w:r>
    </w:p>
    <w:p w14:paraId="21AFA85A" w14:textId="77777777" w:rsidR="007C4F04" w:rsidRPr="007C4F04" w:rsidRDefault="007C4F04" w:rsidP="007C4F04">
      <w:pPr>
        <w:spacing w:after="60"/>
        <w:jc w:val="both"/>
        <w:rPr>
          <w:rFonts w:ascii="Calibri" w:eastAsia="Calibri" w:hAnsi="Calibri" w:cs="Calibri"/>
          <w:b/>
          <w:bCs/>
          <w:sz w:val="24"/>
          <w:szCs w:val="24"/>
        </w:rPr>
      </w:pPr>
      <w:r w:rsidRPr="007C4F04">
        <w:rPr>
          <w:rFonts w:ascii="Calibri" w:eastAsia="Calibri" w:hAnsi="Calibri" w:cs="Calibri"/>
          <w:b/>
          <w:bCs/>
          <w:sz w:val="24"/>
          <w:szCs w:val="24"/>
        </w:rPr>
        <w:t>Citizens often face difficulties tracking the status of legal cases because information is spread across multiple offices. Lawyers and court staff also spend considerable time handling routine inquiries. The judiciary plans to implement a secure online case management and tracking system.</w:t>
      </w:r>
    </w:p>
    <w:p w14:paraId="6ADA45A8" w14:textId="77777777" w:rsidR="007C4F04" w:rsidRPr="007C4F04" w:rsidRDefault="007C4F04" w:rsidP="007C4F04">
      <w:pPr>
        <w:spacing w:after="60"/>
        <w:jc w:val="both"/>
        <w:rPr>
          <w:rFonts w:ascii="Calibri" w:eastAsia="Calibri" w:hAnsi="Calibri" w:cs="Calibri"/>
          <w:b/>
          <w:bCs/>
          <w:sz w:val="24"/>
          <w:szCs w:val="24"/>
        </w:rPr>
      </w:pPr>
      <w:r w:rsidRPr="007C4F04">
        <w:rPr>
          <w:rFonts w:ascii="Calibri" w:eastAsia="Calibri" w:hAnsi="Calibri" w:cs="Calibri"/>
          <w:b/>
          <w:bCs/>
          <w:sz w:val="24"/>
          <w:szCs w:val="24"/>
        </w:rPr>
        <w:t>Question:</w:t>
      </w:r>
    </w:p>
    <w:p w14:paraId="7BE64333" w14:textId="52AF2A60" w:rsidR="007C4F04" w:rsidRPr="007C4F04" w:rsidRDefault="007C4F04" w:rsidP="007C4F04">
      <w:pPr>
        <w:spacing w:after="60"/>
        <w:jc w:val="both"/>
        <w:rPr>
          <w:rFonts w:ascii="Calibri" w:eastAsia="Calibri" w:hAnsi="Calibri" w:cs="Calibri"/>
          <w:b/>
          <w:bCs/>
          <w:sz w:val="24"/>
          <w:szCs w:val="24"/>
        </w:rPr>
      </w:pPr>
      <w:r w:rsidRPr="007C4F04">
        <w:rPr>
          <w:rFonts w:ascii="Calibri" w:eastAsia="Calibri" w:hAnsi="Calibri" w:cs="Calibri"/>
          <w:b/>
          <w:bCs/>
          <w:sz w:val="24"/>
          <w:szCs w:val="24"/>
        </w:rPr>
        <w:t>As a software engineer, analyze the above problem and propose a suitable software engineering solution.</w:t>
      </w:r>
    </w:p>
    <w:p w14:paraId="2B224712"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The literature survey should include:</w:t>
      </w:r>
    </w:p>
    <w:p w14:paraId="5D0D411F" w14:textId="77777777" w:rsidR="007C4F04" w:rsidRPr="007C4F04" w:rsidRDefault="007C4F04" w:rsidP="007C4F04">
      <w:pPr>
        <w:numPr>
          <w:ilvl w:val="0"/>
          <w:numId w:val="3"/>
        </w:numPr>
        <w:spacing w:after="60"/>
        <w:jc w:val="both"/>
        <w:rPr>
          <w:rFonts w:ascii="Calibri" w:eastAsia="Calibri" w:hAnsi="Calibri" w:cs="Calibri"/>
          <w:sz w:val="24"/>
          <w:szCs w:val="24"/>
        </w:rPr>
      </w:pPr>
      <w:r w:rsidRPr="007C4F04">
        <w:rPr>
          <w:rFonts w:ascii="Calibri" w:eastAsia="Calibri" w:hAnsi="Calibri" w:cs="Calibri"/>
          <w:sz w:val="24"/>
          <w:szCs w:val="24"/>
        </w:rPr>
        <w:t>Identify and select relevant research papers related to the assigned problem statement from reputed journals, conferences, or scholarly databases.</w:t>
      </w:r>
    </w:p>
    <w:p w14:paraId="60883C51" w14:textId="77777777" w:rsidR="007C4F04" w:rsidRPr="007C4F04" w:rsidRDefault="007C4F04" w:rsidP="007C4F04">
      <w:pPr>
        <w:numPr>
          <w:ilvl w:val="0"/>
          <w:numId w:val="3"/>
        </w:numPr>
        <w:spacing w:after="60"/>
        <w:jc w:val="both"/>
        <w:rPr>
          <w:rFonts w:ascii="Calibri" w:eastAsia="Calibri" w:hAnsi="Calibri" w:cs="Calibri"/>
          <w:sz w:val="24"/>
          <w:szCs w:val="24"/>
        </w:rPr>
      </w:pPr>
      <w:r w:rsidRPr="007C4F04">
        <w:rPr>
          <w:rFonts w:ascii="Calibri" w:eastAsia="Calibri" w:hAnsi="Calibri" w:cs="Calibri"/>
          <w:sz w:val="24"/>
          <w:szCs w:val="24"/>
        </w:rPr>
        <w:lastRenderedPageBreak/>
        <w:t>Summarize the objectives, methodologies, technologies, datasets, and major findings of the selected research papers.</w:t>
      </w:r>
    </w:p>
    <w:p w14:paraId="657EEB81" w14:textId="77777777" w:rsidR="007C4F04" w:rsidRPr="007C4F04" w:rsidRDefault="007C4F04" w:rsidP="007C4F04">
      <w:pPr>
        <w:numPr>
          <w:ilvl w:val="0"/>
          <w:numId w:val="3"/>
        </w:numPr>
        <w:spacing w:after="60"/>
        <w:jc w:val="both"/>
        <w:rPr>
          <w:rFonts w:ascii="Calibri" w:eastAsia="Calibri" w:hAnsi="Calibri" w:cs="Calibri"/>
          <w:sz w:val="24"/>
          <w:szCs w:val="24"/>
        </w:rPr>
      </w:pPr>
      <w:r w:rsidRPr="007C4F04">
        <w:rPr>
          <w:rFonts w:ascii="Calibri" w:eastAsia="Calibri" w:hAnsi="Calibri" w:cs="Calibri"/>
          <w:sz w:val="24"/>
          <w:szCs w:val="24"/>
        </w:rPr>
        <w:t>Compare the existing approaches based on suitable parameters such as accuracy, performance, scalability, efficiency, methodology, or other problem-specific metrics.</w:t>
      </w:r>
    </w:p>
    <w:p w14:paraId="511DAC46" w14:textId="77777777" w:rsidR="007C4F04" w:rsidRPr="007C4F04" w:rsidRDefault="007C4F04" w:rsidP="007C4F04">
      <w:pPr>
        <w:numPr>
          <w:ilvl w:val="0"/>
          <w:numId w:val="3"/>
        </w:numPr>
        <w:spacing w:after="60"/>
        <w:jc w:val="both"/>
        <w:rPr>
          <w:rFonts w:ascii="Calibri" w:eastAsia="Calibri" w:hAnsi="Calibri" w:cs="Calibri"/>
          <w:sz w:val="24"/>
          <w:szCs w:val="24"/>
        </w:rPr>
      </w:pPr>
      <w:r w:rsidRPr="007C4F04">
        <w:rPr>
          <w:rFonts w:ascii="Calibri" w:eastAsia="Calibri" w:hAnsi="Calibri" w:cs="Calibri"/>
          <w:sz w:val="24"/>
          <w:szCs w:val="24"/>
        </w:rPr>
        <w:t>Identify the limitations and challenges of the existing research approaches.</w:t>
      </w:r>
    </w:p>
    <w:p w14:paraId="7A66CF4B" w14:textId="77777777" w:rsidR="007C4F04" w:rsidRPr="007C4F04" w:rsidRDefault="007C4F04" w:rsidP="007C4F04">
      <w:pPr>
        <w:numPr>
          <w:ilvl w:val="0"/>
          <w:numId w:val="3"/>
        </w:numPr>
        <w:spacing w:after="60"/>
        <w:jc w:val="both"/>
        <w:rPr>
          <w:rFonts w:ascii="Calibri" w:eastAsia="Calibri" w:hAnsi="Calibri" w:cs="Calibri"/>
          <w:sz w:val="24"/>
          <w:szCs w:val="24"/>
        </w:rPr>
      </w:pPr>
      <w:r w:rsidRPr="007C4F04">
        <w:rPr>
          <w:rFonts w:ascii="Calibri" w:eastAsia="Calibri" w:hAnsi="Calibri" w:cs="Calibri"/>
          <w:sz w:val="24"/>
          <w:szCs w:val="24"/>
        </w:rPr>
        <w:t>Analyze the literature to identify the research gap or unresolved issues related to the assigned problem.</w:t>
      </w:r>
    </w:p>
    <w:p w14:paraId="552B7697" w14:textId="77777777" w:rsidR="007C4F04" w:rsidRPr="007C4F04" w:rsidRDefault="007C4F04" w:rsidP="007C4F04">
      <w:pPr>
        <w:numPr>
          <w:ilvl w:val="0"/>
          <w:numId w:val="3"/>
        </w:numPr>
        <w:spacing w:after="60"/>
        <w:jc w:val="both"/>
        <w:rPr>
          <w:rFonts w:ascii="Calibri" w:eastAsia="Calibri" w:hAnsi="Calibri" w:cs="Calibri"/>
          <w:sz w:val="24"/>
          <w:szCs w:val="24"/>
        </w:rPr>
      </w:pPr>
      <w:r w:rsidRPr="007C4F04">
        <w:rPr>
          <w:rFonts w:ascii="Calibri" w:eastAsia="Calibri" w:hAnsi="Calibri" w:cs="Calibri"/>
          <w:sz w:val="24"/>
          <w:szCs w:val="24"/>
        </w:rPr>
        <w:t>Discuss the possible improvements or future research directions based on the identified research gap.</w:t>
      </w:r>
    </w:p>
    <w:p w14:paraId="7F7172EA" w14:textId="77777777" w:rsidR="007C4F04" w:rsidRPr="007C4F04" w:rsidRDefault="007C4F04" w:rsidP="007C4F04">
      <w:pPr>
        <w:numPr>
          <w:ilvl w:val="0"/>
          <w:numId w:val="3"/>
        </w:numPr>
        <w:spacing w:after="60"/>
        <w:jc w:val="both"/>
        <w:rPr>
          <w:rFonts w:ascii="Calibri" w:eastAsia="Calibri" w:hAnsi="Calibri" w:cs="Calibri"/>
          <w:sz w:val="24"/>
          <w:szCs w:val="24"/>
        </w:rPr>
      </w:pPr>
      <w:r w:rsidRPr="007C4F04">
        <w:rPr>
          <w:rFonts w:ascii="Calibri" w:eastAsia="Calibri" w:hAnsi="Calibri" w:cs="Calibri"/>
          <w:sz w:val="24"/>
          <w:szCs w:val="24"/>
        </w:rPr>
        <w:t>Prepare a comparative literature survey table containing details such as author/year, research problem, methodology, dataset/tools, key findings, limitations, and research gap.</w:t>
      </w:r>
    </w:p>
    <w:p w14:paraId="3E528913" w14:textId="77777777" w:rsidR="007C4F04" w:rsidRPr="007C4F04" w:rsidRDefault="007C4F04" w:rsidP="007C4F04">
      <w:pPr>
        <w:numPr>
          <w:ilvl w:val="0"/>
          <w:numId w:val="3"/>
        </w:numPr>
        <w:spacing w:after="60"/>
        <w:jc w:val="both"/>
        <w:rPr>
          <w:rFonts w:ascii="Calibri" w:eastAsia="Calibri" w:hAnsi="Calibri" w:cs="Calibri"/>
          <w:sz w:val="24"/>
          <w:szCs w:val="24"/>
        </w:rPr>
      </w:pPr>
      <w:r w:rsidRPr="007C4F04">
        <w:rPr>
          <w:rFonts w:ascii="Calibri" w:eastAsia="Calibri" w:hAnsi="Calibri" w:cs="Calibri"/>
          <w:sz w:val="24"/>
          <w:szCs w:val="24"/>
        </w:rPr>
        <w:t>Provide proper citations and references using a consistent referencing style.</w:t>
      </w:r>
    </w:p>
    <w:p w14:paraId="7F61605C"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t>Deliverable: Submit a Research Paper Review / Literature Survey Report containing the selected research papers, individual paper reviews, comparative analysis, identified research gaps, future directions, and properly formatted references.</w:t>
      </w:r>
    </w:p>
    <w:p w14:paraId="55BAAE0B" w14:textId="77777777" w:rsidR="007C4F04" w:rsidRPr="007C4F04" w:rsidRDefault="007C4F04" w:rsidP="007C4F04">
      <w:pPr>
        <w:spacing w:after="60"/>
        <w:jc w:val="both"/>
        <w:rPr>
          <w:rFonts w:ascii="Calibri" w:eastAsia="Calibri" w:hAnsi="Calibri" w:cs="Calibri"/>
          <w:sz w:val="24"/>
          <w:szCs w:val="24"/>
        </w:rPr>
      </w:pPr>
      <w:r w:rsidRPr="007C4F04">
        <w:rPr>
          <w:rFonts w:ascii="Calibri" w:eastAsia="Calibri" w:hAnsi="Calibri" w:cs="Calibri"/>
          <w:sz w:val="24"/>
          <w:szCs w:val="24"/>
        </w:rPr>
        <w:br/>
      </w:r>
    </w:p>
    <w:p w14:paraId="75B3C950"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2012"/>
        <w:gridCol w:w="2310"/>
        <w:gridCol w:w="2328"/>
        <w:gridCol w:w="1665"/>
        <w:gridCol w:w="1755"/>
      </w:tblGrid>
      <w:tr w:rsidR="007C4F04" w:rsidRPr="007C4F04" w14:paraId="3CA0810B"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0D3F02CB"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Evaluation 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455ADB9F"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Excellent (4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49A82D3D"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Good (3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3DC6C21"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Satisfactory (2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0" w:type="dxa"/>
              <w:left w:w="115" w:type="dxa"/>
              <w:bottom w:w="0" w:type="dxa"/>
              <w:right w:w="115" w:type="dxa"/>
            </w:tcMar>
            <w:vAlign w:val="center"/>
            <w:hideMark/>
          </w:tcPr>
          <w:p w14:paraId="4A2D0834"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Needs Improvement (1 Mark)</w:t>
            </w:r>
          </w:p>
        </w:tc>
      </w:tr>
      <w:tr w:rsidR="007C4F04" w:rsidRPr="007C4F04" w14:paraId="1BED5882" w14:textId="77777777">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48347C7"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 xml:space="preserve">Selection &amp; Review of Research </w:t>
            </w:r>
            <w:proofErr w:type="gramStart"/>
            <w:r w:rsidRPr="007C4F04">
              <w:rPr>
                <w:rFonts w:ascii="Calibri" w:eastAsia="Calibri" w:hAnsi="Calibri" w:cs="Calibri"/>
                <w:sz w:val="24"/>
                <w:szCs w:val="24"/>
              </w:rPr>
              <w:t>Papers(</w:t>
            </w:r>
            <w:proofErr w:type="gramEnd"/>
            <w:r w:rsidRPr="007C4F04">
              <w:rPr>
                <w:rFonts w:ascii="Calibri" w:eastAsia="Calibri" w:hAnsi="Calibri" w:cs="Calibri"/>
                <w:sz w:val="24"/>
                <w:szCs w:val="24"/>
              </w:rPr>
              <w:t>25%)</w:t>
            </w:r>
          </w:p>
        </w:tc>
        <w:tc>
          <w:tcPr>
            <w:tcW w:w="0" w:type="auto"/>
            <w:tcBorders>
              <w:top w:val="single" w:sz="4" w:space="0" w:color="1F4E79"/>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6B6593C1"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Selects highly relevant, recent, credible papers and provides comprehensive reviews of objectives, methodology, tools, datasets, and findings</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32E233B2"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Selects relevant papers and provides good reviews with minor gaps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AE612C0"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Selects moderately relevant papers with basic reviews</w:t>
            </w:r>
          </w:p>
        </w:tc>
        <w:tc>
          <w:tcPr>
            <w:tcW w:w="0" w:type="auto"/>
            <w:tcBorders>
              <w:top w:val="single" w:sz="4" w:space="0" w:color="1F4E79"/>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576A167B"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Papers are irrelevant or reviews are incomplete</w:t>
            </w:r>
          </w:p>
        </w:tc>
      </w:tr>
      <w:tr w:rsidR="007C4F04" w:rsidRPr="007C4F04" w14:paraId="01AA409C"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7B69354F"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 xml:space="preserve">Comparative </w:t>
            </w:r>
            <w:proofErr w:type="gramStart"/>
            <w:r w:rsidRPr="007C4F04">
              <w:rPr>
                <w:rFonts w:ascii="Calibri" w:eastAsia="Calibri" w:hAnsi="Calibri" w:cs="Calibri"/>
                <w:sz w:val="24"/>
                <w:szCs w:val="24"/>
              </w:rPr>
              <w:t>Analysis(</w:t>
            </w:r>
            <w:proofErr w:type="gramEnd"/>
            <w:r w:rsidRPr="007C4F04">
              <w:rPr>
                <w:rFonts w:ascii="Calibri" w:eastAsia="Calibri" w:hAnsi="Calibri" w:cs="Calibri"/>
                <w:sz w:val="24"/>
                <w:szCs w:val="24"/>
              </w:rPr>
              <w:t>20%)</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0E2F1FD9"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Provides a detailed comparison of methodologies, tools, datasets, results, and performance using a clear comparison table</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40E57CF5"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Provides a good comparison with relevant parameters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3EF79487"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Provides limited comparison with few parameters</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3B09CA7F"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Little or no meaningful comparison</w:t>
            </w:r>
          </w:p>
        </w:tc>
      </w:tr>
      <w:tr w:rsidR="007C4F04" w:rsidRPr="007C4F04" w14:paraId="0ED343F0"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7B7D454F"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lastRenderedPageBreak/>
              <w:t xml:space="preserve">Critical Analysis &amp; Research </w:t>
            </w:r>
            <w:proofErr w:type="gramStart"/>
            <w:r w:rsidRPr="007C4F04">
              <w:rPr>
                <w:rFonts w:ascii="Calibri" w:eastAsia="Calibri" w:hAnsi="Calibri" w:cs="Calibri"/>
                <w:sz w:val="24"/>
                <w:szCs w:val="24"/>
              </w:rPr>
              <w:t>Gap(</w:t>
            </w:r>
            <w:proofErr w:type="gramEnd"/>
            <w:r w:rsidRPr="007C4F04">
              <w:rPr>
                <w:rFonts w:ascii="Calibri" w:eastAsia="Calibri" w:hAnsi="Calibri" w:cs="Calibri"/>
                <w:sz w:val="24"/>
                <w:szCs w:val="24"/>
              </w:rPr>
              <w:t>25%)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0FD8E116"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Clearly analyzes limitations and identifies significant, well-supported research gaps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0E3FD1E7"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Identifies relevant limitations and research gaps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1643447"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Identifies basic gaps with limited analysis</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3C366BD3"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Research gaps are unclear or missing</w:t>
            </w:r>
          </w:p>
        </w:tc>
      </w:tr>
      <w:tr w:rsidR="007C4F04" w:rsidRPr="007C4F04" w14:paraId="35DB0B50"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59E21033"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 xml:space="preserve">Future Directions &amp; </w:t>
            </w:r>
            <w:proofErr w:type="gramStart"/>
            <w:r w:rsidRPr="007C4F04">
              <w:rPr>
                <w:rFonts w:ascii="Calibri" w:eastAsia="Calibri" w:hAnsi="Calibri" w:cs="Calibri"/>
                <w:sz w:val="24"/>
                <w:szCs w:val="24"/>
              </w:rPr>
              <w:t>Relevance(</w:t>
            </w:r>
            <w:proofErr w:type="gramEnd"/>
            <w:r w:rsidRPr="007C4F04">
              <w:rPr>
                <w:rFonts w:ascii="Calibri" w:eastAsia="Calibri" w:hAnsi="Calibri" w:cs="Calibri"/>
                <w:sz w:val="24"/>
                <w:szCs w:val="24"/>
              </w:rPr>
              <w:t>15%)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50944F57"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Proposes practical and innovative future directions directly relevant to the assigned problem statement</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64B49C23"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Proposes relevant future directions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7FD6DB41"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Provides general future suggestions</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70A64612"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Future directions are missing or unrelated</w:t>
            </w:r>
          </w:p>
        </w:tc>
      </w:tr>
      <w:tr w:rsidR="007C4F04" w:rsidRPr="007C4F04" w14:paraId="2AC13189" w14:textId="77777777">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2F4DCFC2"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 xml:space="preserve">Documentation, Citations &amp; </w:t>
            </w:r>
            <w:proofErr w:type="gramStart"/>
            <w:r w:rsidRPr="007C4F04">
              <w:rPr>
                <w:rFonts w:ascii="Calibri" w:eastAsia="Calibri" w:hAnsi="Calibri" w:cs="Calibri"/>
                <w:sz w:val="24"/>
                <w:szCs w:val="24"/>
              </w:rPr>
              <w:t>References(</w:t>
            </w:r>
            <w:proofErr w:type="gramEnd"/>
            <w:r w:rsidRPr="007C4F04">
              <w:rPr>
                <w:rFonts w:ascii="Calibri" w:eastAsia="Calibri" w:hAnsi="Calibri" w:cs="Calibri"/>
                <w:sz w:val="24"/>
                <w:szCs w:val="24"/>
              </w:rPr>
              <w:t>15%)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57281B32"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Excellent academic structure, clear presentation, accurate citations, and consistent referencing</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38A81F36"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Well-organized with minor formatting/citation issues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4C2307D"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Adequately documented with some errors</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48CAE508"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Poorly organized with inadequate or incorrect references</w:t>
            </w:r>
          </w:p>
        </w:tc>
      </w:tr>
    </w:tbl>
    <w:p w14:paraId="50960F23"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br/>
      </w:r>
      <w:r w:rsidRPr="007C4F04">
        <w:rPr>
          <w:rFonts w:ascii="Calibri" w:eastAsia="Calibri" w:hAnsi="Calibri" w:cs="Calibri"/>
          <w:sz w:val="24"/>
          <w:szCs w:val="24"/>
        </w:rPr>
        <w:br/>
      </w:r>
      <w:r w:rsidRPr="007C4F04">
        <w:rPr>
          <w:rFonts w:ascii="Calibri" w:eastAsia="Calibri" w:hAnsi="Calibri" w:cs="Calibri"/>
          <w:sz w:val="24"/>
          <w:szCs w:val="24"/>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4632"/>
        <w:gridCol w:w="729"/>
      </w:tblGrid>
      <w:tr w:rsidR="007C4F04" w:rsidRPr="007C4F04" w14:paraId="0EE66F7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F9EAA"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069747"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Mark</w:t>
            </w:r>
          </w:p>
        </w:tc>
      </w:tr>
      <w:tr w:rsidR="007C4F04" w:rsidRPr="007C4F04" w14:paraId="295D149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FC914" w14:textId="77777777" w:rsidR="007C4F04" w:rsidRPr="007C4F04" w:rsidRDefault="007C4F04" w:rsidP="002166B5">
            <w:pPr>
              <w:spacing w:after="60"/>
              <w:jc w:val="both"/>
              <w:rPr>
                <w:rFonts w:ascii="Calibri" w:eastAsia="Calibri" w:hAnsi="Calibri" w:cs="Calibri"/>
                <w:sz w:val="24"/>
                <w:szCs w:val="24"/>
              </w:rPr>
            </w:pPr>
            <w:r w:rsidRPr="007C4F04">
              <w:rPr>
                <w:rFonts w:ascii="Calibri" w:eastAsia="Calibri" w:hAnsi="Calibri" w:cs="Calibri"/>
                <w:sz w:val="24"/>
                <w:szCs w:val="24"/>
              </w:rPr>
              <w:t xml:space="preserve">Selection &amp; Review of Research </w:t>
            </w:r>
            <w:proofErr w:type="gramStart"/>
            <w:r w:rsidRPr="007C4F04">
              <w:rPr>
                <w:rFonts w:ascii="Calibri" w:eastAsia="Calibri" w:hAnsi="Calibri" w:cs="Calibri"/>
                <w:sz w:val="24"/>
                <w:szCs w:val="24"/>
              </w:rPr>
              <w:t>Papers(</w:t>
            </w:r>
            <w:proofErr w:type="gramEnd"/>
            <w:r w:rsidRPr="007C4F04">
              <w:rPr>
                <w:rFonts w:ascii="Calibri" w:eastAsia="Calibri" w:hAnsi="Calibri" w:cs="Calibri"/>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1E6B9"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/5</w:t>
            </w:r>
          </w:p>
        </w:tc>
      </w:tr>
      <w:tr w:rsidR="007C4F04" w:rsidRPr="007C4F04" w14:paraId="10383F4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EC707F" w14:textId="77777777" w:rsidR="007C4F04" w:rsidRPr="007C4F04" w:rsidRDefault="007C4F04" w:rsidP="002166B5">
            <w:pPr>
              <w:spacing w:after="60"/>
              <w:jc w:val="both"/>
              <w:rPr>
                <w:rFonts w:ascii="Calibri" w:eastAsia="Calibri" w:hAnsi="Calibri" w:cs="Calibri"/>
                <w:sz w:val="24"/>
                <w:szCs w:val="24"/>
              </w:rPr>
            </w:pPr>
            <w:r w:rsidRPr="007C4F04">
              <w:rPr>
                <w:rFonts w:ascii="Calibri" w:eastAsia="Calibri" w:hAnsi="Calibri" w:cs="Calibri"/>
                <w:sz w:val="24"/>
                <w:szCs w:val="24"/>
              </w:rPr>
              <w:t xml:space="preserve">Comparative </w:t>
            </w:r>
            <w:proofErr w:type="gramStart"/>
            <w:r w:rsidRPr="007C4F04">
              <w:rPr>
                <w:rFonts w:ascii="Calibri" w:eastAsia="Calibri" w:hAnsi="Calibri" w:cs="Calibri"/>
                <w:sz w:val="24"/>
                <w:szCs w:val="24"/>
              </w:rPr>
              <w:t>Analysis(</w:t>
            </w:r>
            <w:proofErr w:type="gramEnd"/>
            <w:r w:rsidRPr="007C4F04">
              <w:rPr>
                <w:rFonts w:ascii="Calibri" w:eastAsia="Calibri" w:hAnsi="Calibri" w:cs="Calibri"/>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4B171"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/5</w:t>
            </w:r>
          </w:p>
        </w:tc>
      </w:tr>
      <w:tr w:rsidR="007C4F04" w:rsidRPr="007C4F04" w14:paraId="3E1F22D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DF5630" w14:textId="77777777" w:rsidR="007C4F04" w:rsidRPr="007C4F04" w:rsidRDefault="007C4F04" w:rsidP="002166B5">
            <w:pPr>
              <w:spacing w:after="60"/>
              <w:jc w:val="both"/>
              <w:rPr>
                <w:rFonts w:ascii="Calibri" w:eastAsia="Calibri" w:hAnsi="Calibri" w:cs="Calibri"/>
                <w:sz w:val="24"/>
                <w:szCs w:val="24"/>
              </w:rPr>
            </w:pPr>
            <w:r w:rsidRPr="007C4F04">
              <w:rPr>
                <w:rFonts w:ascii="Calibri" w:eastAsia="Calibri" w:hAnsi="Calibri" w:cs="Calibri"/>
                <w:sz w:val="24"/>
                <w:szCs w:val="24"/>
              </w:rPr>
              <w:t xml:space="preserve">Critical Analysis &amp; Research </w:t>
            </w:r>
            <w:proofErr w:type="gramStart"/>
            <w:r w:rsidRPr="007C4F04">
              <w:rPr>
                <w:rFonts w:ascii="Calibri" w:eastAsia="Calibri" w:hAnsi="Calibri" w:cs="Calibri"/>
                <w:sz w:val="24"/>
                <w:szCs w:val="24"/>
              </w:rPr>
              <w:t>Gap(</w:t>
            </w:r>
            <w:proofErr w:type="gramEnd"/>
            <w:r w:rsidRPr="007C4F04">
              <w:rPr>
                <w:rFonts w:ascii="Calibri" w:eastAsia="Calibri" w:hAnsi="Calibri" w:cs="Calibri"/>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A4469"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/5</w:t>
            </w:r>
          </w:p>
        </w:tc>
      </w:tr>
      <w:tr w:rsidR="007C4F04" w:rsidRPr="007C4F04" w14:paraId="0FAF03A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899DBA" w14:textId="77777777" w:rsidR="007C4F04" w:rsidRPr="007C4F04" w:rsidRDefault="007C4F04" w:rsidP="002166B5">
            <w:pPr>
              <w:spacing w:after="60"/>
              <w:jc w:val="both"/>
              <w:rPr>
                <w:rFonts w:ascii="Calibri" w:eastAsia="Calibri" w:hAnsi="Calibri" w:cs="Calibri"/>
                <w:sz w:val="24"/>
                <w:szCs w:val="24"/>
              </w:rPr>
            </w:pPr>
            <w:r w:rsidRPr="007C4F04">
              <w:rPr>
                <w:rFonts w:ascii="Calibri" w:eastAsia="Calibri" w:hAnsi="Calibri" w:cs="Calibri"/>
                <w:sz w:val="24"/>
                <w:szCs w:val="24"/>
              </w:rPr>
              <w:t xml:space="preserve">Future Directions &amp; </w:t>
            </w:r>
            <w:proofErr w:type="gramStart"/>
            <w:r w:rsidRPr="007C4F04">
              <w:rPr>
                <w:rFonts w:ascii="Calibri" w:eastAsia="Calibri" w:hAnsi="Calibri" w:cs="Calibri"/>
                <w:sz w:val="24"/>
                <w:szCs w:val="24"/>
              </w:rPr>
              <w:t>Relevance(</w:t>
            </w:r>
            <w:proofErr w:type="gramEnd"/>
            <w:r w:rsidRPr="007C4F04">
              <w:rPr>
                <w:rFonts w:ascii="Calibri" w:eastAsia="Calibri" w:hAnsi="Calibri" w:cs="Calibri"/>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4C4CE"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/5</w:t>
            </w:r>
          </w:p>
        </w:tc>
      </w:tr>
      <w:tr w:rsidR="007C4F04" w:rsidRPr="007C4F04" w14:paraId="4D27050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CF2F7" w14:textId="77777777" w:rsidR="007C4F04" w:rsidRPr="007C4F04" w:rsidRDefault="007C4F04" w:rsidP="002166B5">
            <w:pPr>
              <w:spacing w:after="60"/>
              <w:jc w:val="both"/>
              <w:rPr>
                <w:rFonts w:ascii="Calibri" w:eastAsia="Calibri" w:hAnsi="Calibri" w:cs="Calibri"/>
                <w:sz w:val="24"/>
                <w:szCs w:val="24"/>
              </w:rPr>
            </w:pPr>
            <w:r w:rsidRPr="007C4F04">
              <w:rPr>
                <w:rFonts w:ascii="Calibri" w:eastAsia="Calibri" w:hAnsi="Calibri" w:cs="Calibri"/>
                <w:sz w:val="24"/>
                <w:szCs w:val="24"/>
              </w:rPr>
              <w:t xml:space="preserve">Documentation, Citations &amp; </w:t>
            </w:r>
            <w:proofErr w:type="gramStart"/>
            <w:r w:rsidRPr="007C4F04">
              <w:rPr>
                <w:rFonts w:ascii="Calibri" w:eastAsia="Calibri" w:hAnsi="Calibri" w:cs="Calibri"/>
                <w:sz w:val="24"/>
                <w:szCs w:val="24"/>
              </w:rPr>
              <w:t>References(</w:t>
            </w:r>
            <w:proofErr w:type="gramEnd"/>
            <w:r w:rsidRPr="007C4F04">
              <w:rPr>
                <w:rFonts w:ascii="Calibri" w:eastAsia="Calibri" w:hAnsi="Calibri" w:cs="Calibri"/>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1D5E1"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/5</w:t>
            </w:r>
          </w:p>
        </w:tc>
      </w:tr>
      <w:tr w:rsidR="007C4F04" w:rsidRPr="007C4F04" w14:paraId="3F0B144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809B2" w14:textId="77777777" w:rsidR="007C4F04" w:rsidRPr="007C4F04" w:rsidRDefault="007C4F04" w:rsidP="002166B5">
            <w:pPr>
              <w:spacing w:after="60"/>
              <w:jc w:val="both"/>
              <w:rPr>
                <w:rFonts w:ascii="Calibri" w:eastAsia="Calibri" w:hAnsi="Calibri" w:cs="Calibri"/>
                <w:sz w:val="24"/>
                <w:szCs w:val="24"/>
              </w:rPr>
            </w:pPr>
            <w:r w:rsidRPr="007C4F04">
              <w:rPr>
                <w:rFonts w:ascii="Calibri" w:eastAsia="Calibri" w:hAnsi="Calibri" w:cs="Calibri"/>
                <w:sz w:val="24"/>
                <w:szCs w:val="24"/>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8E80E" w14:textId="77777777" w:rsidR="007C4F04" w:rsidRPr="007C4F04" w:rsidRDefault="007C4F04" w:rsidP="007C4F04">
            <w:pPr>
              <w:spacing w:after="60"/>
              <w:jc w:val="center"/>
              <w:rPr>
                <w:rFonts w:ascii="Calibri" w:eastAsia="Calibri" w:hAnsi="Calibri" w:cs="Calibri"/>
                <w:sz w:val="24"/>
                <w:szCs w:val="24"/>
              </w:rPr>
            </w:pPr>
            <w:r w:rsidRPr="007C4F04">
              <w:rPr>
                <w:rFonts w:ascii="Calibri" w:eastAsia="Calibri" w:hAnsi="Calibri" w:cs="Calibri"/>
                <w:sz w:val="24"/>
                <w:szCs w:val="24"/>
              </w:rPr>
              <w:t>/25</w:t>
            </w:r>
          </w:p>
        </w:tc>
      </w:tr>
    </w:tbl>
    <w:p w14:paraId="1644D8B4" w14:textId="77777777" w:rsidR="007C4F04" w:rsidRDefault="007C4F04">
      <w:pPr>
        <w:pStyle w:val="Heading1"/>
        <w:spacing w:before="320" w:after="160"/>
        <w:rPr>
          <w:rFonts w:ascii="Calibri" w:eastAsia="Calibri" w:hAnsi="Calibri" w:cs="Calibri"/>
          <w:b/>
          <w:bCs/>
          <w:color w:val="1F4E79"/>
        </w:rPr>
      </w:pPr>
    </w:p>
    <w:p w14:paraId="5309F14E" w14:textId="77777777" w:rsidR="007C4F04" w:rsidRDefault="007C4F04">
      <w:pPr>
        <w:pStyle w:val="Heading1"/>
        <w:spacing w:before="320" w:after="160"/>
        <w:rPr>
          <w:rFonts w:ascii="Calibri" w:eastAsia="Calibri" w:hAnsi="Calibri" w:cs="Calibri"/>
          <w:b/>
          <w:bCs/>
          <w:color w:val="1F4E79"/>
        </w:rPr>
      </w:pPr>
    </w:p>
    <w:p w14:paraId="6EFE78FC" w14:textId="77777777" w:rsidR="007C4F04" w:rsidRDefault="007C4F04">
      <w:pPr>
        <w:pStyle w:val="Heading1"/>
        <w:spacing w:before="320" w:after="160"/>
        <w:rPr>
          <w:rFonts w:ascii="Calibri" w:eastAsia="Calibri" w:hAnsi="Calibri" w:cs="Calibri"/>
          <w:b/>
          <w:bCs/>
          <w:color w:val="1F4E79"/>
        </w:rPr>
      </w:pPr>
    </w:p>
    <w:p w14:paraId="0F9501A9" w14:textId="77777777" w:rsidR="007C4F04" w:rsidRDefault="007C4F04">
      <w:pPr>
        <w:pStyle w:val="Heading1"/>
        <w:spacing w:before="320" w:after="160"/>
        <w:rPr>
          <w:rFonts w:ascii="Calibri" w:eastAsia="Calibri" w:hAnsi="Calibri" w:cs="Calibri"/>
          <w:b/>
          <w:bCs/>
          <w:color w:val="1F4E79"/>
        </w:rPr>
      </w:pPr>
    </w:p>
    <w:p w14:paraId="180DA5AA" w14:textId="77777777" w:rsidR="007C4F04" w:rsidRDefault="007C4F04">
      <w:pPr>
        <w:pStyle w:val="Heading1"/>
        <w:spacing w:before="320" w:after="160"/>
        <w:rPr>
          <w:rFonts w:ascii="Calibri" w:eastAsia="Calibri" w:hAnsi="Calibri" w:cs="Calibri"/>
          <w:b/>
          <w:bCs/>
          <w:color w:val="1F4E79"/>
        </w:rPr>
      </w:pPr>
    </w:p>
    <w:p w14:paraId="32B3DAC6" w14:textId="77777777" w:rsidR="007C4F04" w:rsidRDefault="007C4F04">
      <w:pPr>
        <w:pStyle w:val="Heading1"/>
        <w:spacing w:before="320" w:after="160"/>
        <w:rPr>
          <w:rFonts w:ascii="Calibri" w:eastAsia="Calibri" w:hAnsi="Calibri" w:cs="Calibri"/>
          <w:b/>
          <w:bCs/>
          <w:color w:val="1F4E79"/>
        </w:rPr>
      </w:pPr>
    </w:p>
    <w:p w14:paraId="608B1C7B" w14:textId="5E991B29" w:rsidR="00AA32AC" w:rsidRPr="007C4F04" w:rsidRDefault="00000000" w:rsidP="007C4F04">
      <w:pPr>
        <w:pStyle w:val="Heading1"/>
        <w:spacing w:before="320" w:after="160" w:line="360" w:lineRule="auto"/>
        <w:rPr>
          <w:color w:val="0D0D0D" w:themeColor="text1" w:themeTint="F2"/>
        </w:rPr>
      </w:pPr>
      <w:r w:rsidRPr="007C4F04">
        <w:rPr>
          <w:rFonts w:eastAsia="Calibri"/>
          <w:b/>
          <w:bCs/>
          <w:color w:val="0D0D0D" w:themeColor="text1" w:themeTint="F2"/>
        </w:rPr>
        <w:lastRenderedPageBreak/>
        <w:t>1. Introduction</w:t>
      </w:r>
    </w:p>
    <w:p w14:paraId="53D09318"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Educational institutions increasingly rely on digital platforms to manage course delivery, monitor attendance, and evaluate student performance. A Digital Course Tracking System (DCTS) refers to a software-based solution that records, analyses, and reports a learner's progress through a course — covering attendance, activity completion, assessment scores, and overall engagement — in place of manual, paper-based record keeping. As class sizes grow and blended or fully online delivery becomes routine, manual tracking methods such as paper attendance registers and spreadsheet-based mark sheets are proving inadequate: they are slow to update, prone to human error, difficult to audit, and offer no early warning when a learner begins to disengage.</w:t>
      </w:r>
    </w:p>
    <w:p w14:paraId="03A7D597"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The assigned problem statement for this survey is: How can a digital course tracking system be designed to accurately, securely, and efficiently monitor student progress and engagement across a course, while enabling timely intervention for at-risk learners? This is fundamentally a software engineering problem that sits at the intersection of data collection (sensors, LMS logs, attendance devices), data processing (analytics and machine learning), and responsible system stewardship (privacy, security, and long-term maintainability) — themes directly aligned with CO5, which requires evaluating emerging technologies and their societal impact while maintaining and evolving software systems responsibly.</w:t>
      </w:r>
    </w:p>
    <w:p w14:paraId="58B9BB79"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This report reviews ten research works relevant to this problem, spanning learning analytics dashboards, cloud-based record management, automated attendance capture (QR/RFID and facial recognition), gamified mobile engagement tracking, IoT-based smart classrooms, machine-learning-based dropout prediction, and blockchain-based record verification. The objective is to understand the existing approaches, compare their methodologies and outcomes, identify their limitations, and use these findings to propose a research gap and future direction that could inform the design of a practical Digital Course Tracking System.</w:t>
      </w:r>
    </w:p>
    <w:p w14:paraId="685A04F2"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1.1 Scope of the Survey</w:t>
      </w:r>
    </w:p>
    <w:p w14:paraId="607C98A5"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The survey is scoped to peer-reviewed conference papers, journal articles, and reputable pre-prints published broadly between 2014 and 2025, retrieved from sources including IEEE Xplore, MDPI, Springer, ScienceDirect, ACM Digital Library, and </w:t>
      </w:r>
      <w:proofErr w:type="spellStart"/>
      <w:r w:rsidRPr="007C4F04">
        <w:rPr>
          <w:rFonts w:eastAsia="Calibri"/>
          <w:color w:val="0D0D0D" w:themeColor="text1" w:themeTint="F2"/>
          <w:sz w:val="22"/>
          <w:szCs w:val="22"/>
        </w:rPr>
        <w:t>arXiv</w:t>
      </w:r>
      <w:proofErr w:type="spellEnd"/>
      <w:r w:rsidRPr="007C4F04">
        <w:rPr>
          <w:rFonts w:eastAsia="Calibri"/>
          <w:color w:val="0D0D0D" w:themeColor="text1" w:themeTint="F2"/>
          <w:sz w:val="22"/>
          <w:szCs w:val="22"/>
        </w:rPr>
        <w:t>. Papers were selected based on their direct relevance to at least one of the following pillars of a course tracking system: (</w:t>
      </w:r>
      <w:proofErr w:type="spellStart"/>
      <w:r w:rsidRPr="007C4F04">
        <w:rPr>
          <w:rFonts w:eastAsia="Calibri"/>
          <w:color w:val="0D0D0D" w:themeColor="text1" w:themeTint="F2"/>
          <w:sz w:val="22"/>
          <w:szCs w:val="22"/>
        </w:rPr>
        <w:t>i</w:t>
      </w:r>
      <w:proofErr w:type="spellEnd"/>
      <w:r w:rsidRPr="007C4F04">
        <w:rPr>
          <w:rFonts w:eastAsia="Calibri"/>
          <w:color w:val="0D0D0D" w:themeColor="text1" w:themeTint="F2"/>
          <w:sz w:val="22"/>
          <w:szCs w:val="22"/>
        </w:rPr>
        <w:t>) attendance and presence detection, (ii) engagement and activity monitoring, (iii) predictive analytics for academic risk, and (iv) secure storage or verification of course/academic records. Purely pedagogical papers that do not describe or evaluate a software system were excluded.</w:t>
      </w:r>
    </w:p>
    <w:p w14:paraId="26F8DEE4"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1.2 Structure of the Report</w:t>
      </w:r>
    </w:p>
    <w:p w14:paraId="348B885A"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Section 2 presents the literature survey, reviewing each selected paper's objectives, methodology, technologies, datasets, and findings. Section 3 consolidates the findings into a comparative table. Section 4 discusses the limitations and challenges observed across the literature. Section 5 identifies the research gap. Section 6 proposes </w:t>
      </w:r>
      <w:r w:rsidRPr="007C4F04">
        <w:rPr>
          <w:rFonts w:eastAsia="Calibri"/>
          <w:color w:val="0D0D0D" w:themeColor="text1" w:themeTint="F2"/>
          <w:sz w:val="22"/>
          <w:szCs w:val="22"/>
        </w:rPr>
        <w:lastRenderedPageBreak/>
        <w:t>a conceptual system architecture and requirement set that responds to the identified gap. Section 7 discusses future research directions. Section 8 discusses the societal and ethical impact of such systems, in line with the CO5 statement. Section 9 concludes the report, followed by references.</w:t>
      </w:r>
    </w:p>
    <w:p w14:paraId="67FAAF06" w14:textId="77777777" w:rsidR="00AA32AC" w:rsidRPr="007C4F04" w:rsidRDefault="00000000" w:rsidP="007C4F04">
      <w:pPr>
        <w:pStyle w:val="Heading1"/>
        <w:spacing w:before="320" w:after="160" w:line="360" w:lineRule="auto"/>
        <w:rPr>
          <w:color w:val="0D0D0D" w:themeColor="text1" w:themeTint="F2"/>
        </w:rPr>
      </w:pPr>
      <w:r w:rsidRPr="007C4F04">
        <w:rPr>
          <w:rFonts w:eastAsia="Calibri"/>
          <w:b/>
          <w:bCs/>
          <w:color w:val="0D0D0D" w:themeColor="text1" w:themeTint="F2"/>
        </w:rPr>
        <w:t>2. Literature Survey</w:t>
      </w:r>
    </w:p>
    <w:p w14:paraId="17195A37"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2.1 Learning Analytics for Tracking Student Progress in LMS</w:t>
      </w:r>
    </w:p>
    <w:p w14:paraId="42A6AC13"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Rebai et al. (2022) present a case study conducted at Cadi Ayyad University, Morocco, in which student performance indicators (SPIs) were derived from log files of a Web Technologies course hosted on the university's e-campus platform. The objective was to help faculty, tutors, and administrators track learner progress and anticipate students at risk of failing. The methodology involved extracting </w:t>
      </w:r>
      <w:proofErr w:type="spellStart"/>
      <w:r w:rsidRPr="007C4F04">
        <w:rPr>
          <w:rFonts w:eastAsia="Calibri"/>
          <w:color w:val="0D0D0D" w:themeColor="text1" w:themeTint="F2"/>
          <w:sz w:val="22"/>
          <w:szCs w:val="22"/>
        </w:rPr>
        <w:t>behavioural</w:t>
      </w:r>
      <w:proofErr w:type="spellEnd"/>
      <w:r w:rsidRPr="007C4F04">
        <w:rPr>
          <w:rFonts w:eastAsia="Calibri"/>
          <w:color w:val="0D0D0D" w:themeColor="text1" w:themeTint="F2"/>
          <w:sz w:val="22"/>
          <w:szCs w:val="22"/>
        </w:rPr>
        <w:t xml:space="preserve"> and performance indicators directly from LMS logs and using them to model individual progress trajectories. The study found that SPIs enabled early identification of underperforming students, allowing timely pedagogical interventions. However, the work is limited to a single course and institution, which restricts the </w:t>
      </w:r>
      <w:proofErr w:type="spellStart"/>
      <w:r w:rsidRPr="007C4F04">
        <w:rPr>
          <w:rFonts w:eastAsia="Calibri"/>
          <w:color w:val="0D0D0D" w:themeColor="text1" w:themeTint="F2"/>
          <w:sz w:val="22"/>
          <w:szCs w:val="22"/>
        </w:rPr>
        <w:t>generalisability</w:t>
      </w:r>
      <w:proofErr w:type="spellEnd"/>
      <w:r w:rsidRPr="007C4F04">
        <w:rPr>
          <w:rFonts w:eastAsia="Calibri"/>
          <w:color w:val="0D0D0D" w:themeColor="text1" w:themeTint="F2"/>
          <w:sz w:val="22"/>
          <w:szCs w:val="22"/>
        </w:rPr>
        <w:t xml:space="preserve"> of the indicator set to other subjects or platforms.</w:t>
      </w:r>
    </w:p>
    <w:p w14:paraId="0F24224E"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2.2 Cloud-Based Student Tracking Software</w:t>
      </w:r>
    </w:p>
    <w:p w14:paraId="7844D629"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A study published in Digital Technologies Research and Applications (2024) examines the shift from paper-based to cloud-based student tracking platforms. The methodology </w:t>
      </w:r>
      <w:proofErr w:type="spellStart"/>
      <w:r w:rsidRPr="007C4F04">
        <w:rPr>
          <w:rFonts w:eastAsia="Calibri"/>
          <w:color w:val="0D0D0D" w:themeColor="text1" w:themeTint="F2"/>
          <w:sz w:val="22"/>
          <w:szCs w:val="22"/>
        </w:rPr>
        <w:t>centres</w:t>
      </w:r>
      <w:proofErr w:type="spellEnd"/>
      <w:r w:rsidRPr="007C4F04">
        <w:rPr>
          <w:rFonts w:eastAsia="Calibri"/>
          <w:color w:val="0D0D0D" w:themeColor="text1" w:themeTint="F2"/>
          <w:sz w:val="22"/>
          <w:szCs w:val="22"/>
        </w:rPr>
        <w:t xml:space="preserve"> on system design and evaluation of a cloud-hosted application that stores attendance, </w:t>
      </w:r>
      <w:proofErr w:type="spellStart"/>
      <w:r w:rsidRPr="007C4F04">
        <w:rPr>
          <w:rFonts w:eastAsia="Calibri"/>
          <w:color w:val="0D0D0D" w:themeColor="text1" w:themeTint="F2"/>
          <w:sz w:val="22"/>
          <w:szCs w:val="22"/>
        </w:rPr>
        <w:t>behaviour</w:t>
      </w:r>
      <w:proofErr w:type="spellEnd"/>
      <w:r w:rsidRPr="007C4F04">
        <w:rPr>
          <w:rFonts w:eastAsia="Calibri"/>
          <w:color w:val="0D0D0D" w:themeColor="text1" w:themeTint="F2"/>
          <w:sz w:val="22"/>
          <w:szCs w:val="22"/>
        </w:rPr>
        <w:t xml:space="preserve">, and performance data centrally, accessible remotely by </w:t>
      </w:r>
      <w:proofErr w:type="spellStart"/>
      <w:r w:rsidRPr="007C4F04">
        <w:rPr>
          <w:rFonts w:eastAsia="Calibri"/>
          <w:color w:val="0D0D0D" w:themeColor="text1" w:themeTint="F2"/>
          <w:sz w:val="22"/>
          <w:szCs w:val="22"/>
        </w:rPr>
        <w:t>authorised</w:t>
      </w:r>
      <w:proofErr w:type="spellEnd"/>
      <w:r w:rsidRPr="007C4F04">
        <w:rPr>
          <w:rFonts w:eastAsia="Calibri"/>
          <w:color w:val="0D0D0D" w:themeColor="text1" w:themeTint="F2"/>
          <w:sz w:val="22"/>
          <w:szCs w:val="22"/>
        </w:rPr>
        <w:t xml:space="preserve"> staff. The findings highlight that automation and cloud storage significantly reduce administrative workload, improve data accessibility, and allow institutions to scale the system by adding features without major redevelopment. A key limitation is that the paper concentrates on infrastructural and operational benefits rather than on deep analytics of learning outcomes, so predictive capability remains shallow.</w:t>
      </w:r>
    </w:p>
    <w:p w14:paraId="03D8DC35"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2.3 QR-Code and RFID-Based Attendance Tracking</w:t>
      </w:r>
    </w:p>
    <w:p w14:paraId="318493BA"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Multiple studies (Masalha and Hirzallah, 2014; Srinidhi and Roy, 2015; and related IEEE works) propose automated attendance systems using QR codes, RFID tags, or a combination of both as a proxy for tracking classroom engagement. The methodology typically involves generating a unique code or tag reading per session, which students scan or present using a mobile device or reader, with results transmitted to a central database. These systems substantially reduce the time and paperwork associated with manual roll calls and are considerably cheaper than biometric alternatives. Reported limitations include vulnerability to proxy attendance (one student scanning for another), dependency on network connectivity and device availability, and privacy or regulatory concerns under frameworks such as GDPR and FERPA when biometric elements are combined with RFID.</w:t>
      </w:r>
    </w:p>
    <w:p w14:paraId="4624226F"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lastRenderedPageBreak/>
        <w:t>2.4 Machine-Learning-Based Dropout and Course-Completion Prediction</w:t>
      </w:r>
    </w:p>
    <w:p w14:paraId="7349CA52"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A body of work — including </w:t>
      </w:r>
      <w:proofErr w:type="spellStart"/>
      <w:r w:rsidRPr="007C4F04">
        <w:rPr>
          <w:rFonts w:eastAsia="Calibri"/>
          <w:color w:val="0D0D0D" w:themeColor="text1" w:themeTint="F2"/>
          <w:sz w:val="22"/>
          <w:szCs w:val="22"/>
        </w:rPr>
        <w:t>Rastrollo</w:t>
      </w:r>
      <w:proofErr w:type="spellEnd"/>
      <w:r w:rsidRPr="007C4F04">
        <w:rPr>
          <w:rFonts w:eastAsia="Calibri"/>
          <w:color w:val="0D0D0D" w:themeColor="text1" w:themeTint="F2"/>
          <w:sz w:val="22"/>
          <w:szCs w:val="22"/>
        </w:rPr>
        <w:t>-Guerrero et al. (2021) and Karlos et al. (2023) — uses machine learning classifiers trained on Moodle LMS activity logs to predict student dropout or course failure. The methodology segments weekly student interaction data (resource views, quiz attempts, forum activity) and applies models such as decision trees or ensemble classifiers to flag at-risk learners before course completion. Findings across these studies consistently show that LMS engagement data carries strong predictive power for dropout risk, often outperforming demographic data alone. Limitations include class imbalance in dropout datasets, the need for institution-specific model retraining, and weak transferability of trained models across different course types.</w:t>
      </w:r>
    </w:p>
    <w:p w14:paraId="70E3AF5C"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 xml:space="preserve">2.5 </w:t>
      </w:r>
      <w:proofErr w:type="spellStart"/>
      <w:r w:rsidRPr="007C4F04">
        <w:rPr>
          <w:rFonts w:eastAsia="Calibri"/>
          <w:b/>
          <w:bCs/>
          <w:color w:val="0D0D0D" w:themeColor="text1" w:themeTint="F2"/>
        </w:rPr>
        <w:t>Optimised</w:t>
      </w:r>
      <w:proofErr w:type="spellEnd"/>
      <w:r w:rsidRPr="007C4F04">
        <w:rPr>
          <w:rFonts w:eastAsia="Calibri"/>
          <w:b/>
          <w:bCs/>
          <w:color w:val="0D0D0D" w:themeColor="text1" w:themeTint="F2"/>
        </w:rPr>
        <w:t xml:space="preserve"> Machine-Learning Pipelines for At-Risk Student Identification</w:t>
      </w:r>
    </w:p>
    <w:p w14:paraId="69CB5B20"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A 2025 study published in Scientific Reports extends dropout-prediction research by applying the </w:t>
      </w:r>
      <w:proofErr w:type="spellStart"/>
      <w:r w:rsidRPr="007C4F04">
        <w:rPr>
          <w:rFonts w:eastAsia="Calibri"/>
          <w:color w:val="0D0D0D" w:themeColor="text1" w:themeTint="F2"/>
          <w:sz w:val="22"/>
          <w:szCs w:val="22"/>
        </w:rPr>
        <w:t>CatBoost</w:t>
      </w:r>
      <w:proofErr w:type="spellEnd"/>
      <w:r w:rsidRPr="007C4F04">
        <w:rPr>
          <w:rFonts w:eastAsia="Calibri"/>
          <w:color w:val="0D0D0D" w:themeColor="text1" w:themeTint="F2"/>
          <w:sz w:val="22"/>
          <w:szCs w:val="22"/>
        </w:rPr>
        <w:t xml:space="preserve"> algorithm together with Adaptive Synthetic Sampling (ADASYN) for class balancing and NSGA-II for multi-objective hyperparameter </w:t>
      </w:r>
      <w:proofErr w:type="spellStart"/>
      <w:r w:rsidRPr="007C4F04">
        <w:rPr>
          <w:rFonts w:eastAsia="Calibri"/>
          <w:color w:val="0D0D0D" w:themeColor="text1" w:themeTint="F2"/>
          <w:sz w:val="22"/>
          <w:szCs w:val="22"/>
        </w:rPr>
        <w:t>optimisation</w:t>
      </w:r>
      <w:proofErr w:type="spellEnd"/>
      <w:r w:rsidRPr="007C4F04">
        <w:rPr>
          <w:rFonts w:eastAsia="Calibri"/>
          <w:color w:val="0D0D0D" w:themeColor="text1" w:themeTint="F2"/>
          <w:sz w:val="22"/>
          <w:szCs w:val="22"/>
        </w:rPr>
        <w:t xml:space="preserve">, using Moodle log data from the LANSE project. The approach improves the F1-score for identifying at-risk students on limited and imbalanced datasets, and is intentionally designed to work with only basic LMS data so that resource-constrained institutions can adopt it without extra data-collection overhead. Its main limitation is the computational and technical expertise required to implement and tune such </w:t>
      </w:r>
      <w:proofErr w:type="spellStart"/>
      <w:r w:rsidRPr="007C4F04">
        <w:rPr>
          <w:rFonts w:eastAsia="Calibri"/>
          <w:color w:val="0D0D0D" w:themeColor="text1" w:themeTint="F2"/>
          <w:sz w:val="22"/>
          <w:szCs w:val="22"/>
        </w:rPr>
        <w:t>optimisation</w:t>
      </w:r>
      <w:proofErr w:type="spellEnd"/>
      <w:r w:rsidRPr="007C4F04">
        <w:rPr>
          <w:rFonts w:eastAsia="Calibri"/>
          <w:color w:val="0D0D0D" w:themeColor="text1" w:themeTint="F2"/>
          <w:sz w:val="22"/>
          <w:szCs w:val="22"/>
        </w:rPr>
        <w:t xml:space="preserve"> pipelines, which may not be available in typical academic IT departments.</w:t>
      </w:r>
    </w:p>
    <w:p w14:paraId="3973BA76"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2.6 Blockchain-Based Academic Record and Credential Verification</w:t>
      </w:r>
    </w:p>
    <w:p w14:paraId="27C5008F"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Berrios Moya et al. (2025) propose ZKBAR-V, a zero-knowledge-proof-enabled blockchain system for verifying academic credentials and records. The methodology uses </w:t>
      </w:r>
      <w:proofErr w:type="spellStart"/>
      <w:r w:rsidRPr="007C4F04">
        <w:rPr>
          <w:rFonts w:eastAsia="Calibri"/>
          <w:color w:val="0D0D0D" w:themeColor="text1" w:themeTint="F2"/>
          <w:sz w:val="22"/>
          <w:szCs w:val="22"/>
        </w:rPr>
        <w:t>zkEVM</w:t>
      </w:r>
      <w:proofErr w:type="spellEnd"/>
      <w:r w:rsidRPr="007C4F04">
        <w:rPr>
          <w:rFonts w:eastAsia="Calibri"/>
          <w:color w:val="0D0D0D" w:themeColor="text1" w:themeTint="F2"/>
          <w:sz w:val="22"/>
          <w:szCs w:val="22"/>
        </w:rPr>
        <w:t xml:space="preserve"> smart contracts on a dual-blockchain architecture — separating public and private information — combined with the </w:t>
      </w:r>
      <w:proofErr w:type="spellStart"/>
      <w:r w:rsidRPr="007C4F04">
        <w:rPr>
          <w:rFonts w:eastAsia="Calibri"/>
          <w:color w:val="0D0D0D" w:themeColor="text1" w:themeTint="F2"/>
          <w:sz w:val="22"/>
          <w:szCs w:val="22"/>
        </w:rPr>
        <w:t>InterPlanetary</w:t>
      </w:r>
      <w:proofErr w:type="spellEnd"/>
      <w:r w:rsidRPr="007C4F04">
        <w:rPr>
          <w:rFonts w:eastAsia="Calibri"/>
          <w:color w:val="0D0D0D" w:themeColor="text1" w:themeTint="F2"/>
          <w:sz w:val="22"/>
          <w:szCs w:val="22"/>
        </w:rPr>
        <w:t xml:space="preserve"> File System (IPFS) for </w:t>
      </w:r>
      <w:proofErr w:type="spellStart"/>
      <w:r w:rsidRPr="007C4F04">
        <w:rPr>
          <w:rFonts w:eastAsia="Calibri"/>
          <w:color w:val="0D0D0D" w:themeColor="text1" w:themeTint="F2"/>
          <w:sz w:val="22"/>
          <w:szCs w:val="22"/>
        </w:rPr>
        <w:t>decentralised</w:t>
      </w:r>
      <w:proofErr w:type="spellEnd"/>
      <w:r w:rsidRPr="007C4F04">
        <w:rPr>
          <w:rFonts w:eastAsia="Calibri"/>
          <w:color w:val="0D0D0D" w:themeColor="text1" w:themeTint="F2"/>
          <w:sz w:val="22"/>
          <w:szCs w:val="22"/>
        </w:rPr>
        <w:t xml:space="preserve"> document storage and </w:t>
      </w:r>
      <w:proofErr w:type="spellStart"/>
      <w:r w:rsidRPr="007C4F04">
        <w:rPr>
          <w:rFonts w:eastAsia="Calibri"/>
          <w:color w:val="0D0D0D" w:themeColor="text1" w:themeTint="F2"/>
          <w:sz w:val="22"/>
          <w:szCs w:val="22"/>
        </w:rPr>
        <w:t>Decentralised</w:t>
      </w:r>
      <w:proofErr w:type="spellEnd"/>
      <w:r w:rsidRPr="007C4F04">
        <w:rPr>
          <w:rFonts w:eastAsia="Calibri"/>
          <w:color w:val="0D0D0D" w:themeColor="text1" w:themeTint="F2"/>
          <w:sz w:val="22"/>
          <w:szCs w:val="22"/>
        </w:rPr>
        <w:t xml:space="preserve"> Identifiers (DIDs) for identity management. Testing demonstrated secure, privacy-preserving verification at a lower transaction cost than Ethereum-</w:t>
      </w:r>
      <w:proofErr w:type="spellStart"/>
      <w:r w:rsidRPr="007C4F04">
        <w:rPr>
          <w:rFonts w:eastAsia="Calibri"/>
          <w:color w:val="0D0D0D" w:themeColor="text1" w:themeTint="F2"/>
          <w:sz w:val="22"/>
          <w:szCs w:val="22"/>
        </w:rPr>
        <w:t>mainnet</w:t>
      </w:r>
      <w:proofErr w:type="spellEnd"/>
      <w:r w:rsidRPr="007C4F04">
        <w:rPr>
          <w:rFonts w:eastAsia="Calibri"/>
          <w:color w:val="0D0D0D" w:themeColor="text1" w:themeTint="F2"/>
          <w:sz w:val="22"/>
          <w:szCs w:val="22"/>
        </w:rPr>
        <w:t>-based alternatives. Related reviews of blockchain-driven academic record management note that while such systems ensure immutability and transparency, most remain in prototype or theoretical stages, with limited interoperability between the credentialing blockchain and the day-to-day course-tracking systems that generate the underlying progress data.</w:t>
      </w:r>
    </w:p>
    <w:p w14:paraId="4BB3308F"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2.7 Facial-Recognition-Based Attendance and Presence Tracking</w:t>
      </w:r>
    </w:p>
    <w:p w14:paraId="345ACA26"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A cluster of studies (Joshi et al., 2023; Kuang and Baul; and related ScienceDirect and IJERT works) investigate deep-learning-based facial recognition as a non-intrusive alternative to QR codes and RFID for attendance capture. The typical methodology involves an enrolment phase, where each student's facial images are captured and stored, followed by a recognition phase in which a classroom camera or CCTV feed is processed using convolutional neural network architectures such as ResNet-50, VGG-16, or </w:t>
      </w:r>
      <w:proofErr w:type="spellStart"/>
      <w:r w:rsidRPr="007C4F04">
        <w:rPr>
          <w:rFonts w:eastAsia="Calibri"/>
          <w:color w:val="0D0D0D" w:themeColor="text1" w:themeTint="F2"/>
          <w:sz w:val="22"/>
          <w:szCs w:val="22"/>
        </w:rPr>
        <w:t>FaceNet</w:t>
      </w:r>
      <w:proofErr w:type="spellEnd"/>
      <w:r w:rsidRPr="007C4F04">
        <w:rPr>
          <w:rFonts w:eastAsia="Calibri"/>
          <w:color w:val="0D0D0D" w:themeColor="text1" w:themeTint="F2"/>
          <w:sz w:val="22"/>
          <w:szCs w:val="22"/>
        </w:rPr>
        <w:t xml:space="preserve">, often combined with Principal Component Analysis </w:t>
      </w:r>
      <w:r w:rsidRPr="007C4F04">
        <w:rPr>
          <w:rFonts w:eastAsia="Calibri"/>
          <w:color w:val="0D0D0D" w:themeColor="text1" w:themeTint="F2"/>
          <w:sz w:val="22"/>
          <w:szCs w:val="22"/>
        </w:rPr>
        <w:lastRenderedPageBreak/>
        <w:t>for dimensionality reduction. Reported accuracy figures are consistently high, with several systems achieving above 95% recognition accuracy even in the presence of pose or lighting variation. The key advantage over QR/RFID methods is that no explicit action is required from the student, eliminating a major source of proxy attendance. However, the approach introduces new limitations: sensitivity to camera angle, occlusion (e.g., face masks), and lighting; a requirement for GPU-level computing resources for real-time inference; and heightened biometric-privacy concerns, since facial data is more sensitive than a scanned code or card ID.</w:t>
      </w:r>
    </w:p>
    <w:p w14:paraId="1A09D25F"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2.8 Gamified Mobile Applications for Engagement Tracking</w:t>
      </w:r>
    </w:p>
    <w:p w14:paraId="05D853B1"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A separate strand of research examines mobile learning applications that use gamification — badges, leaderboards, progression trees, and push notifications — both to motivate learners and to passively capture rich engagement data. The methodology in these studies typically instruments a mobile app to log quiz attempts, module completions, and login frequency, and correlates these gamified interactions with retention and course-completion rates. Findings across multiple studies report measurable improvements in engagement and completion — some studies cite completion-rate increases in the range of 20–50% for gamified cohorts compared to non-gamified ones. The main limitation noted in the literature is that motivational effects from game mechanics can diminish over time (novelty fatigue), and that gamification suits some learner demographics and subjects better than others. From a tracking-system perspective, gamified engagement data represents a rich, naturally-collected signal of student activity, but the reviewed studies rarely feed this signal into a formal predictive or early-warning model — it is used mainly for motivation rather than risk detection.</w:t>
      </w:r>
    </w:p>
    <w:p w14:paraId="570F6439"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2.9 IoT-Based Smart Classroom Attendance and Monitoring</w:t>
      </w:r>
    </w:p>
    <w:p w14:paraId="0484BE05"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Studies on IoT-enabled smart classrooms combine multiple sensing modalities — RFID readers, weight sensors, and cameras — feeding a </w:t>
      </w:r>
      <w:proofErr w:type="spellStart"/>
      <w:r w:rsidRPr="007C4F04">
        <w:rPr>
          <w:rFonts w:eastAsia="Calibri"/>
          <w:color w:val="0D0D0D" w:themeColor="text1" w:themeTint="F2"/>
          <w:sz w:val="22"/>
          <w:szCs w:val="22"/>
        </w:rPr>
        <w:t>centralised</w:t>
      </w:r>
      <w:proofErr w:type="spellEnd"/>
      <w:r w:rsidRPr="007C4F04">
        <w:rPr>
          <w:rFonts w:eastAsia="Calibri"/>
          <w:color w:val="0D0D0D" w:themeColor="text1" w:themeTint="F2"/>
          <w:sz w:val="22"/>
          <w:szCs w:val="22"/>
        </w:rPr>
        <w:t xml:space="preserve"> cloud dashboard, in order to reduce the false readings that affect single-modality systems (for example, a weight sensor combined with an RFID card read can catch a case where one student carries a friend's card). The methodology generally involves deploying sensor nodes at classroom entry points connected via a microcontroller (e.g., Arduino or ESP32) to a cloud backend. These systems report improved reliability over single-sensor approaches but come with materially higher hardware procurement and maintenance costs, which makes campus-wide deployment challenging for resource-constrained institutions. As with the facial-recognition cluster, the resulting presence data is rarely integrated with downstream academic-performance analytics in the reviewed literature.</w:t>
      </w:r>
    </w:p>
    <w:p w14:paraId="737A7B16"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 xml:space="preserve">2.10 </w:t>
      </w:r>
      <w:proofErr w:type="spellStart"/>
      <w:r w:rsidRPr="007C4F04">
        <w:rPr>
          <w:rFonts w:eastAsia="Calibri"/>
          <w:b/>
          <w:bCs/>
          <w:color w:val="0D0D0D" w:themeColor="text1" w:themeTint="F2"/>
        </w:rPr>
        <w:t>Centralised</w:t>
      </w:r>
      <w:proofErr w:type="spellEnd"/>
      <w:r w:rsidRPr="007C4F04">
        <w:rPr>
          <w:rFonts w:eastAsia="Calibri"/>
          <w:b/>
          <w:bCs/>
          <w:color w:val="0D0D0D" w:themeColor="text1" w:themeTint="F2"/>
        </w:rPr>
        <w:t xml:space="preserve"> Student Portfolio and Record Management Systems</w:t>
      </w:r>
    </w:p>
    <w:p w14:paraId="3CD100D1"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A 2024 study describes a Smart Centralized Student Portfolio Management System built with Python, </w:t>
      </w:r>
      <w:proofErr w:type="spellStart"/>
      <w:r w:rsidRPr="007C4F04">
        <w:rPr>
          <w:rFonts w:eastAsia="Calibri"/>
          <w:color w:val="0D0D0D" w:themeColor="text1" w:themeTint="F2"/>
          <w:sz w:val="22"/>
          <w:szCs w:val="22"/>
        </w:rPr>
        <w:t>Tkinter</w:t>
      </w:r>
      <w:proofErr w:type="spellEnd"/>
      <w:r w:rsidRPr="007C4F04">
        <w:rPr>
          <w:rFonts w:eastAsia="Calibri"/>
          <w:color w:val="0D0D0D" w:themeColor="text1" w:themeTint="F2"/>
          <w:sz w:val="22"/>
          <w:szCs w:val="22"/>
        </w:rPr>
        <w:t xml:space="preserve">, and SQLite, offering separate logins for administrators and students. Administrators can add, edit, or remove student records and manage semester-wise CGPA and attendance, while students can view their personal profile, skills, </w:t>
      </w:r>
      <w:r w:rsidRPr="007C4F04">
        <w:rPr>
          <w:rFonts w:eastAsia="Calibri"/>
          <w:color w:val="0D0D0D" w:themeColor="text1" w:themeTint="F2"/>
          <w:sz w:val="22"/>
          <w:szCs w:val="22"/>
        </w:rPr>
        <w:lastRenderedPageBreak/>
        <w:t xml:space="preserve">certificates, and achievements through a unified digital portal. The methodology </w:t>
      </w:r>
      <w:proofErr w:type="spellStart"/>
      <w:r w:rsidRPr="007C4F04">
        <w:rPr>
          <w:rFonts w:eastAsia="Calibri"/>
          <w:color w:val="0D0D0D" w:themeColor="text1" w:themeTint="F2"/>
          <w:sz w:val="22"/>
          <w:szCs w:val="22"/>
        </w:rPr>
        <w:t>prioritises</w:t>
      </w:r>
      <w:proofErr w:type="spellEnd"/>
      <w:r w:rsidRPr="007C4F04">
        <w:rPr>
          <w:rFonts w:eastAsia="Calibri"/>
          <w:color w:val="0D0D0D" w:themeColor="text1" w:themeTint="F2"/>
          <w:sz w:val="22"/>
          <w:szCs w:val="22"/>
        </w:rPr>
        <w:t xml:space="preserve"> simplicity and low deployment cost, making the system attractive for smaller institutions without dedicated IT infrastructure. Its principal limitation is architectural: a desktop application backed by a local SQLite database does not scale well to concurrent multi-user access, real-time updates, or mobile/remote use, and it lacks any predictive-analytics or automated-alerting layer on top of the stored data.</w:t>
      </w:r>
    </w:p>
    <w:p w14:paraId="39191549"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2.11 Synthesis of the Reviewed Literature</w:t>
      </w:r>
    </w:p>
    <w:p w14:paraId="125276AD"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Read together, the ten works reviewed above cluster into four broad technological approaches to course tracking: (1) sensor- or code-based presence detection (QR/RFID, facial recognition, IoT sensor fusion), which solves the narrow problem of confirming physical or logical presence; (2) analytics and machine-learning approaches (SPIs, dropout-prediction classifiers, </w:t>
      </w:r>
      <w:proofErr w:type="spellStart"/>
      <w:r w:rsidRPr="007C4F04">
        <w:rPr>
          <w:rFonts w:eastAsia="Calibri"/>
          <w:color w:val="0D0D0D" w:themeColor="text1" w:themeTint="F2"/>
          <w:sz w:val="22"/>
          <w:szCs w:val="22"/>
        </w:rPr>
        <w:t>optimisation</w:t>
      </w:r>
      <w:proofErr w:type="spellEnd"/>
      <w:r w:rsidRPr="007C4F04">
        <w:rPr>
          <w:rFonts w:eastAsia="Calibri"/>
          <w:color w:val="0D0D0D" w:themeColor="text1" w:themeTint="F2"/>
          <w:sz w:val="22"/>
          <w:szCs w:val="22"/>
        </w:rPr>
        <w:t xml:space="preserve">-tuned models), which solve the problem of interpreting activity data to flag risk; (3) engagement-oriented mobile/gamified tracking, which solves the problem of motivating continued participation while incidentally generating rich </w:t>
      </w:r>
      <w:proofErr w:type="spellStart"/>
      <w:r w:rsidRPr="007C4F04">
        <w:rPr>
          <w:rFonts w:eastAsia="Calibri"/>
          <w:color w:val="0D0D0D" w:themeColor="text1" w:themeTint="F2"/>
          <w:sz w:val="22"/>
          <w:szCs w:val="22"/>
        </w:rPr>
        <w:t>behavioural</w:t>
      </w:r>
      <w:proofErr w:type="spellEnd"/>
      <w:r w:rsidRPr="007C4F04">
        <w:rPr>
          <w:rFonts w:eastAsia="Calibri"/>
          <w:color w:val="0D0D0D" w:themeColor="text1" w:themeTint="F2"/>
          <w:sz w:val="22"/>
          <w:szCs w:val="22"/>
        </w:rPr>
        <w:t xml:space="preserve"> data; and (4) record-management and verification approaches (cloud portfolios, blockchain credentialing), which solve the problem of storing and certifying the outcomes of tracking. No reviewed paper spans more than one or two of these four pillars at once, which is the central observation carried forward into the research gap in Section 5.</w:t>
      </w:r>
    </w:p>
    <w:p w14:paraId="009F8692" w14:textId="77777777" w:rsidR="00AA32AC" w:rsidRPr="007C4F04" w:rsidRDefault="00000000" w:rsidP="007C4F04">
      <w:pPr>
        <w:pStyle w:val="Heading1"/>
        <w:spacing w:before="320" w:after="160" w:line="360" w:lineRule="auto"/>
        <w:rPr>
          <w:color w:val="0D0D0D" w:themeColor="text1" w:themeTint="F2"/>
        </w:rPr>
      </w:pPr>
      <w:r w:rsidRPr="007C4F04">
        <w:rPr>
          <w:rFonts w:eastAsia="Calibri"/>
          <w:b/>
          <w:bCs/>
          <w:color w:val="0D0D0D" w:themeColor="text1" w:themeTint="F2"/>
        </w:rPr>
        <w:t>3. Comparative Literature Survey Table</w:t>
      </w:r>
    </w:p>
    <w:p w14:paraId="02FA399A"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Table 1 compares the reviewed works on research problem, methodology, dataset/tools used, key findings, limitations, and the research gap each </w:t>
      </w:r>
      <w:proofErr w:type="gramStart"/>
      <w:r w:rsidRPr="007C4F04">
        <w:rPr>
          <w:rFonts w:eastAsia="Calibri"/>
          <w:color w:val="0D0D0D" w:themeColor="text1" w:themeTint="F2"/>
          <w:sz w:val="22"/>
          <w:szCs w:val="22"/>
        </w:rPr>
        <w:t>leaves</w:t>
      </w:r>
      <w:proofErr w:type="gramEnd"/>
      <w:r w:rsidRPr="007C4F04">
        <w:rPr>
          <w:rFonts w:eastAsia="Calibri"/>
          <w:color w:val="0D0D0D" w:themeColor="text1" w:themeTint="F2"/>
          <w:sz w:val="22"/>
          <w:szCs w:val="22"/>
        </w:rPr>
        <w:t xml:space="preserve"> open.</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1500"/>
        <w:gridCol w:w="1840"/>
        <w:gridCol w:w="1204"/>
        <w:gridCol w:w="1431"/>
        <w:gridCol w:w="1610"/>
        <w:gridCol w:w="1540"/>
      </w:tblGrid>
      <w:tr w:rsidR="00AA32AC" w:rsidRPr="007C4F04" w14:paraId="5CC54462" w14:textId="77777777">
        <w:tblPrEx>
          <w:tblCellMar>
            <w:top w:w="0" w:type="dxa"/>
            <w:bottom w:w="0" w:type="dxa"/>
          </w:tblCellMar>
        </w:tblPrEx>
        <w:trPr>
          <w:tblHeader/>
        </w:trPr>
        <w:tc>
          <w:tcPr>
            <w:tcW w:w="1300" w:type="dxa"/>
            <w:shd w:val="clear" w:color="auto" w:fill="1F4E79"/>
            <w:tcMar>
              <w:top w:w="80" w:type="dxa"/>
              <w:left w:w="100" w:type="dxa"/>
              <w:bottom w:w="80" w:type="dxa"/>
              <w:right w:w="100" w:type="dxa"/>
            </w:tcMar>
            <w:vAlign w:val="center"/>
          </w:tcPr>
          <w:p w14:paraId="54808304" w14:textId="77777777" w:rsidR="00AA32AC" w:rsidRPr="007C4F04" w:rsidRDefault="00000000" w:rsidP="007C4F04">
            <w:pPr>
              <w:spacing w:line="360" w:lineRule="auto"/>
              <w:rPr>
                <w:color w:val="0D0D0D" w:themeColor="text1" w:themeTint="F2"/>
              </w:rPr>
            </w:pPr>
            <w:r w:rsidRPr="007C4F04">
              <w:rPr>
                <w:rFonts w:eastAsia="Calibri"/>
                <w:b/>
                <w:bCs/>
                <w:color w:val="0D0D0D" w:themeColor="text1" w:themeTint="F2"/>
                <w:sz w:val="18"/>
                <w:szCs w:val="18"/>
              </w:rPr>
              <w:t>Author / Year</w:t>
            </w:r>
          </w:p>
        </w:tc>
        <w:tc>
          <w:tcPr>
            <w:tcW w:w="1500" w:type="dxa"/>
            <w:shd w:val="clear" w:color="auto" w:fill="1F4E79"/>
            <w:tcMar>
              <w:top w:w="80" w:type="dxa"/>
              <w:left w:w="100" w:type="dxa"/>
              <w:bottom w:w="80" w:type="dxa"/>
              <w:right w:w="100" w:type="dxa"/>
            </w:tcMar>
            <w:vAlign w:val="center"/>
          </w:tcPr>
          <w:p w14:paraId="612F0D06" w14:textId="77777777" w:rsidR="00AA32AC" w:rsidRPr="007C4F04" w:rsidRDefault="00000000" w:rsidP="007C4F04">
            <w:pPr>
              <w:spacing w:line="360" w:lineRule="auto"/>
              <w:rPr>
                <w:color w:val="0D0D0D" w:themeColor="text1" w:themeTint="F2"/>
              </w:rPr>
            </w:pPr>
            <w:r w:rsidRPr="007C4F04">
              <w:rPr>
                <w:rFonts w:eastAsia="Calibri"/>
                <w:b/>
                <w:bCs/>
                <w:color w:val="0D0D0D" w:themeColor="text1" w:themeTint="F2"/>
                <w:sz w:val="18"/>
                <w:szCs w:val="18"/>
              </w:rPr>
              <w:t>Research Problem</w:t>
            </w:r>
          </w:p>
        </w:tc>
        <w:tc>
          <w:tcPr>
            <w:tcW w:w="1500" w:type="dxa"/>
            <w:shd w:val="clear" w:color="auto" w:fill="1F4E79"/>
            <w:tcMar>
              <w:top w:w="80" w:type="dxa"/>
              <w:left w:w="100" w:type="dxa"/>
              <w:bottom w:w="80" w:type="dxa"/>
              <w:right w:w="100" w:type="dxa"/>
            </w:tcMar>
            <w:vAlign w:val="center"/>
          </w:tcPr>
          <w:p w14:paraId="6513853B" w14:textId="77777777" w:rsidR="00AA32AC" w:rsidRPr="007C4F04" w:rsidRDefault="00000000" w:rsidP="007C4F04">
            <w:pPr>
              <w:spacing w:line="360" w:lineRule="auto"/>
              <w:rPr>
                <w:color w:val="0D0D0D" w:themeColor="text1" w:themeTint="F2"/>
              </w:rPr>
            </w:pPr>
            <w:r w:rsidRPr="007C4F04">
              <w:rPr>
                <w:rFonts w:eastAsia="Calibri"/>
                <w:b/>
                <w:bCs/>
                <w:color w:val="0D0D0D" w:themeColor="text1" w:themeTint="F2"/>
                <w:sz w:val="18"/>
                <w:szCs w:val="18"/>
              </w:rPr>
              <w:t>Methodology</w:t>
            </w:r>
          </w:p>
        </w:tc>
        <w:tc>
          <w:tcPr>
            <w:tcW w:w="1300" w:type="dxa"/>
            <w:shd w:val="clear" w:color="auto" w:fill="1F4E79"/>
            <w:tcMar>
              <w:top w:w="80" w:type="dxa"/>
              <w:left w:w="100" w:type="dxa"/>
              <w:bottom w:w="80" w:type="dxa"/>
              <w:right w:w="100" w:type="dxa"/>
            </w:tcMar>
            <w:vAlign w:val="center"/>
          </w:tcPr>
          <w:p w14:paraId="38EB1169" w14:textId="77777777" w:rsidR="00AA32AC" w:rsidRPr="007C4F04" w:rsidRDefault="00000000" w:rsidP="007C4F04">
            <w:pPr>
              <w:spacing w:line="360" w:lineRule="auto"/>
              <w:rPr>
                <w:color w:val="0D0D0D" w:themeColor="text1" w:themeTint="F2"/>
              </w:rPr>
            </w:pPr>
            <w:r w:rsidRPr="007C4F04">
              <w:rPr>
                <w:rFonts w:eastAsia="Calibri"/>
                <w:b/>
                <w:bCs/>
                <w:color w:val="0D0D0D" w:themeColor="text1" w:themeTint="F2"/>
                <w:sz w:val="18"/>
                <w:szCs w:val="18"/>
              </w:rPr>
              <w:t>Dataset / Tools</w:t>
            </w:r>
          </w:p>
        </w:tc>
        <w:tc>
          <w:tcPr>
            <w:tcW w:w="1700" w:type="dxa"/>
            <w:shd w:val="clear" w:color="auto" w:fill="1F4E79"/>
            <w:tcMar>
              <w:top w:w="80" w:type="dxa"/>
              <w:left w:w="100" w:type="dxa"/>
              <w:bottom w:w="80" w:type="dxa"/>
              <w:right w:w="100" w:type="dxa"/>
            </w:tcMar>
            <w:vAlign w:val="center"/>
          </w:tcPr>
          <w:p w14:paraId="2D07AEFB" w14:textId="77777777" w:rsidR="00AA32AC" w:rsidRPr="007C4F04" w:rsidRDefault="00000000" w:rsidP="007C4F04">
            <w:pPr>
              <w:spacing w:line="360" w:lineRule="auto"/>
              <w:rPr>
                <w:color w:val="0D0D0D" w:themeColor="text1" w:themeTint="F2"/>
              </w:rPr>
            </w:pPr>
            <w:r w:rsidRPr="007C4F04">
              <w:rPr>
                <w:rFonts w:eastAsia="Calibri"/>
                <w:b/>
                <w:bCs/>
                <w:color w:val="0D0D0D" w:themeColor="text1" w:themeTint="F2"/>
                <w:sz w:val="18"/>
                <w:szCs w:val="18"/>
              </w:rPr>
              <w:t>Key Findings</w:t>
            </w:r>
          </w:p>
        </w:tc>
        <w:tc>
          <w:tcPr>
            <w:tcW w:w="1500" w:type="dxa"/>
            <w:shd w:val="clear" w:color="auto" w:fill="1F4E79"/>
            <w:tcMar>
              <w:top w:w="80" w:type="dxa"/>
              <w:left w:w="100" w:type="dxa"/>
              <w:bottom w:w="80" w:type="dxa"/>
              <w:right w:w="100" w:type="dxa"/>
            </w:tcMar>
            <w:vAlign w:val="center"/>
          </w:tcPr>
          <w:p w14:paraId="1AD091C0" w14:textId="77777777" w:rsidR="00AA32AC" w:rsidRPr="007C4F04" w:rsidRDefault="00000000" w:rsidP="007C4F04">
            <w:pPr>
              <w:spacing w:line="360" w:lineRule="auto"/>
              <w:rPr>
                <w:color w:val="0D0D0D" w:themeColor="text1" w:themeTint="F2"/>
              </w:rPr>
            </w:pPr>
            <w:r w:rsidRPr="007C4F04">
              <w:rPr>
                <w:rFonts w:eastAsia="Calibri"/>
                <w:b/>
                <w:bCs/>
                <w:color w:val="0D0D0D" w:themeColor="text1" w:themeTint="F2"/>
                <w:sz w:val="18"/>
                <w:szCs w:val="18"/>
              </w:rPr>
              <w:t>Limitations</w:t>
            </w:r>
          </w:p>
        </w:tc>
        <w:tc>
          <w:tcPr>
            <w:tcW w:w="1500" w:type="dxa"/>
            <w:shd w:val="clear" w:color="auto" w:fill="1F4E79"/>
            <w:tcMar>
              <w:top w:w="80" w:type="dxa"/>
              <w:left w:w="100" w:type="dxa"/>
              <w:bottom w:w="80" w:type="dxa"/>
              <w:right w:w="100" w:type="dxa"/>
            </w:tcMar>
            <w:vAlign w:val="center"/>
          </w:tcPr>
          <w:p w14:paraId="4E743FED" w14:textId="77777777" w:rsidR="00AA32AC" w:rsidRPr="007C4F04" w:rsidRDefault="00000000" w:rsidP="007C4F04">
            <w:pPr>
              <w:spacing w:line="360" w:lineRule="auto"/>
              <w:rPr>
                <w:color w:val="0D0D0D" w:themeColor="text1" w:themeTint="F2"/>
              </w:rPr>
            </w:pPr>
            <w:r w:rsidRPr="007C4F04">
              <w:rPr>
                <w:rFonts w:eastAsia="Calibri"/>
                <w:b/>
                <w:bCs/>
                <w:color w:val="0D0D0D" w:themeColor="text1" w:themeTint="F2"/>
                <w:sz w:val="18"/>
                <w:szCs w:val="18"/>
              </w:rPr>
              <w:t>Research Gap</w:t>
            </w:r>
          </w:p>
        </w:tc>
      </w:tr>
      <w:tr w:rsidR="00AA32AC" w:rsidRPr="007C4F04" w14:paraId="3ABDA236"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6DD42EA"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Rebai et al. (2022)</w:t>
            </w:r>
          </w:p>
        </w:tc>
        <w:tc>
          <w:tcPr>
            <w:tcW w:w="1500" w:type="dxa"/>
            <w:shd w:val="clear" w:color="auto" w:fill="F2F2F2"/>
            <w:tcMar>
              <w:top w:w="80" w:type="dxa"/>
              <w:left w:w="100" w:type="dxa"/>
              <w:bottom w:w="80" w:type="dxa"/>
              <w:right w:w="100" w:type="dxa"/>
            </w:tcMar>
            <w:vAlign w:val="center"/>
          </w:tcPr>
          <w:p w14:paraId="415CC048"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Tracking and predicting student progress in an LMS-based Web Technologies course</w:t>
            </w:r>
          </w:p>
        </w:tc>
        <w:tc>
          <w:tcPr>
            <w:tcW w:w="1500" w:type="dxa"/>
            <w:shd w:val="clear" w:color="auto" w:fill="F2F2F2"/>
            <w:tcMar>
              <w:top w:w="80" w:type="dxa"/>
              <w:left w:w="100" w:type="dxa"/>
              <w:bottom w:w="80" w:type="dxa"/>
              <w:right w:w="100" w:type="dxa"/>
            </w:tcMar>
            <w:vAlign w:val="center"/>
          </w:tcPr>
          <w:p w14:paraId="1E49699E"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Case study using Student Performance Indicators (SPIs) derived from LMS logs</w:t>
            </w:r>
          </w:p>
        </w:tc>
        <w:tc>
          <w:tcPr>
            <w:tcW w:w="1300" w:type="dxa"/>
            <w:shd w:val="clear" w:color="auto" w:fill="F2F2F2"/>
            <w:tcMar>
              <w:top w:w="80" w:type="dxa"/>
              <w:left w:w="100" w:type="dxa"/>
              <w:bottom w:w="80" w:type="dxa"/>
              <w:right w:w="100" w:type="dxa"/>
            </w:tcMar>
            <w:vAlign w:val="center"/>
          </w:tcPr>
          <w:p w14:paraId="0165959D"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UCA digital campus e-campus platform logs (Cadi Ayyad University)</w:t>
            </w:r>
          </w:p>
        </w:tc>
        <w:tc>
          <w:tcPr>
            <w:tcW w:w="1700" w:type="dxa"/>
            <w:shd w:val="clear" w:color="auto" w:fill="F2F2F2"/>
            <w:tcMar>
              <w:top w:w="80" w:type="dxa"/>
              <w:left w:w="100" w:type="dxa"/>
              <w:bottom w:w="80" w:type="dxa"/>
              <w:right w:w="100" w:type="dxa"/>
            </w:tcMar>
            <w:vAlign w:val="center"/>
          </w:tcPr>
          <w:p w14:paraId="312958E4"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SPIs help faculty identify underperforming students and project progress trends</w:t>
            </w:r>
          </w:p>
        </w:tc>
        <w:tc>
          <w:tcPr>
            <w:tcW w:w="1500" w:type="dxa"/>
            <w:shd w:val="clear" w:color="auto" w:fill="F2F2F2"/>
            <w:tcMar>
              <w:top w:w="80" w:type="dxa"/>
              <w:left w:w="100" w:type="dxa"/>
              <w:bottom w:w="80" w:type="dxa"/>
              <w:right w:w="100" w:type="dxa"/>
            </w:tcMar>
            <w:vAlign w:val="center"/>
          </w:tcPr>
          <w:p w14:paraId="1A43E6CB"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 xml:space="preserve">Single-institution, single-course case study; limited </w:t>
            </w:r>
            <w:proofErr w:type="spellStart"/>
            <w:r w:rsidRPr="007C4F04">
              <w:rPr>
                <w:rFonts w:eastAsia="Calibri"/>
                <w:color w:val="0D0D0D" w:themeColor="text1" w:themeTint="F2"/>
                <w:sz w:val="18"/>
                <w:szCs w:val="18"/>
              </w:rPr>
              <w:t>generalisability</w:t>
            </w:r>
            <w:proofErr w:type="spellEnd"/>
          </w:p>
        </w:tc>
        <w:tc>
          <w:tcPr>
            <w:tcW w:w="1500" w:type="dxa"/>
            <w:shd w:val="clear" w:color="auto" w:fill="F2F2F2"/>
            <w:tcMar>
              <w:top w:w="80" w:type="dxa"/>
              <w:left w:w="100" w:type="dxa"/>
              <w:bottom w:w="80" w:type="dxa"/>
              <w:right w:w="100" w:type="dxa"/>
            </w:tcMar>
            <w:vAlign w:val="center"/>
          </w:tcPr>
          <w:p w14:paraId="39F9AF0F"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No automated, real-time early-warning mechanism across multiple courses</w:t>
            </w:r>
          </w:p>
        </w:tc>
      </w:tr>
      <w:tr w:rsidR="00AA32AC" w:rsidRPr="007C4F04" w14:paraId="5D25A99E"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1804C5FD"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Digital Technologies Research &amp; Applications (2024)</w:t>
            </w:r>
          </w:p>
        </w:tc>
        <w:tc>
          <w:tcPr>
            <w:tcW w:w="1500" w:type="dxa"/>
            <w:shd w:val="clear" w:color="auto" w:fill="FFFFFF"/>
            <w:tcMar>
              <w:top w:w="80" w:type="dxa"/>
              <w:left w:w="100" w:type="dxa"/>
              <w:bottom w:w="80" w:type="dxa"/>
              <w:right w:w="100" w:type="dxa"/>
            </w:tcMar>
            <w:vAlign w:val="center"/>
          </w:tcPr>
          <w:p w14:paraId="0A2C429F"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Replacing paper-based student record keeping with a cloud-based tracking platform</w:t>
            </w:r>
          </w:p>
        </w:tc>
        <w:tc>
          <w:tcPr>
            <w:tcW w:w="1500" w:type="dxa"/>
            <w:shd w:val="clear" w:color="auto" w:fill="FFFFFF"/>
            <w:tcMar>
              <w:top w:w="80" w:type="dxa"/>
              <w:left w:w="100" w:type="dxa"/>
              <w:bottom w:w="80" w:type="dxa"/>
              <w:right w:w="100" w:type="dxa"/>
            </w:tcMar>
            <w:vAlign w:val="center"/>
          </w:tcPr>
          <w:p w14:paraId="5F047AB8"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System design and evaluation of a cloud-hosted student tracking application</w:t>
            </w:r>
          </w:p>
        </w:tc>
        <w:tc>
          <w:tcPr>
            <w:tcW w:w="1300" w:type="dxa"/>
            <w:shd w:val="clear" w:color="auto" w:fill="FFFFFF"/>
            <w:tcMar>
              <w:top w:w="80" w:type="dxa"/>
              <w:left w:w="100" w:type="dxa"/>
              <w:bottom w:w="80" w:type="dxa"/>
              <w:right w:w="100" w:type="dxa"/>
            </w:tcMar>
            <w:vAlign w:val="center"/>
          </w:tcPr>
          <w:p w14:paraId="49E4BE15"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 xml:space="preserve">Institutional attendance, </w:t>
            </w:r>
            <w:proofErr w:type="spellStart"/>
            <w:r w:rsidRPr="007C4F04">
              <w:rPr>
                <w:rFonts w:eastAsia="Calibri"/>
                <w:color w:val="0D0D0D" w:themeColor="text1" w:themeTint="F2"/>
                <w:sz w:val="18"/>
                <w:szCs w:val="18"/>
              </w:rPr>
              <w:t>behaviour</w:t>
            </w:r>
            <w:proofErr w:type="spellEnd"/>
            <w:r w:rsidRPr="007C4F04">
              <w:rPr>
                <w:rFonts w:eastAsia="Calibri"/>
                <w:color w:val="0D0D0D" w:themeColor="text1" w:themeTint="F2"/>
                <w:sz w:val="18"/>
                <w:szCs w:val="18"/>
              </w:rPr>
              <w:t xml:space="preserve"> and performance records</w:t>
            </w:r>
          </w:p>
        </w:tc>
        <w:tc>
          <w:tcPr>
            <w:tcW w:w="1700" w:type="dxa"/>
            <w:shd w:val="clear" w:color="auto" w:fill="FFFFFF"/>
            <w:tcMar>
              <w:top w:w="80" w:type="dxa"/>
              <w:left w:w="100" w:type="dxa"/>
              <w:bottom w:w="80" w:type="dxa"/>
              <w:right w:w="100" w:type="dxa"/>
            </w:tcMar>
            <w:vAlign w:val="center"/>
          </w:tcPr>
          <w:p w14:paraId="675D1247"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Cloud storage improves data accessibility, scalability and reduces admin workload</w:t>
            </w:r>
          </w:p>
        </w:tc>
        <w:tc>
          <w:tcPr>
            <w:tcW w:w="1500" w:type="dxa"/>
            <w:shd w:val="clear" w:color="auto" w:fill="FFFFFF"/>
            <w:tcMar>
              <w:top w:w="80" w:type="dxa"/>
              <w:left w:w="100" w:type="dxa"/>
              <w:bottom w:w="80" w:type="dxa"/>
              <w:right w:w="100" w:type="dxa"/>
            </w:tcMar>
            <w:vAlign w:val="center"/>
          </w:tcPr>
          <w:p w14:paraId="78932826"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Focuses on infrastructure benefits; limited analytics depth on learning outcomes</w:t>
            </w:r>
          </w:p>
        </w:tc>
        <w:tc>
          <w:tcPr>
            <w:tcW w:w="1500" w:type="dxa"/>
            <w:shd w:val="clear" w:color="auto" w:fill="FFFFFF"/>
            <w:tcMar>
              <w:top w:w="80" w:type="dxa"/>
              <w:left w:w="100" w:type="dxa"/>
              <w:bottom w:w="80" w:type="dxa"/>
              <w:right w:w="100" w:type="dxa"/>
            </w:tcMar>
            <w:vAlign w:val="center"/>
          </w:tcPr>
          <w:p w14:paraId="40782B65"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Little integration between cloud storage and predictive/analytic course-tracking features</w:t>
            </w:r>
          </w:p>
        </w:tc>
      </w:tr>
      <w:tr w:rsidR="00AA32AC" w:rsidRPr="007C4F04" w14:paraId="2C6D16F3"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08E8E9C5"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lastRenderedPageBreak/>
              <w:t xml:space="preserve">Masalha &amp; </w:t>
            </w:r>
            <w:proofErr w:type="spellStart"/>
            <w:r w:rsidRPr="007C4F04">
              <w:rPr>
                <w:rFonts w:eastAsia="Calibri"/>
                <w:color w:val="0D0D0D" w:themeColor="text1" w:themeTint="F2"/>
                <w:sz w:val="18"/>
                <w:szCs w:val="18"/>
              </w:rPr>
              <w:t>Hirzallah</w:t>
            </w:r>
            <w:proofErr w:type="spellEnd"/>
            <w:r w:rsidRPr="007C4F04">
              <w:rPr>
                <w:rFonts w:eastAsia="Calibri"/>
                <w:color w:val="0D0D0D" w:themeColor="text1" w:themeTint="F2"/>
                <w:sz w:val="18"/>
                <w:szCs w:val="18"/>
              </w:rPr>
              <w:t xml:space="preserve"> (2014); related QR/RFID studies</w:t>
            </w:r>
          </w:p>
        </w:tc>
        <w:tc>
          <w:tcPr>
            <w:tcW w:w="1500" w:type="dxa"/>
            <w:shd w:val="clear" w:color="auto" w:fill="F2F2F2"/>
            <w:tcMar>
              <w:top w:w="80" w:type="dxa"/>
              <w:left w:w="100" w:type="dxa"/>
              <w:bottom w:w="80" w:type="dxa"/>
              <w:right w:w="100" w:type="dxa"/>
            </w:tcMar>
            <w:vAlign w:val="center"/>
          </w:tcPr>
          <w:p w14:paraId="6A5CD619"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Automating classroom attendance as a proxy for course engagement tracking</w:t>
            </w:r>
          </w:p>
        </w:tc>
        <w:tc>
          <w:tcPr>
            <w:tcW w:w="1500" w:type="dxa"/>
            <w:shd w:val="clear" w:color="auto" w:fill="F2F2F2"/>
            <w:tcMar>
              <w:top w:w="80" w:type="dxa"/>
              <w:left w:w="100" w:type="dxa"/>
              <w:bottom w:w="80" w:type="dxa"/>
              <w:right w:w="100" w:type="dxa"/>
            </w:tcMar>
            <w:vAlign w:val="center"/>
          </w:tcPr>
          <w:p w14:paraId="068E6B61"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QR-code and RFID based attendance capture with mobile/web scanning</w:t>
            </w:r>
          </w:p>
        </w:tc>
        <w:tc>
          <w:tcPr>
            <w:tcW w:w="1300" w:type="dxa"/>
            <w:shd w:val="clear" w:color="auto" w:fill="F2F2F2"/>
            <w:tcMar>
              <w:top w:w="80" w:type="dxa"/>
              <w:left w:w="100" w:type="dxa"/>
              <w:bottom w:w="80" w:type="dxa"/>
              <w:right w:w="100" w:type="dxa"/>
            </w:tcMar>
            <w:vAlign w:val="center"/>
          </w:tcPr>
          <w:p w14:paraId="20BA2A1A"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Live classroom deployments at partner universities</w:t>
            </w:r>
          </w:p>
        </w:tc>
        <w:tc>
          <w:tcPr>
            <w:tcW w:w="1700" w:type="dxa"/>
            <w:shd w:val="clear" w:color="auto" w:fill="F2F2F2"/>
            <w:tcMar>
              <w:top w:w="80" w:type="dxa"/>
              <w:left w:w="100" w:type="dxa"/>
              <w:bottom w:w="80" w:type="dxa"/>
              <w:right w:w="100" w:type="dxa"/>
            </w:tcMar>
            <w:vAlign w:val="center"/>
          </w:tcPr>
          <w:p w14:paraId="20EDF453"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Reduces manual effort, cost-effective, faster than biometric or paper rolls</w:t>
            </w:r>
          </w:p>
        </w:tc>
        <w:tc>
          <w:tcPr>
            <w:tcW w:w="1500" w:type="dxa"/>
            <w:shd w:val="clear" w:color="auto" w:fill="F2F2F2"/>
            <w:tcMar>
              <w:top w:w="80" w:type="dxa"/>
              <w:left w:w="100" w:type="dxa"/>
              <w:bottom w:w="80" w:type="dxa"/>
              <w:right w:w="100" w:type="dxa"/>
            </w:tcMar>
            <w:vAlign w:val="center"/>
          </w:tcPr>
          <w:p w14:paraId="63C2D590"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Vulnerable to proxy attendance, device/connectivity dependency, privacy concerns (GDPR/FERPA)</w:t>
            </w:r>
          </w:p>
        </w:tc>
        <w:tc>
          <w:tcPr>
            <w:tcW w:w="1500" w:type="dxa"/>
            <w:shd w:val="clear" w:color="auto" w:fill="F2F2F2"/>
            <w:tcMar>
              <w:top w:w="80" w:type="dxa"/>
              <w:left w:w="100" w:type="dxa"/>
              <w:bottom w:w="80" w:type="dxa"/>
              <w:right w:w="100" w:type="dxa"/>
            </w:tcMar>
            <w:vAlign w:val="center"/>
          </w:tcPr>
          <w:p w14:paraId="4487E51B"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Attendance capture is not linked to holistic course-progress or performance tracking</w:t>
            </w:r>
          </w:p>
        </w:tc>
      </w:tr>
      <w:tr w:rsidR="00AA32AC" w:rsidRPr="007C4F04" w14:paraId="0D51ECED"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70162F75"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Karlos et al. / Springer &amp; MDPI dropout studies (2021–2023)</w:t>
            </w:r>
          </w:p>
        </w:tc>
        <w:tc>
          <w:tcPr>
            <w:tcW w:w="1500" w:type="dxa"/>
            <w:shd w:val="clear" w:color="auto" w:fill="FFFFFF"/>
            <w:tcMar>
              <w:top w:w="80" w:type="dxa"/>
              <w:left w:w="100" w:type="dxa"/>
              <w:bottom w:w="80" w:type="dxa"/>
              <w:right w:w="100" w:type="dxa"/>
            </w:tcMar>
            <w:vAlign w:val="center"/>
          </w:tcPr>
          <w:p w14:paraId="1E278AC6"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Predicting student dropout and course failure from LMS engagement data</w:t>
            </w:r>
          </w:p>
        </w:tc>
        <w:tc>
          <w:tcPr>
            <w:tcW w:w="1500" w:type="dxa"/>
            <w:shd w:val="clear" w:color="auto" w:fill="FFFFFF"/>
            <w:tcMar>
              <w:top w:w="80" w:type="dxa"/>
              <w:left w:w="100" w:type="dxa"/>
              <w:bottom w:w="80" w:type="dxa"/>
              <w:right w:w="100" w:type="dxa"/>
            </w:tcMar>
            <w:vAlign w:val="center"/>
          </w:tcPr>
          <w:p w14:paraId="6E039DBA"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Machine learning classifiers (e.g., decision trees, ensemble models) on Moodle log data</w:t>
            </w:r>
          </w:p>
        </w:tc>
        <w:tc>
          <w:tcPr>
            <w:tcW w:w="1300" w:type="dxa"/>
            <w:shd w:val="clear" w:color="auto" w:fill="FFFFFF"/>
            <w:tcMar>
              <w:top w:w="80" w:type="dxa"/>
              <w:left w:w="100" w:type="dxa"/>
              <w:bottom w:w="80" w:type="dxa"/>
              <w:right w:w="100" w:type="dxa"/>
            </w:tcMar>
            <w:vAlign w:val="center"/>
          </w:tcPr>
          <w:p w14:paraId="1BC6D392"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Multi-institution Moodle interaction logs (weekly activity sequences)</w:t>
            </w:r>
          </w:p>
        </w:tc>
        <w:tc>
          <w:tcPr>
            <w:tcW w:w="1700" w:type="dxa"/>
            <w:shd w:val="clear" w:color="auto" w:fill="FFFFFF"/>
            <w:tcMar>
              <w:top w:w="80" w:type="dxa"/>
              <w:left w:w="100" w:type="dxa"/>
              <w:bottom w:w="80" w:type="dxa"/>
              <w:right w:w="100" w:type="dxa"/>
            </w:tcMar>
            <w:vAlign w:val="center"/>
          </w:tcPr>
          <w:p w14:paraId="35AF4A34"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LMS activity data can accurately flag at-risk learners before course completion</w:t>
            </w:r>
          </w:p>
        </w:tc>
        <w:tc>
          <w:tcPr>
            <w:tcW w:w="1500" w:type="dxa"/>
            <w:shd w:val="clear" w:color="auto" w:fill="FFFFFF"/>
            <w:tcMar>
              <w:top w:w="80" w:type="dxa"/>
              <w:left w:w="100" w:type="dxa"/>
              <w:bottom w:w="80" w:type="dxa"/>
              <w:right w:w="100" w:type="dxa"/>
            </w:tcMar>
            <w:vAlign w:val="center"/>
          </w:tcPr>
          <w:p w14:paraId="20BE6F48"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Class imbalance in dropout data; models tuned per institution, weak transferability</w:t>
            </w:r>
          </w:p>
        </w:tc>
        <w:tc>
          <w:tcPr>
            <w:tcW w:w="1500" w:type="dxa"/>
            <w:shd w:val="clear" w:color="auto" w:fill="FFFFFF"/>
            <w:tcMar>
              <w:top w:w="80" w:type="dxa"/>
              <w:left w:w="100" w:type="dxa"/>
              <w:bottom w:w="80" w:type="dxa"/>
              <w:right w:w="100" w:type="dxa"/>
            </w:tcMar>
            <w:vAlign w:val="center"/>
          </w:tcPr>
          <w:p w14:paraId="44BFCE16"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Absence of a unified, institution-agnostic tracking model usable in real time</w:t>
            </w:r>
          </w:p>
        </w:tc>
      </w:tr>
      <w:tr w:rsidR="00AA32AC" w:rsidRPr="007C4F04" w14:paraId="62EC3BB0"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AFAE5CA"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Nature Sci. Reports / PMC dropout study (2025)</w:t>
            </w:r>
          </w:p>
        </w:tc>
        <w:tc>
          <w:tcPr>
            <w:tcW w:w="1500" w:type="dxa"/>
            <w:shd w:val="clear" w:color="auto" w:fill="F2F2F2"/>
            <w:tcMar>
              <w:top w:w="80" w:type="dxa"/>
              <w:left w:w="100" w:type="dxa"/>
              <w:bottom w:w="80" w:type="dxa"/>
              <w:right w:w="100" w:type="dxa"/>
            </w:tcMar>
            <w:vAlign w:val="center"/>
          </w:tcPr>
          <w:p w14:paraId="264E37DF"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Improving robustness of dropout prediction under limited, imbalanced Moodle data</w:t>
            </w:r>
          </w:p>
        </w:tc>
        <w:tc>
          <w:tcPr>
            <w:tcW w:w="1500" w:type="dxa"/>
            <w:shd w:val="clear" w:color="auto" w:fill="F2F2F2"/>
            <w:tcMar>
              <w:top w:w="80" w:type="dxa"/>
              <w:left w:w="100" w:type="dxa"/>
              <w:bottom w:w="80" w:type="dxa"/>
              <w:right w:w="100" w:type="dxa"/>
            </w:tcMar>
            <w:vAlign w:val="center"/>
          </w:tcPr>
          <w:p w14:paraId="21C23669" w14:textId="77777777" w:rsidR="00AA32AC" w:rsidRPr="007C4F04" w:rsidRDefault="00000000" w:rsidP="007C4F04">
            <w:pPr>
              <w:spacing w:line="360" w:lineRule="auto"/>
              <w:rPr>
                <w:color w:val="0D0D0D" w:themeColor="text1" w:themeTint="F2"/>
              </w:rPr>
            </w:pPr>
            <w:proofErr w:type="spellStart"/>
            <w:r w:rsidRPr="007C4F04">
              <w:rPr>
                <w:rFonts w:eastAsia="Calibri"/>
                <w:color w:val="0D0D0D" w:themeColor="text1" w:themeTint="F2"/>
                <w:sz w:val="18"/>
                <w:szCs w:val="18"/>
              </w:rPr>
              <w:t>CatBoost</w:t>
            </w:r>
            <w:proofErr w:type="spellEnd"/>
            <w:r w:rsidRPr="007C4F04">
              <w:rPr>
                <w:rFonts w:eastAsia="Calibri"/>
                <w:color w:val="0D0D0D" w:themeColor="text1" w:themeTint="F2"/>
                <w:sz w:val="18"/>
                <w:szCs w:val="18"/>
              </w:rPr>
              <w:t xml:space="preserve"> algorithm with ADASYN balancing and NSGA-II hyperparameter </w:t>
            </w:r>
            <w:proofErr w:type="spellStart"/>
            <w:r w:rsidRPr="007C4F04">
              <w:rPr>
                <w:rFonts w:eastAsia="Calibri"/>
                <w:color w:val="0D0D0D" w:themeColor="text1" w:themeTint="F2"/>
                <w:sz w:val="18"/>
                <w:szCs w:val="18"/>
              </w:rPr>
              <w:t>optimisation</w:t>
            </w:r>
            <w:proofErr w:type="spellEnd"/>
          </w:p>
        </w:tc>
        <w:tc>
          <w:tcPr>
            <w:tcW w:w="1300" w:type="dxa"/>
            <w:shd w:val="clear" w:color="auto" w:fill="F2F2F2"/>
            <w:tcMar>
              <w:top w:w="80" w:type="dxa"/>
              <w:left w:w="100" w:type="dxa"/>
              <w:bottom w:w="80" w:type="dxa"/>
              <w:right w:w="100" w:type="dxa"/>
            </w:tcMar>
            <w:vAlign w:val="center"/>
          </w:tcPr>
          <w:p w14:paraId="32AE302A"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Moodle activity logs from the LANSE project</w:t>
            </w:r>
          </w:p>
        </w:tc>
        <w:tc>
          <w:tcPr>
            <w:tcW w:w="1700" w:type="dxa"/>
            <w:shd w:val="clear" w:color="auto" w:fill="F2F2F2"/>
            <w:tcMar>
              <w:top w:w="80" w:type="dxa"/>
              <w:left w:w="100" w:type="dxa"/>
              <w:bottom w:w="80" w:type="dxa"/>
              <w:right w:w="100" w:type="dxa"/>
            </w:tcMar>
            <w:vAlign w:val="center"/>
          </w:tcPr>
          <w:p w14:paraId="5F7A82D0" w14:textId="77777777" w:rsidR="00AA32AC" w:rsidRPr="007C4F04" w:rsidRDefault="00000000" w:rsidP="007C4F04">
            <w:pPr>
              <w:spacing w:line="360" w:lineRule="auto"/>
              <w:rPr>
                <w:color w:val="0D0D0D" w:themeColor="text1" w:themeTint="F2"/>
              </w:rPr>
            </w:pPr>
            <w:proofErr w:type="spellStart"/>
            <w:r w:rsidRPr="007C4F04">
              <w:rPr>
                <w:rFonts w:eastAsia="Calibri"/>
                <w:color w:val="0D0D0D" w:themeColor="text1" w:themeTint="F2"/>
                <w:sz w:val="18"/>
                <w:szCs w:val="18"/>
              </w:rPr>
              <w:t>Optimised</w:t>
            </w:r>
            <w:proofErr w:type="spellEnd"/>
            <w:r w:rsidRPr="007C4F04">
              <w:rPr>
                <w:rFonts w:eastAsia="Calibri"/>
                <w:color w:val="0D0D0D" w:themeColor="text1" w:themeTint="F2"/>
                <w:sz w:val="18"/>
                <w:szCs w:val="18"/>
              </w:rPr>
              <w:t xml:space="preserve"> ML pipeline improves F1-score for at-risk student identification</w:t>
            </w:r>
          </w:p>
        </w:tc>
        <w:tc>
          <w:tcPr>
            <w:tcW w:w="1500" w:type="dxa"/>
            <w:shd w:val="clear" w:color="auto" w:fill="F2F2F2"/>
            <w:tcMar>
              <w:top w:w="80" w:type="dxa"/>
              <w:left w:w="100" w:type="dxa"/>
              <w:bottom w:w="80" w:type="dxa"/>
              <w:right w:w="100" w:type="dxa"/>
            </w:tcMar>
            <w:vAlign w:val="center"/>
          </w:tcPr>
          <w:p w14:paraId="79F9514E"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High computational cost; requires ML expertise not available in most institutions</w:t>
            </w:r>
          </w:p>
        </w:tc>
        <w:tc>
          <w:tcPr>
            <w:tcW w:w="1500" w:type="dxa"/>
            <w:shd w:val="clear" w:color="auto" w:fill="F2F2F2"/>
            <w:tcMar>
              <w:top w:w="80" w:type="dxa"/>
              <w:left w:w="100" w:type="dxa"/>
              <w:bottom w:w="80" w:type="dxa"/>
              <w:right w:w="100" w:type="dxa"/>
            </w:tcMar>
            <w:vAlign w:val="center"/>
          </w:tcPr>
          <w:p w14:paraId="6CB1252E"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Lack of lightweight, explainable tracking tools deployable by non-expert academic staff</w:t>
            </w:r>
          </w:p>
        </w:tc>
      </w:tr>
      <w:tr w:rsidR="00AA32AC" w:rsidRPr="007C4F04" w14:paraId="3D91BC59"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1BBAB105"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Berrios Moya et al. (2025), ZKBAR-V</w:t>
            </w:r>
          </w:p>
        </w:tc>
        <w:tc>
          <w:tcPr>
            <w:tcW w:w="1500" w:type="dxa"/>
            <w:shd w:val="clear" w:color="auto" w:fill="FFFFFF"/>
            <w:tcMar>
              <w:top w:w="80" w:type="dxa"/>
              <w:left w:w="100" w:type="dxa"/>
              <w:bottom w:w="80" w:type="dxa"/>
              <w:right w:w="100" w:type="dxa"/>
            </w:tcMar>
            <w:vAlign w:val="center"/>
          </w:tcPr>
          <w:p w14:paraId="6425DDBD"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Securely tracking and verifying academic credentials/course records across institutions</w:t>
            </w:r>
          </w:p>
        </w:tc>
        <w:tc>
          <w:tcPr>
            <w:tcW w:w="1500" w:type="dxa"/>
            <w:shd w:val="clear" w:color="auto" w:fill="FFFFFF"/>
            <w:tcMar>
              <w:top w:w="80" w:type="dxa"/>
              <w:left w:w="100" w:type="dxa"/>
              <w:bottom w:w="80" w:type="dxa"/>
              <w:right w:w="100" w:type="dxa"/>
            </w:tcMar>
            <w:vAlign w:val="center"/>
          </w:tcPr>
          <w:p w14:paraId="1BB87C18"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Zero-knowledge proof blockchain with dual-chain architecture and IPFS storage</w:t>
            </w:r>
          </w:p>
        </w:tc>
        <w:tc>
          <w:tcPr>
            <w:tcW w:w="1300" w:type="dxa"/>
            <w:shd w:val="clear" w:color="auto" w:fill="FFFFFF"/>
            <w:tcMar>
              <w:top w:w="80" w:type="dxa"/>
              <w:left w:w="100" w:type="dxa"/>
              <w:bottom w:w="80" w:type="dxa"/>
              <w:right w:w="100" w:type="dxa"/>
            </w:tcMar>
            <w:vAlign w:val="center"/>
          </w:tcPr>
          <w:p w14:paraId="0F7D75CB"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Prototype smart-contract transactions on a permissioned blockchain testbed</w:t>
            </w:r>
          </w:p>
        </w:tc>
        <w:tc>
          <w:tcPr>
            <w:tcW w:w="1700" w:type="dxa"/>
            <w:shd w:val="clear" w:color="auto" w:fill="FFFFFF"/>
            <w:tcMar>
              <w:top w:w="80" w:type="dxa"/>
              <w:left w:w="100" w:type="dxa"/>
              <w:bottom w:w="80" w:type="dxa"/>
              <w:right w:w="100" w:type="dxa"/>
            </w:tcMar>
            <w:vAlign w:val="center"/>
          </w:tcPr>
          <w:p w14:paraId="5B1CB4C0"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 xml:space="preserve">Enables tamper-proof, privacy-preserving credential verification at lower cost than </w:t>
            </w:r>
            <w:proofErr w:type="spellStart"/>
            <w:r w:rsidRPr="007C4F04">
              <w:rPr>
                <w:rFonts w:eastAsia="Calibri"/>
                <w:color w:val="0D0D0D" w:themeColor="text1" w:themeTint="F2"/>
                <w:sz w:val="18"/>
                <w:szCs w:val="18"/>
              </w:rPr>
              <w:t>mainnet</w:t>
            </w:r>
            <w:proofErr w:type="spellEnd"/>
            <w:r w:rsidRPr="007C4F04">
              <w:rPr>
                <w:rFonts w:eastAsia="Calibri"/>
                <w:color w:val="0D0D0D" w:themeColor="text1" w:themeTint="F2"/>
                <w:sz w:val="18"/>
                <w:szCs w:val="18"/>
              </w:rPr>
              <w:t xml:space="preserve"> Ethereum</w:t>
            </w:r>
          </w:p>
        </w:tc>
        <w:tc>
          <w:tcPr>
            <w:tcW w:w="1500" w:type="dxa"/>
            <w:shd w:val="clear" w:color="auto" w:fill="FFFFFF"/>
            <w:tcMar>
              <w:top w:w="80" w:type="dxa"/>
              <w:left w:w="100" w:type="dxa"/>
              <w:bottom w:w="80" w:type="dxa"/>
              <w:right w:w="100" w:type="dxa"/>
            </w:tcMar>
            <w:vAlign w:val="center"/>
          </w:tcPr>
          <w:p w14:paraId="774F18F1"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High implementation complexity; interoperability between institutions still limited</w:t>
            </w:r>
          </w:p>
        </w:tc>
        <w:tc>
          <w:tcPr>
            <w:tcW w:w="1500" w:type="dxa"/>
            <w:shd w:val="clear" w:color="auto" w:fill="FFFFFF"/>
            <w:tcMar>
              <w:top w:w="80" w:type="dxa"/>
              <w:left w:w="100" w:type="dxa"/>
              <w:bottom w:w="80" w:type="dxa"/>
              <w:right w:w="100" w:type="dxa"/>
            </w:tcMar>
            <w:vAlign w:val="center"/>
          </w:tcPr>
          <w:p w14:paraId="307CC4AC"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No standard framework linking day-to-day course progress tracking with verifiable credential records</w:t>
            </w:r>
          </w:p>
        </w:tc>
      </w:tr>
      <w:tr w:rsidR="00AA32AC" w:rsidRPr="007C4F04" w14:paraId="1BA31552"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AF36F36"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Joshi et al. (2023); facial-recognition attendance studies</w:t>
            </w:r>
          </w:p>
        </w:tc>
        <w:tc>
          <w:tcPr>
            <w:tcW w:w="1500" w:type="dxa"/>
            <w:shd w:val="clear" w:color="auto" w:fill="F2F2F2"/>
            <w:tcMar>
              <w:top w:w="80" w:type="dxa"/>
              <w:left w:w="100" w:type="dxa"/>
              <w:bottom w:w="80" w:type="dxa"/>
              <w:right w:w="100" w:type="dxa"/>
            </w:tcMar>
            <w:vAlign w:val="center"/>
          </w:tcPr>
          <w:p w14:paraId="07FE2C09"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Automating attendance capture using non-intrusive biometric identification</w:t>
            </w:r>
          </w:p>
        </w:tc>
        <w:tc>
          <w:tcPr>
            <w:tcW w:w="1500" w:type="dxa"/>
            <w:shd w:val="clear" w:color="auto" w:fill="F2F2F2"/>
            <w:tcMar>
              <w:top w:w="80" w:type="dxa"/>
              <w:left w:w="100" w:type="dxa"/>
              <w:bottom w:w="80" w:type="dxa"/>
              <w:right w:w="100" w:type="dxa"/>
            </w:tcMar>
            <w:vAlign w:val="center"/>
          </w:tcPr>
          <w:p w14:paraId="3CEBF856"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CNN / deep transfer learning (ResNet-50, VGG-16) face detection and recognition on classroom camera feeds</w:t>
            </w:r>
          </w:p>
        </w:tc>
        <w:tc>
          <w:tcPr>
            <w:tcW w:w="1300" w:type="dxa"/>
            <w:shd w:val="clear" w:color="auto" w:fill="F2F2F2"/>
            <w:tcMar>
              <w:top w:w="80" w:type="dxa"/>
              <w:left w:w="100" w:type="dxa"/>
              <w:bottom w:w="80" w:type="dxa"/>
              <w:right w:w="100" w:type="dxa"/>
            </w:tcMar>
            <w:vAlign w:val="center"/>
          </w:tcPr>
          <w:p w14:paraId="43A2D562"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Classroom image datasets captured via CCTV or webcam, augmented for training</w:t>
            </w:r>
          </w:p>
        </w:tc>
        <w:tc>
          <w:tcPr>
            <w:tcW w:w="1700" w:type="dxa"/>
            <w:shd w:val="clear" w:color="auto" w:fill="F2F2F2"/>
            <w:tcMar>
              <w:top w:w="80" w:type="dxa"/>
              <w:left w:w="100" w:type="dxa"/>
              <w:bottom w:w="80" w:type="dxa"/>
              <w:right w:w="100" w:type="dxa"/>
            </w:tcMar>
            <w:vAlign w:val="center"/>
          </w:tcPr>
          <w:p w14:paraId="58E0D7C8"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Achieves high recognition accuracy (often above 95%) without requiring active student action</w:t>
            </w:r>
          </w:p>
        </w:tc>
        <w:tc>
          <w:tcPr>
            <w:tcW w:w="1500" w:type="dxa"/>
            <w:shd w:val="clear" w:color="auto" w:fill="F2F2F2"/>
            <w:tcMar>
              <w:top w:w="80" w:type="dxa"/>
              <w:left w:w="100" w:type="dxa"/>
              <w:bottom w:w="80" w:type="dxa"/>
              <w:right w:w="100" w:type="dxa"/>
            </w:tcMar>
            <w:vAlign w:val="center"/>
          </w:tcPr>
          <w:p w14:paraId="44C302ED"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Sensitive to lighting/pose variation, raises biometric-privacy concerns, needs GPU-level compute</w:t>
            </w:r>
          </w:p>
        </w:tc>
        <w:tc>
          <w:tcPr>
            <w:tcW w:w="1500" w:type="dxa"/>
            <w:shd w:val="clear" w:color="auto" w:fill="F2F2F2"/>
            <w:tcMar>
              <w:top w:w="80" w:type="dxa"/>
              <w:left w:w="100" w:type="dxa"/>
              <w:bottom w:w="80" w:type="dxa"/>
              <w:right w:w="100" w:type="dxa"/>
            </w:tcMar>
            <w:vAlign w:val="center"/>
          </w:tcPr>
          <w:p w14:paraId="08540DD3"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 xml:space="preserve">No mechanism linking </w:t>
            </w:r>
            <w:proofErr w:type="spellStart"/>
            <w:r w:rsidRPr="007C4F04">
              <w:rPr>
                <w:rFonts w:eastAsia="Calibri"/>
                <w:color w:val="0D0D0D" w:themeColor="text1" w:themeTint="F2"/>
                <w:sz w:val="18"/>
                <w:szCs w:val="18"/>
              </w:rPr>
              <w:t>recognised</w:t>
            </w:r>
            <w:proofErr w:type="spellEnd"/>
            <w:r w:rsidRPr="007C4F04">
              <w:rPr>
                <w:rFonts w:eastAsia="Calibri"/>
                <w:color w:val="0D0D0D" w:themeColor="text1" w:themeTint="F2"/>
                <w:sz w:val="18"/>
                <w:szCs w:val="18"/>
              </w:rPr>
              <w:t xml:space="preserve"> presence to subsequent engagement or performance tracking</w:t>
            </w:r>
          </w:p>
        </w:tc>
      </w:tr>
      <w:tr w:rsidR="00AA32AC" w:rsidRPr="007C4F04" w14:paraId="2FCBB0AF"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5A75B112"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Gamified mobile-</w:t>
            </w:r>
            <w:r w:rsidRPr="007C4F04">
              <w:rPr>
                <w:rFonts w:eastAsia="Calibri"/>
                <w:color w:val="0D0D0D" w:themeColor="text1" w:themeTint="F2"/>
                <w:sz w:val="18"/>
                <w:szCs w:val="18"/>
              </w:rPr>
              <w:lastRenderedPageBreak/>
              <w:t>learning engagement studies (2016–2025)</w:t>
            </w:r>
          </w:p>
        </w:tc>
        <w:tc>
          <w:tcPr>
            <w:tcW w:w="1500" w:type="dxa"/>
            <w:shd w:val="clear" w:color="auto" w:fill="FFFFFF"/>
            <w:tcMar>
              <w:top w:w="80" w:type="dxa"/>
              <w:left w:w="100" w:type="dxa"/>
              <w:bottom w:w="80" w:type="dxa"/>
              <w:right w:w="100" w:type="dxa"/>
            </w:tcMar>
            <w:vAlign w:val="center"/>
          </w:tcPr>
          <w:p w14:paraId="7016E7E9"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lastRenderedPageBreak/>
              <w:t xml:space="preserve">Improving course engagement and </w:t>
            </w:r>
            <w:r w:rsidRPr="007C4F04">
              <w:rPr>
                <w:rFonts w:eastAsia="Calibri"/>
                <w:color w:val="0D0D0D" w:themeColor="text1" w:themeTint="F2"/>
                <w:sz w:val="18"/>
                <w:szCs w:val="18"/>
              </w:rPr>
              <w:lastRenderedPageBreak/>
              <w:t xml:space="preserve">retention through progress </w:t>
            </w:r>
            <w:proofErr w:type="spellStart"/>
            <w:r w:rsidRPr="007C4F04">
              <w:rPr>
                <w:rFonts w:eastAsia="Calibri"/>
                <w:color w:val="0D0D0D" w:themeColor="text1" w:themeTint="F2"/>
                <w:sz w:val="18"/>
                <w:szCs w:val="18"/>
              </w:rPr>
              <w:t>visualisation</w:t>
            </w:r>
            <w:proofErr w:type="spellEnd"/>
            <w:r w:rsidRPr="007C4F04">
              <w:rPr>
                <w:rFonts w:eastAsia="Calibri"/>
                <w:color w:val="0D0D0D" w:themeColor="text1" w:themeTint="F2"/>
                <w:sz w:val="18"/>
                <w:szCs w:val="18"/>
              </w:rPr>
              <w:t xml:space="preserve"> and rewards</w:t>
            </w:r>
          </w:p>
        </w:tc>
        <w:tc>
          <w:tcPr>
            <w:tcW w:w="1500" w:type="dxa"/>
            <w:shd w:val="clear" w:color="auto" w:fill="FFFFFF"/>
            <w:tcMar>
              <w:top w:w="80" w:type="dxa"/>
              <w:left w:w="100" w:type="dxa"/>
              <w:bottom w:w="80" w:type="dxa"/>
              <w:right w:w="100" w:type="dxa"/>
            </w:tcMar>
            <w:vAlign w:val="center"/>
          </w:tcPr>
          <w:p w14:paraId="39CBD6D2"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lastRenderedPageBreak/>
              <w:t xml:space="preserve">Mobile app instrumentation with </w:t>
            </w:r>
            <w:r w:rsidRPr="007C4F04">
              <w:rPr>
                <w:rFonts w:eastAsia="Calibri"/>
                <w:color w:val="0D0D0D" w:themeColor="text1" w:themeTint="F2"/>
                <w:sz w:val="18"/>
                <w:szCs w:val="18"/>
              </w:rPr>
              <w:lastRenderedPageBreak/>
              <w:t>badges, leaderboards, progression trees, and push notifications</w:t>
            </w:r>
          </w:p>
        </w:tc>
        <w:tc>
          <w:tcPr>
            <w:tcW w:w="1300" w:type="dxa"/>
            <w:shd w:val="clear" w:color="auto" w:fill="FFFFFF"/>
            <w:tcMar>
              <w:top w:w="80" w:type="dxa"/>
              <w:left w:w="100" w:type="dxa"/>
              <w:bottom w:w="80" w:type="dxa"/>
              <w:right w:w="100" w:type="dxa"/>
            </w:tcMar>
            <w:vAlign w:val="center"/>
          </w:tcPr>
          <w:p w14:paraId="5BFD15D2"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lastRenderedPageBreak/>
              <w:t xml:space="preserve">App usage logs and </w:t>
            </w:r>
            <w:r w:rsidRPr="007C4F04">
              <w:rPr>
                <w:rFonts w:eastAsia="Calibri"/>
                <w:color w:val="0D0D0D" w:themeColor="text1" w:themeTint="F2"/>
                <w:sz w:val="18"/>
                <w:szCs w:val="18"/>
              </w:rPr>
              <w:lastRenderedPageBreak/>
              <w:t>course-completion rates from institutional pilot deployments</w:t>
            </w:r>
          </w:p>
        </w:tc>
        <w:tc>
          <w:tcPr>
            <w:tcW w:w="1700" w:type="dxa"/>
            <w:shd w:val="clear" w:color="auto" w:fill="FFFFFF"/>
            <w:tcMar>
              <w:top w:w="80" w:type="dxa"/>
              <w:left w:w="100" w:type="dxa"/>
              <w:bottom w:w="80" w:type="dxa"/>
              <w:right w:w="100" w:type="dxa"/>
            </w:tcMar>
            <w:vAlign w:val="center"/>
          </w:tcPr>
          <w:p w14:paraId="173B09D6"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lastRenderedPageBreak/>
              <w:t xml:space="preserve">Gamified progress </w:t>
            </w:r>
            <w:r w:rsidRPr="007C4F04">
              <w:rPr>
                <w:rFonts w:eastAsia="Calibri"/>
                <w:color w:val="0D0D0D" w:themeColor="text1" w:themeTint="F2"/>
                <w:sz w:val="18"/>
                <w:szCs w:val="18"/>
              </w:rPr>
              <w:lastRenderedPageBreak/>
              <w:t>tracking is associated with higher retention and completion rates</w:t>
            </w:r>
          </w:p>
        </w:tc>
        <w:tc>
          <w:tcPr>
            <w:tcW w:w="1500" w:type="dxa"/>
            <w:shd w:val="clear" w:color="auto" w:fill="FFFFFF"/>
            <w:tcMar>
              <w:top w:w="80" w:type="dxa"/>
              <w:left w:w="100" w:type="dxa"/>
              <w:bottom w:w="80" w:type="dxa"/>
              <w:right w:w="100" w:type="dxa"/>
            </w:tcMar>
            <w:vAlign w:val="center"/>
          </w:tcPr>
          <w:p w14:paraId="4EF50379"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lastRenderedPageBreak/>
              <w:t xml:space="preserve">Motivational effects can fade </w:t>
            </w:r>
            <w:r w:rsidRPr="007C4F04">
              <w:rPr>
                <w:rFonts w:eastAsia="Calibri"/>
                <w:color w:val="0D0D0D" w:themeColor="text1" w:themeTint="F2"/>
                <w:sz w:val="18"/>
                <w:szCs w:val="18"/>
              </w:rPr>
              <w:lastRenderedPageBreak/>
              <w:t>over time; not all gamification elements suit every learner group</w:t>
            </w:r>
          </w:p>
        </w:tc>
        <w:tc>
          <w:tcPr>
            <w:tcW w:w="1500" w:type="dxa"/>
            <w:shd w:val="clear" w:color="auto" w:fill="FFFFFF"/>
            <w:tcMar>
              <w:top w:w="80" w:type="dxa"/>
              <w:left w:w="100" w:type="dxa"/>
              <w:bottom w:w="80" w:type="dxa"/>
              <w:right w:w="100" w:type="dxa"/>
            </w:tcMar>
            <w:vAlign w:val="center"/>
          </w:tcPr>
          <w:p w14:paraId="289323A8"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lastRenderedPageBreak/>
              <w:t xml:space="preserve">Gamified engagement </w:t>
            </w:r>
            <w:r w:rsidRPr="007C4F04">
              <w:rPr>
                <w:rFonts w:eastAsia="Calibri"/>
                <w:color w:val="0D0D0D" w:themeColor="text1" w:themeTint="F2"/>
                <w:sz w:val="18"/>
                <w:szCs w:val="18"/>
              </w:rPr>
              <w:lastRenderedPageBreak/>
              <w:t>signals are rarely fed back into predictive at-risk models</w:t>
            </w:r>
          </w:p>
        </w:tc>
      </w:tr>
      <w:tr w:rsidR="00AA32AC" w:rsidRPr="007C4F04" w14:paraId="290A5941"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3445FC72"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lastRenderedPageBreak/>
              <w:t>IoT-based smart classroom attendance studies (2022)</w:t>
            </w:r>
          </w:p>
        </w:tc>
        <w:tc>
          <w:tcPr>
            <w:tcW w:w="1500" w:type="dxa"/>
            <w:shd w:val="clear" w:color="auto" w:fill="F2F2F2"/>
            <w:tcMar>
              <w:top w:w="80" w:type="dxa"/>
              <w:left w:w="100" w:type="dxa"/>
              <w:bottom w:w="80" w:type="dxa"/>
              <w:right w:w="100" w:type="dxa"/>
            </w:tcMar>
            <w:vAlign w:val="center"/>
          </w:tcPr>
          <w:p w14:paraId="7BF27734"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Combining sensor networks with attendance and environment monitoring in classrooms</w:t>
            </w:r>
          </w:p>
        </w:tc>
        <w:tc>
          <w:tcPr>
            <w:tcW w:w="1500" w:type="dxa"/>
            <w:shd w:val="clear" w:color="auto" w:fill="F2F2F2"/>
            <w:tcMar>
              <w:top w:w="80" w:type="dxa"/>
              <w:left w:w="100" w:type="dxa"/>
              <w:bottom w:w="80" w:type="dxa"/>
              <w:right w:w="100" w:type="dxa"/>
            </w:tcMar>
            <w:vAlign w:val="center"/>
          </w:tcPr>
          <w:p w14:paraId="1FD40545"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 xml:space="preserve">IoT sensor nodes (RFID/weight/camera) integrated with a </w:t>
            </w:r>
            <w:proofErr w:type="spellStart"/>
            <w:r w:rsidRPr="007C4F04">
              <w:rPr>
                <w:rFonts w:eastAsia="Calibri"/>
                <w:color w:val="0D0D0D" w:themeColor="text1" w:themeTint="F2"/>
                <w:sz w:val="18"/>
                <w:szCs w:val="18"/>
              </w:rPr>
              <w:t>centralised</w:t>
            </w:r>
            <w:proofErr w:type="spellEnd"/>
            <w:r w:rsidRPr="007C4F04">
              <w:rPr>
                <w:rFonts w:eastAsia="Calibri"/>
                <w:color w:val="0D0D0D" w:themeColor="text1" w:themeTint="F2"/>
                <w:sz w:val="18"/>
                <w:szCs w:val="18"/>
              </w:rPr>
              <w:t xml:space="preserve"> cloud dashboard</w:t>
            </w:r>
          </w:p>
        </w:tc>
        <w:tc>
          <w:tcPr>
            <w:tcW w:w="1300" w:type="dxa"/>
            <w:shd w:val="clear" w:color="auto" w:fill="F2F2F2"/>
            <w:tcMar>
              <w:top w:w="80" w:type="dxa"/>
              <w:left w:w="100" w:type="dxa"/>
              <w:bottom w:w="80" w:type="dxa"/>
              <w:right w:w="100" w:type="dxa"/>
            </w:tcMar>
            <w:vAlign w:val="center"/>
          </w:tcPr>
          <w:p w14:paraId="23DAF9D1"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Sensor telemetry from pilot smart-classroom deployments</w:t>
            </w:r>
          </w:p>
        </w:tc>
        <w:tc>
          <w:tcPr>
            <w:tcW w:w="1700" w:type="dxa"/>
            <w:shd w:val="clear" w:color="auto" w:fill="F2F2F2"/>
            <w:tcMar>
              <w:top w:w="80" w:type="dxa"/>
              <w:left w:w="100" w:type="dxa"/>
              <w:bottom w:w="80" w:type="dxa"/>
              <w:right w:w="100" w:type="dxa"/>
            </w:tcMar>
            <w:vAlign w:val="center"/>
          </w:tcPr>
          <w:p w14:paraId="22AE80EC"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Sensor fusion reduces false attendance readings compared to single-modality systems</w:t>
            </w:r>
          </w:p>
        </w:tc>
        <w:tc>
          <w:tcPr>
            <w:tcW w:w="1500" w:type="dxa"/>
            <w:shd w:val="clear" w:color="auto" w:fill="F2F2F2"/>
            <w:tcMar>
              <w:top w:w="80" w:type="dxa"/>
              <w:left w:w="100" w:type="dxa"/>
              <w:bottom w:w="80" w:type="dxa"/>
              <w:right w:w="100" w:type="dxa"/>
            </w:tcMar>
            <w:vAlign w:val="center"/>
          </w:tcPr>
          <w:p w14:paraId="1B94A7D7"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Higher hardware cost and maintenance overhead; scaling to many classrooms is expensive</w:t>
            </w:r>
          </w:p>
        </w:tc>
        <w:tc>
          <w:tcPr>
            <w:tcW w:w="1500" w:type="dxa"/>
            <w:shd w:val="clear" w:color="auto" w:fill="F2F2F2"/>
            <w:tcMar>
              <w:top w:w="80" w:type="dxa"/>
              <w:left w:w="100" w:type="dxa"/>
              <w:bottom w:w="80" w:type="dxa"/>
              <w:right w:w="100" w:type="dxa"/>
            </w:tcMar>
            <w:vAlign w:val="center"/>
          </w:tcPr>
          <w:p w14:paraId="30F7AF3C"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Limited work on combining IoT-based physical presence data with academic performance analytics</w:t>
            </w:r>
          </w:p>
        </w:tc>
      </w:tr>
      <w:tr w:rsidR="00AA32AC" w:rsidRPr="007C4F04" w14:paraId="430C1BD7"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0D0EDEE5"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Smart Centralized Student Portfolio Management System (2024)</w:t>
            </w:r>
          </w:p>
        </w:tc>
        <w:tc>
          <w:tcPr>
            <w:tcW w:w="1500" w:type="dxa"/>
            <w:shd w:val="clear" w:color="auto" w:fill="FFFFFF"/>
            <w:tcMar>
              <w:top w:w="80" w:type="dxa"/>
              <w:left w:w="100" w:type="dxa"/>
              <w:bottom w:w="80" w:type="dxa"/>
              <w:right w:w="100" w:type="dxa"/>
            </w:tcMar>
            <w:vAlign w:val="center"/>
          </w:tcPr>
          <w:p w14:paraId="0E89A739" w14:textId="77777777" w:rsidR="00AA32AC" w:rsidRPr="007C4F04" w:rsidRDefault="00000000" w:rsidP="007C4F04">
            <w:pPr>
              <w:spacing w:line="360" w:lineRule="auto"/>
              <w:rPr>
                <w:color w:val="0D0D0D" w:themeColor="text1" w:themeTint="F2"/>
              </w:rPr>
            </w:pPr>
            <w:proofErr w:type="spellStart"/>
            <w:r w:rsidRPr="007C4F04">
              <w:rPr>
                <w:rFonts w:eastAsia="Calibri"/>
                <w:color w:val="0D0D0D" w:themeColor="text1" w:themeTint="F2"/>
                <w:sz w:val="18"/>
                <w:szCs w:val="18"/>
              </w:rPr>
              <w:t>Centralising</w:t>
            </w:r>
            <w:proofErr w:type="spellEnd"/>
            <w:r w:rsidRPr="007C4F04">
              <w:rPr>
                <w:rFonts w:eastAsia="Calibri"/>
                <w:color w:val="0D0D0D" w:themeColor="text1" w:themeTint="F2"/>
                <w:sz w:val="18"/>
                <w:szCs w:val="18"/>
              </w:rPr>
              <w:t xml:space="preserve"> academic records, skills, and certificates in one student-facing portal</w:t>
            </w:r>
          </w:p>
        </w:tc>
        <w:tc>
          <w:tcPr>
            <w:tcW w:w="1500" w:type="dxa"/>
            <w:shd w:val="clear" w:color="auto" w:fill="FFFFFF"/>
            <w:tcMar>
              <w:top w:w="80" w:type="dxa"/>
              <w:left w:w="100" w:type="dxa"/>
              <w:bottom w:w="80" w:type="dxa"/>
              <w:right w:w="100" w:type="dxa"/>
            </w:tcMar>
            <w:vAlign w:val="center"/>
          </w:tcPr>
          <w:p w14:paraId="51E0F9BE"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Python/</w:t>
            </w:r>
            <w:proofErr w:type="spellStart"/>
            <w:r w:rsidRPr="007C4F04">
              <w:rPr>
                <w:rFonts w:eastAsia="Calibri"/>
                <w:color w:val="0D0D0D" w:themeColor="text1" w:themeTint="F2"/>
                <w:sz w:val="18"/>
                <w:szCs w:val="18"/>
              </w:rPr>
              <w:t>Tkinter</w:t>
            </w:r>
            <w:proofErr w:type="spellEnd"/>
            <w:r w:rsidRPr="007C4F04">
              <w:rPr>
                <w:rFonts w:eastAsia="Calibri"/>
                <w:color w:val="0D0D0D" w:themeColor="text1" w:themeTint="F2"/>
                <w:sz w:val="18"/>
                <w:szCs w:val="18"/>
              </w:rPr>
              <w:t xml:space="preserve"> desktop application with SQLite backend and role-based logins</w:t>
            </w:r>
          </w:p>
        </w:tc>
        <w:tc>
          <w:tcPr>
            <w:tcW w:w="1300" w:type="dxa"/>
            <w:shd w:val="clear" w:color="auto" w:fill="FFFFFF"/>
            <w:tcMar>
              <w:top w:w="80" w:type="dxa"/>
              <w:left w:w="100" w:type="dxa"/>
              <w:bottom w:w="80" w:type="dxa"/>
              <w:right w:w="100" w:type="dxa"/>
            </w:tcMar>
            <w:vAlign w:val="center"/>
          </w:tcPr>
          <w:p w14:paraId="3ED9C52A"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Institutional student records (CGPA, attendance, certifications)</w:t>
            </w:r>
          </w:p>
        </w:tc>
        <w:tc>
          <w:tcPr>
            <w:tcW w:w="1700" w:type="dxa"/>
            <w:shd w:val="clear" w:color="auto" w:fill="FFFFFF"/>
            <w:tcMar>
              <w:top w:w="80" w:type="dxa"/>
              <w:left w:w="100" w:type="dxa"/>
              <w:bottom w:w="80" w:type="dxa"/>
              <w:right w:w="100" w:type="dxa"/>
            </w:tcMar>
            <w:vAlign w:val="center"/>
          </w:tcPr>
          <w:p w14:paraId="436DBF9D"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A single portal reduces redundancy and gives students visibility into their own progress</w:t>
            </w:r>
          </w:p>
        </w:tc>
        <w:tc>
          <w:tcPr>
            <w:tcW w:w="1500" w:type="dxa"/>
            <w:shd w:val="clear" w:color="auto" w:fill="FFFFFF"/>
            <w:tcMar>
              <w:top w:w="80" w:type="dxa"/>
              <w:left w:w="100" w:type="dxa"/>
              <w:bottom w:w="80" w:type="dxa"/>
              <w:right w:w="100" w:type="dxa"/>
            </w:tcMar>
            <w:vAlign w:val="center"/>
          </w:tcPr>
          <w:p w14:paraId="645CBE54"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Desktop-based architecture limits scalability and remote/mobile access</w:t>
            </w:r>
          </w:p>
        </w:tc>
        <w:tc>
          <w:tcPr>
            <w:tcW w:w="1500" w:type="dxa"/>
            <w:shd w:val="clear" w:color="auto" w:fill="FFFFFF"/>
            <w:tcMar>
              <w:top w:w="80" w:type="dxa"/>
              <w:left w:w="100" w:type="dxa"/>
              <w:bottom w:w="80" w:type="dxa"/>
              <w:right w:w="100" w:type="dxa"/>
            </w:tcMar>
            <w:vAlign w:val="center"/>
          </w:tcPr>
          <w:p w14:paraId="54FE839E" w14:textId="77777777" w:rsidR="00AA32AC" w:rsidRPr="007C4F04" w:rsidRDefault="00000000" w:rsidP="007C4F04">
            <w:pPr>
              <w:spacing w:line="360" w:lineRule="auto"/>
              <w:rPr>
                <w:color w:val="0D0D0D" w:themeColor="text1" w:themeTint="F2"/>
              </w:rPr>
            </w:pPr>
            <w:r w:rsidRPr="007C4F04">
              <w:rPr>
                <w:rFonts w:eastAsia="Calibri"/>
                <w:color w:val="0D0D0D" w:themeColor="text1" w:themeTint="F2"/>
                <w:sz w:val="18"/>
                <w:szCs w:val="18"/>
              </w:rPr>
              <w:t>No predictive or real-time engagement-tracking layer built on top of the stored records</w:t>
            </w:r>
          </w:p>
        </w:tc>
      </w:tr>
    </w:tbl>
    <w:p w14:paraId="4294DFF8" w14:textId="77777777" w:rsidR="00AA32AC" w:rsidRPr="007C4F04" w:rsidRDefault="00000000" w:rsidP="007C4F04">
      <w:pPr>
        <w:spacing w:before="120" w:after="200" w:line="360" w:lineRule="auto"/>
        <w:rPr>
          <w:color w:val="0D0D0D" w:themeColor="text1" w:themeTint="F2"/>
        </w:rPr>
      </w:pPr>
      <w:r w:rsidRPr="007C4F04">
        <w:rPr>
          <w:rFonts w:eastAsia="Calibri"/>
          <w:i/>
          <w:iCs/>
          <w:color w:val="0D0D0D" w:themeColor="text1" w:themeTint="F2"/>
          <w:sz w:val="18"/>
          <w:szCs w:val="18"/>
        </w:rPr>
        <w:t>Table 1: Comparative analysis of reviewed literature on digital course tracking approaches.</w:t>
      </w:r>
    </w:p>
    <w:p w14:paraId="64611744" w14:textId="77777777" w:rsidR="00AA32AC" w:rsidRPr="007C4F04" w:rsidRDefault="00000000" w:rsidP="007C4F04">
      <w:pPr>
        <w:pStyle w:val="Heading1"/>
        <w:spacing w:before="320" w:after="160" w:line="360" w:lineRule="auto"/>
        <w:rPr>
          <w:color w:val="0D0D0D" w:themeColor="text1" w:themeTint="F2"/>
        </w:rPr>
      </w:pPr>
      <w:r w:rsidRPr="007C4F04">
        <w:rPr>
          <w:rFonts w:eastAsia="Calibri"/>
          <w:b/>
          <w:bCs/>
          <w:color w:val="0D0D0D" w:themeColor="text1" w:themeTint="F2"/>
        </w:rPr>
        <w:t>4. Limitations and Challenges of Existing Approaches</w:t>
      </w:r>
    </w:p>
    <w:p w14:paraId="7BC6744D"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Fragmentation: attendance tracking, performance analytics, and credential verification are typically addressed by separate, non-interoperable systems.</w:t>
      </w:r>
    </w:p>
    <w:p w14:paraId="07689DB2" w14:textId="77777777" w:rsidR="00AA32AC" w:rsidRPr="007C4F04" w:rsidRDefault="00000000" w:rsidP="007C4F04">
      <w:pPr>
        <w:pStyle w:val="ListParagraph"/>
        <w:numPr>
          <w:ilvl w:val="0"/>
          <w:numId w:val="2"/>
        </w:numPr>
        <w:spacing w:after="100" w:line="360" w:lineRule="auto"/>
        <w:rPr>
          <w:color w:val="0D0D0D" w:themeColor="text1" w:themeTint="F2"/>
        </w:rPr>
      </w:pPr>
      <w:proofErr w:type="spellStart"/>
      <w:r w:rsidRPr="007C4F04">
        <w:rPr>
          <w:rFonts w:eastAsia="Calibri"/>
          <w:color w:val="0D0D0D" w:themeColor="text1" w:themeTint="F2"/>
          <w:sz w:val="22"/>
          <w:szCs w:val="22"/>
        </w:rPr>
        <w:t>Generalisability</w:t>
      </w:r>
      <w:proofErr w:type="spellEnd"/>
      <w:r w:rsidRPr="007C4F04">
        <w:rPr>
          <w:rFonts w:eastAsia="Calibri"/>
          <w:color w:val="0D0D0D" w:themeColor="text1" w:themeTint="F2"/>
          <w:sz w:val="22"/>
          <w:szCs w:val="22"/>
        </w:rPr>
        <w:t>: learning-analytics case studies are often confined to a single course, institution, or LMS instance, limiting broader applicability.</w:t>
      </w:r>
    </w:p>
    <w:p w14:paraId="5376628C"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Data integrity risks: QR/RFID attendance methods remain susceptible to proxy attendance and device dependency.</w:t>
      </w:r>
    </w:p>
    <w:p w14:paraId="7FAF6721"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 xml:space="preserve">Technical barriers: high-performing ML pipelines (e.g., </w:t>
      </w:r>
      <w:proofErr w:type="spellStart"/>
      <w:r w:rsidRPr="007C4F04">
        <w:rPr>
          <w:rFonts w:eastAsia="Calibri"/>
          <w:color w:val="0D0D0D" w:themeColor="text1" w:themeTint="F2"/>
          <w:sz w:val="22"/>
          <w:szCs w:val="22"/>
        </w:rPr>
        <w:t>CatBoost</w:t>
      </w:r>
      <w:proofErr w:type="spellEnd"/>
      <w:r w:rsidRPr="007C4F04">
        <w:rPr>
          <w:rFonts w:eastAsia="Calibri"/>
          <w:color w:val="0D0D0D" w:themeColor="text1" w:themeTint="F2"/>
          <w:sz w:val="22"/>
          <w:szCs w:val="22"/>
        </w:rPr>
        <w:t xml:space="preserve"> with NSGA-II tuning) demand expertise and computing resources beyond typical institutional IT capacity.</w:t>
      </w:r>
    </w:p>
    <w:p w14:paraId="071447C4"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Privacy and compliance: biometric and location-based tracking raise concerns under data-protection regulations such as GDPR and FERPA.</w:t>
      </w:r>
    </w:p>
    <w:p w14:paraId="3011D789"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lastRenderedPageBreak/>
        <w:t xml:space="preserve">Interoperability: blockchain-based credentialing systems are largely prototypes with limited cross-institution </w:t>
      </w:r>
      <w:proofErr w:type="spellStart"/>
      <w:r w:rsidRPr="007C4F04">
        <w:rPr>
          <w:rFonts w:eastAsia="Calibri"/>
          <w:color w:val="0D0D0D" w:themeColor="text1" w:themeTint="F2"/>
          <w:sz w:val="22"/>
          <w:szCs w:val="22"/>
        </w:rPr>
        <w:t>standardisation</w:t>
      </w:r>
      <w:proofErr w:type="spellEnd"/>
      <w:r w:rsidRPr="007C4F04">
        <w:rPr>
          <w:rFonts w:eastAsia="Calibri"/>
          <w:color w:val="0D0D0D" w:themeColor="text1" w:themeTint="F2"/>
          <w:sz w:val="22"/>
          <w:szCs w:val="22"/>
        </w:rPr>
        <w:t>.</w:t>
      </w:r>
    </w:p>
    <w:p w14:paraId="3786787D" w14:textId="77777777" w:rsidR="00AA32AC" w:rsidRPr="007C4F04" w:rsidRDefault="00000000" w:rsidP="007C4F04">
      <w:pPr>
        <w:pStyle w:val="Heading1"/>
        <w:spacing w:before="320" w:after="160" w:line="360" w:lineRule="auto"/>
        <w:rPr>
          <w:color w:val="0D0D0D" w:themeColor="text1" w:themeTint="F2"/>
        </w:rPr>
      </w:pPr>
      <w:r w:rsidRPr="007C4F04">
        <w:rPr>
          <w:rFonts w:eastAsia="Calibri"/>
          <w:b/>
          <w:bCs/>
          <w:color w:val="0D0D0D" w:themeColor="text1" w:themeTint="F2"/>
        </w:rPr>
        <w:t>5. Research Gap</w:t>
      </w:r>
    </w:p>
    <w:p w14:paraId="3CC92575"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Across the reviewed literature, no single system integrates real-time engagement tracking (attendance and activity), predictive analytics for at-risk identification, and tamper-proof record verification within one unified, interoperable, and institution-agnostic platform. Existing solutions </w:t>
      </w:r>
      <w:proofErr w:type="spellStart"/>
      <w:r w:rsidRPr="007C4F04">
        <w:rPr>
          <w:rFonts w:eastAsia="Calibri"/>
          <w:color w:val="0D0D0D" w:themeColor="text1" w:themeTint="F2"/>
          <w:sz w:val="22"/>
          <w:szCs w:val="22"/>
        </w:rPr>
        <w:t>optimise</w:t>
      </w:r>
      <w:proofErr w:type="spellEnd"/>
      <w:r w:rsidRPr="007C4F04">
        <w:rPr>
          <w:rFonts w:eastAsia="Calibri"/>
          <w:color w:val="0D0D0D" w:themeColor="text1" w:themeTint="F2"/>
          <w:sz w:val="22"/>
          <w:szCs w:val="22"/>
        </w:rPr>
        <w:t xml:space="preserve"> one dimension of course tracking — access/automation, prediction accuracy, or record security — while leaving the others weakly connected. There is also a shortage of lightweight, explainable tracking tools that non-expert academic staff can configure and interpret without </w:t>
      </w:r>
      <w:proofErr w:type="spellStart"/>
      <w:r w:rsidRPr="007C4F04">
        <w:rPr>
          <w:rFonts w:eastAsia="Calibri"/>
          <w:color w:val="0D0D0D" w:themeColor="text1" w:themeTint="F2"/>
          <w:sz w:val="22"/>
          <w:szCs w:val="22"/>
        </w:rPr>
        <w:t>specialised</w:t>
      </w:r>
      <w:proofErr w:type="spellEnd"/>
      <w:r w:rsidRPr="007C4F04">
        <w:rPr>
          <w:rFonts w:eastAsia="Calibri"/>
          <w:color w:val="0D0D0D" w:themeColor="text1" w:themeTint="F2"/>
          <w:sz w:val="22"/>
          <w:szCs w:val="22"/>
        </w:rPr>
        <w:t xml:space="preserve"> data-science support.</w:t>
      </w:r>
    </w:p>
    <w:p w14:paraId="0BAECF60" w14:textId="77777777" w:rsidR="00AA32AC" w:rsidRPr="007C4F04" w:rsidRDefault="00000000" w:rsidP="007C4F04">
      <w:pPr>
        <w:pStyle w:val="Heading1"/>
        <w:spacing w:before="320" w:after="160" w:line="360" w:lineRule="auto"/>
        <w:rPr>
          <w:color w:val="0D0D0D" w:themeColor="text1" w:themeTint="F2"/>
        </w:rPr>
      </w:pPr>
      <w:r w:rsidRPr="007C4F04">
        <w:rPr>
          <w:rFonts w:eastAsia="Calibri"/>
          <w:b/>
          <w:bCs/>
          <w:color w:val="0D0D0D" w:themeColor="text1" w:themeTint="F2"/>
        </w:rPr>
        <w:t>6. Proposed Conceptual Architecture for a Digital Course Tracking System</w:t>
      </w:r>
    </w:p>
    <w:p w14:paraId="4C564F7F"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Building on the research gap identified in Section 5, this section outlines a conceptual architecture that could unify the four technological pillars observed in the literature (presence detection, predictive analytics, engagement tracking, and secure record-keeping) into a single Digital Course Tracking System (DCTS). The architecture is presented at a level suitable for guiding subsequent design work rather than as a finished technical specification.</w:t>
      </w:r>
    </w:p>
    <w:p w14:paraId="263488C4"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6.1 Layered Architecture</w:t>
      </w:r>
    </w:p>
    <w:p w14:paraId="486F8192"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 xml:space="preserve">Data Capture Layer: lightweight attendance capture (QR code or RFID as the primary, cost-effective method, following Masalha and </w:t>
      </w:r>
      <w:proofErr w:type="spellStart"/>
      <w:r w:rsidRPr="007C4F04">
        <w:rPr>
          <w:rFonts w:eastAsia="Calibri"/>
          <w:color w:val="0D0D0D" w:themeColor="text1" w:themeTint="F2"/>
          <w:sz w:val="22"/>
          <w:szCs w:val="22"/>
        </w:rPr>
        <w:t>Hirzallah's</w:t>
      </w:r>
      <w:proofErr w:type="spellEnd"/>
      <w:r w:rsidRPr="007C4F04">
        <w:rPr>
          <w:rFonts w:eastAsia="Calibri"/>
          <w:color w:val="0D0D0D" w:themeColor="text1" w:themeTint="F2"/>
          <w:sz w:val="22"/>
          <w:szCs w:val="22"/>
        </w:rPr>
        <w:t xml:space="preserve"> approach), plus LMS event hooks that record activity such as logins, resource views, quiz attempts, and assignment submissions.</w:t>
      </w:r>
    </w:p>
    <w:p w14:paraId="78CAAAFB"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Data Processing Layer: a scheduled analytics pipeline that computes Student Performance Indicators (following Rebai et al.) and periodically scores each learner using a lightweight, explainable classifier (e.g., logistic regression or a shallow decision tree) trained on historical engagement and assessment data.</w:t>
      </w:r>
    </w:p>
    <w:p w14:paraId="120E636F"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Alerting and Dashboard Layer: a faculty-facing dashboard that surfaces at-risk indicators in plain language (not raw model scores), consistent with the identified need for tools usable by non-expert academic staff.</w:t>
      </w:r>
    </w:p>
    <w:p w14:paraId="4D0963BA"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Record and Verification Layer: a tamper-evident log of completed milestones (attendance thresholds, assessment completions, course completion) that can optionally be anchored to a permissioned ledger for verification purposes, informed by the ZKBAR-V approach but scoped to course-level records rather than full academic transcripts.</w:t>
      </w:r>
    </w:p>
    <w:p w14:paraId="7C43BE91"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lastRenderedPageBreak/>
        <w:t xml:space="preserve">Access and Privacy Layer: role-based access control (student, instructor, administrator), data </w:t>
      </w:r>
      <w:proofErr w:type="spellStart"/>
      <w:r w:rsidRPr="007C4F04">
        <w:rPr>
          <w:rFonts w:eastAsia="Calibri"/>
          <w:color w:val="0D0D0D" w:themeColor="text1" w:themeTint="F2"/>
          <w:sz w:val="22"/>
          <w:szCs w:val="22"/>
        </w:rPr>
        <w:t>minimisation</w:t>
      </w:r>
      <w:proofErr w:type="spellEnd"/>
      <w:r w:rsidRPr="007C4F04">
        <w:rPr>
          <w:rFonts w:eastAsia="Calibri"/>
          <w:color w:val="0D0D0D" w:themeColor="text1" w:themeTint="F2"/>
          <w:sz w:val="22"/>
          <w:szCs w:val="22"/>
        </w:rPr>
        <w:t xml:space="preserve"> by default, and configurable retention periods for sensitive tracking data such as attendance logs or camera-derived data if biometric capture is used.</w:t>
      </w:r>
    </w:p>
    <w:p w14:paraId="4DF2C560"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6.2 Functional Requirements</w:t>
      </w:r>
    </w:p>
    <w:p w14:paraId="758AC1B9"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The system shall record attendance for each scheduled session and associate it with a unique student identifier.</w:t>
      </w:r>
    </w:p>
    <w:p w14:paraId="6736CBD8"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The system shall track completion of course activities (modules, quizzes, assignments) and compute a running progress percentage per student.</w:t>
      </w:r>
    </w:p>
    <w:p w14:paraId="3C36FE34"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The system shall generate an at-risk flag when a student's combined attendance and activity score falls below a configurable threshold.</w:t>
      </w:r>
    </w:p>
    <w:p w14:paraId="24C2D77A"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The system shall allow instructors to view, filter, and export progress reports for their courses.</w:t>
      </w:r>
    </w:p>
    <w:p w14:paraId="61D11AD7"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The system shall allow students to view their own attendance, activity completion, and progress summary.</w:t>
      </w:r>
    </w:p>
    <w:p w14:paraId="2DFF9ACD"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The system shall log all administrative changes to attendance or grade records for auditability.</w:t>
      </w:r>
    </w:p>
    <w:p w14:paraId="41E26524"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6.3 Non-Functional Requirements</w:t>
      </w:r>
    </w:p>
    <w:p w14:paraId="254EF889"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Usability: dashboards must be interpretable by faculty without a data-science background.</w:t>
      </w:r>
    </w:p>
    <w:p w14:paraId="61A16D2B"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Scalability: the system must support concurrent use across multiple courses and cohorts without redesign, addressing the desktop/SQLite scalability limitation observed in Section 2.10.</w:t>
      </w:r>
    </w:p>
    <w:p w14:paraId="08E5FCD1"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Security and privacy: personal and biometric data (if used) must be encrypted at rest and in transit, with access limited by role, in line with data-protection regulation such as GDPR and FERPA.</w:t>
      </w:r>
    </w:p>
    <w:p w14:paraId="7A208A81"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Reliability: attendance and activity data capture should tolerate intermittent connectivity, syncing once connectivity is restored.</w:t>
      </w:r>
    </w:p>
    <w:p w14:paraId="4D6E79FD"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 xml:space="preserve">Maintainability: the analytics model should be retrainable and explainable, avoiding the high computational overhead noted for </w:t>
      </w:r>
      <w:proofErr w:type="spellStart"/>
      <w:r w:rsidRPr="007C4F04">
        <w:rPr>
          <w:rFonts w:eastAsia="Calibri"/>
          <w:color w:val="0D0D0D" w:themeColor="text1" w:themeTint="F2"/>
          <w:sz w:val="22"/>
          <w:szCs w:val="22"/>
        </w:rPr>
        <w:t>optimisation</w:t>
      </w:r>
      <w:proofErr w:type="spellEnd"/>
      <w:r w:rsidRPr="007C4F04">
        <w:rPr>
          <w:rFonts w:eastAsia="Calibri"/>
          <w:color w:val="0D0D0D" w:themeColor="text1" w:themeTint="F2"/>
          <w:sz w:val="22"/>
          <w:szCs w:val="22"/>
        </w:rPr>
        <w:t xml:space="preserve">-heavy pipelines such as </w:t>
      </w:r>
      <w:proofErr w:type="spellStart"/>
      <w:r w:rsidRPr="007C4F04">
        <w:rPr>
          <w:rFonts w:eastAsia="Calibri"/>
          <w:color w:val="0D0D0D" w:themeColor="text1" w:themeTint="F2"/>
          <w:sz w:val="22"/>
          <w:szCs w:val="22"/>
        </w:rPr>
        <w:t>CatBoost</w:t>
      </w:r>
      <w:proofErr w:type="spellEnd"/>
      <w:r w:rsidRPr="007C4F04">
        <w:rPr>
          <w:rFonts w:eastAsia="Calibri"/>
          <w:color w:val="0D0D0D" w:themeColor="text1" w:themeTint="F2"/>
          <w:sz w:val="22"/>
          <w:szCs w:val="22"/>
        </w:rPr>
        <w:t xml:space="preserve"> with NSGA-II tuning, unless institutional resources support it.</w:t>
      </w:r>
    </w:p>
    <w:p w14:paraId="224AB3F5" w14:textId="77777777" w:rsidR="00AA32AC" w:rsidRPr="007C4F04" w:rsidRDefault="00000000" w:rsidP="007C4F04">
      <w:pPr>
        <w:pStyle w:val="Heading1"/>
        <w:spacing w:before="320" w:after="160" w:line="360" w:lineRule="auto"/>
        <w:rPr>
          <w:color w:val="0D0D0D" w:themeColor="text1" w:themeTint="F2"/>
        </w:rPr>
      </w:pPr>
      <w:r w:rsidRPr="007C4F04">
        <w:rPr>
          <w:rFonts w:eastAsia="Calibri"/>
          <w:b/>
          <w:bCs/>
          <w:color w:val="0D0D0D" w:themeColor="text1" w:themeTint="F2"/>
        </w:rPr>
        <w:t>7. Future Research Directions</w:t>
      </w:r>
    </w:p>
    <w:p w14:paraId="26E677B3"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Design a unified Digital Course Tracking System that combines attendance capture, LMS engagement analytics, and dropout-risk prediction in a single dashboard, as outlined in Section 6.</w:t>
      </w:r>
    </w:p>
    <w:p w14:paraId="728AE29E"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Incorporate lightweight, explainable machine-learning models so faculty without data-science expertise can interpret at-risk alerts.</w:t>
      </w:r>
    </w:p>
    <w:p w14:paraId="5524CA5F"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lastRenderedPageBreak/>
        <w:t xml:space="preserve">Use privacy-preserving techniques (e.g., </w:t>
      </w:r>
      <w:proofErr w:type="spellStart"/>
      <w:r w:rsidRPr="007C4F04">
        <w:rPr>
          <w:rFonts w:eastAsia="Calibri"/>
          <w:color w:val="0D0D0D" w:themeColor="text1" w:themeTint="F2"/>
          <w:sz w:val="22"/>
          <w:szCs w:val="22"/>
        </w:rPr>
        <w:t>anonymisation</w:t>
      </w:r>
      <w:proofErr w:type="spellEnd"/>
      <w:r w:rsidRPr="007C4F04">
        <w:rPr>
          <w:rFonts w:eastAsia="Calibri"/>
          <w:color w:val="0D0D0D" w:themeColor="text1" w:themeTint="F2"/>
          <w:sz w:val="22"/>
          <w:szCs w:val="22"/>
        </w:rPr>
        <w:t>, zero-knowledge proofs) to reconcile detailed engagement tracking with data-protection regulations.</w:t>
      </w:r>
    </w:p>
    <w:p w14:paraId="7F748BD4"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Explore linking day-to-day course-progress data with blockchain-based credentialing, so verified records are generated automatically as milestones are completed.</w:t>
      </w:r>
    </w:p>
    <w:p w14:paraId="352544BE"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Develop cross-institution data standards to improve transferability of predictive models and interoperability of tracking platforms.</w:t>
      </w:r>
    </w:p>
    <w:p w14:paraId="71CB0942"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Investigate hybrid presence-detection methods (e.g., QR code plus lightweight liveness check) that balance the low cost of code-based attendance against the proxy-attendance weaknesses identified in Section 2.3.</w:t>
      </w:r>
    </w:p>
    <w:p w14:paraId="152F19D2"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Study long-term motivational decay in gamified tracking systems and design adaptive reward schedules that sustain engagement across a full course rather than only in early weeks.</w:t>
      </w:r>
    </w:p>
    <w:p w14:paraId="4AFE560B" w14:textId="77777777" w:rsidR="00AA32AC" w:rsidRPr="007C4F04" w:rsidRDefault="00000000" w:rsidP="007C4F04">
      <w:pPr>
        <w:pStyle w:val="Heading1"/>
        <w:spacing w:before="320" w:after="160" w:line="360" w:lineRule="auto"/>
        <w:rPr>
          <w:color w:val="0D0D0D" w:themeColor="text1" w:themeTint="F2"/>
        </w:rPr>
      </w:pPr>
      <w:r w:rsidRPr="007C4F04">
        <w:rPr>
          <w:rFonts w:eastAsia="Calibri"/>
          <w:b/>
          <w:bCs/>
          <w:color w:val="0D0D0D" w:themeColor="text1" w:themeTint="F2"/>
        </w:rPr>
        <w:t>8. Societal Impact and Ethical Considerations</w:t>
      </w:r>
    </w:p>
    <w:p w14:paraId="1A37CC26"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CO5 requires evaluating not only the technical merits of emerging technologies but also their societal impact and the responsibilities involved in maintaining and evolving such systems. Digital course tracking systems directly affect students, instructors, and institutions, and therefore carry several ethical considerations beyond pure engineering performance.</w:t>
      </w:r>
    </w:p>
    <w:p w14:paraId="699F93B6"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8.1 Positive Societal Impact</w:t>
      </w:r>
    </w:p>
    <w:p w14:paraId="29F29904"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Early identification of at-risk students can reduce dropout rates and improve equitable access to timely academic support.</w:t>
      </w:r>
    </w:p>
    <w:p w14:paraId="5AE4F782"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Automation of attendance and record-keeping frees instructor time for teaching and mentoring rather than administrative tasks.</w:t>
      </w:r>
    </w:p>
    <w:p w14:paraId="1CF813E4" w14:textId="77777777" w:rsidR="00AA32AC" w:rsidRPr="007C4F04" w:rsidRDefault="00000000" w:rsidP="007C4F04">
      <w:pPr>
        <w:pStyle w:val="ListParagraph"/>
        <w:numPr>
          <w:ilvl w:val="0"/>
          <w:numId w:val="2"/>
        </w:numPr>
        <w:spacing w:after="100" w:line="360" w:lineRule="auto"/>
        <w:rPr>
          <w:color w:val="0D0D0D" w:themeColor="text1" w:themeTint="F2"/>
        </w:rPr>
      </w:pPr>
      <w:proofErr w:type="spellStart"/>
      <w:r w:rsidRPr="007C4F04">
        <w:rPr>
          <w:rFonts w:eastAsia="Calibri"/>
          <w:color w:val="0D0D0D" w:themeColor="text1" w:themeTint="F2"/>
          <w:sz w:val="22"/>
          <w:szCs w:val="22"/>
        </w:rPr>
        <w:t>Digitised</w:t>
      </w:r>
      <w:proofErr w:type="spellEnd"/>
      <w:r w:rsidRPr="007C4F04">
        <w:rPr>
          <w:rFonts w:eastAsia="Calibri"/>
          <w:color w:val="0D0D0D" w:themeColor="text1" w:themeTint="F2"/>
          <w:sz w:val="22"/>
          <w:szCs w:val="22"/>
        </w:rPr>
        <w:t>, verifiable records reduce credential fraud and simplify record transfer between institutions.</w:t>
      </w:r>
    </w:p>
    <w:p w14:paraId="741FC740" w14:textId="77777777" w:rsidR="00AA32AC" w:rsidRPr="007C4F04" w:rsidRDefault="00000000" w:rsidP="007C4F04">
      <w:pPr>
        <w:pStyle w:val="Heading2"/>
        <w:spacing w:before="240" w:after="120" w:line="360" w:lineRule="auto"/>
        <w:rPr>
          <w:color w:val="0D0D0D" w:themeColor="text1" w:themeTint="F2"/>
        </w:rPr>
      </w:pPr>
      <w:r w:rsidRPr="007C4F04">
        <w:rPr>
          <w:rFonts w:eastAsia="Calibri"/>
          <w:b/>
          <w:bCs/>
          <w:color w:val="0D0D0D" w:themeColor="text1" w:themeTint="F2"/>
        </w:rPr>
        <w:t>8.2 Ethical and Societal Risks</w:t>
      </w:r>
    </w:p>
    <w:p w14:paraId="022BCFA6"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Surveillance concerns: continuous tracking of attendance, activity, and (in facial-recognition systems) biometric data can create a sense of constant monitoring that affects student trust and wellbeing.</w:t>
      </w:r>
    </w:p>
    <w:p w14:paraId="65C9CE45"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Algorithmic bias: predictive at-risk models trained on historical data may replicate existing inequities if the training data reflects biased outcomes (e.g., under-resourced student groups being flagged disproportionately).</w:t>
      </w:r>
    </w:p>
    <w:p w14:paraId="09FB2B67"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t xml:space="preserve">Data protection obligations: biometric and </w:t>
      </w:r>
      <w:proofErr w:type="spellStart"/>
      <w:r w:rsidRPr="007C4F04">
        <w:rPr>
          <w:rFonts w:eastAsia="Calibri"/>
          <w:color w:val="0D0D0D" w:themeColor="text1" w:themeTint="F2"/>
          <w:sz w:val="22"/>
          <w:szCs w:val="22"/>
        </w:rPr>
        <w:t>behavioural</w:t>
      </w:r>
      <w:proofErr w:type="spellEnd"/>
      <w:r w:rsidRPr="007C4F04">
        <w:rPr>
          <w:rFonts w:eastAsia="Calibri"/>
          <w:color w:val="0D0D0D" w:themeColor="text1" w:themeTint="F2"/>
          <w:sz w:val="22"/>
          <w:szCs w:val="22"/>
        </w:rPr>
        <w:t xml:space="preserve"> data are sensitive under regulations such as GDPR and FERPA, requiring informed consent, data </w:t>
      </w:r>
      <w:proofErr w:type="spellStart"/>
      <w:r w:rsidRPr="007C4F04">
        <w:rPr>
          <w:rFonts w:eastAsia="Calibri"/>
          <w:color w:val="0D0D0D" w:themeColor="text1" w:themeTint="F2"/>
          <w:sz w:val="22"/>
          <w:szCs w:val="22"/>
        </w:rPr>
        <w:t>minimisation</w:t>
      </w:r>
      <w:proofErr w:type="spellEnd"/>
      <w:r w:rsidRPr="007C4F04">
        <w:rPr>
          <w:rFonts w:eastAsia="Calibri"/>
          <w:color w:val="0D0D0D" w:themeColor="text1" w:themeTint="F2"/>
          <w:sz w:val="22"/>
          <w:szCs w:val="22"/>
        </w:rPr>
        <w:t>, and clear retention policies.</w:t>
      </w:r>
    </w:p>
    <w:p w14:paraId="03BCBBFA" w14:textId="77777777" w:rsidR="00AA32AC" w:rsidRPr="007C4F04" w:rsidRDefault="00000000" w:rsidP="007C4F04">
      <w:pPr>
        <w:pStyle w:val="ListParagraph"/>
        <w:numPr>
          <w:ilvl w:val="0"/>
          <w:numId w:val="2"/>
        </w:numPr>
        <w:spacing w:after="100" w:line="360" w:lineRule="auto"/>
        <w:rPr>
          <w:color w:val="0D0D0D" w:themeColor="text1" w:themeTint="F2"/>
        </w:rPr>
      </w:pPr>
      <w:r w:rsidRPr="007C4F04">
        <w:rPr>
          <w:rFonts w:eastAsia="Calibri"/>
          <w:color w:val="0D0D0D" w:themeColor="text1" w:themeTint="F2"/>
          <w:sz w:val="22"/>
          <w:szCs w:val="22"/>
        </w:rPr>
        <w:lastRenderedPageBreak/>
        <w:t>Over-reliance on automation: a poorly maintained or opaque system could produce incorrect at-risk labels that follow a student without opportunity for correction, so human oversight of automated flags remains essential.</w:t>
      </w:r>
    </w:p>
    <w:p w14:paraId="7A842A14"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Responsible engineering of a Digital Course Tracking System therefore requires that privacy safeguards, explainability, and human review be treated as first-class design requirements rather than afterthoughts, consistent with the non-functional requirements proposed in Section 6.3.</w:t>
      </w:r>
    </w:p>
    <w:p w14:paraId="3B4F2D50" w14:textId="77777777" w:rsidR="00AA32AC" w:rsidRPr="007C4F04" w:rsidRDefault="00000000" w:rsidP="007C4F04">
      <w:pPr>
        <w:pStyle w:val="Heading1"/>
        <w:spacing w:before="320" w:after="160" w:line="360" w:lineRule="auto"/>
        <w:rPr>
          <w:color w:val="0D0D0D" w:themeColor="text1" w:themeTint="F2"/>
        </w:rPr>
      </w:pPr>
      <w:r w:rsidRPr="007C4F04">
        <w:rPr>
          <w:rFonts w:eastAsia="Calibri"/>
          <w:b/>
          <w:bCs/>
          <w:color w:val="0D0D0D" w:themeColor="text1" w:themeTint="F2"/>
        </w:rPr>
        <w:t>9. Conclusion</w:t>
      </w:r>
    </w:p>
    <w:p w14:paraId="678A2D34" w14:textId="77777777" w:rsidR="00AA32AC" w:rsidRPr="007C4F04" w:rsidRDefault="00000000" w:rsidP="007C4F04">
      <w:pPr>
        <w:spacing w:after="160" w:line="360" w:lineRule="auto"/>
        <w:jc w:val="both"/>
        <w:rPr>
          <w:color w:val="0D0D0D" w:themeColor="text1" w:themeTint="F2"/>
        </w:rPr>
      </w:pPr>
      <w:r w:rsidRPr="007C4F04">
        <w:rPr>
          <w:rFonts w:eastAsia="Calibri"/>
          <w:color w:val="0D0D0D" w:themeColor="text1" w:themeTint="F2"/>
          <w:sz w:val="22"/>
          <w:szCs w:val="22"/>
        </w:rPr>
        <w:t xml:space="preserve">The reviewed literature shows steady progress toward more automated and data-driven digital course tracking, from early learning-analytics dashboards and cloud-based record systems to QR/RFID and facial-recognition attendance automation, gamified mobile engagement tracking, IoT-based smart classrooms, machine-learning dropout prediction, and blockchain-based credential verification. However, these approaches remain largely siloed, each solving one part of the course-tracking problem while leaving the others weakly connected. A well-designed Digital Course Tracking System for the assigned problem statement should therefore aim to unify presence detection, engagement tracking, predictive intervention, and secure record-keeping within a single, privacy-respecting, and institutionally lightweight platform, while remaining mindful of the societal and ethical responsibilities that come with continuously monitoring student </w:t>
      </w:r>
      <w:proofErr w:type="spellStart"/>
      <w:r w:rsidRPr="007C4F04">
        <w:rPr>
          <w:rFonts w:eastAsia="Calibri"/>
          <w:color w:val="0D0D0D" w:themeColor="text1" w:themeTint="F2"/>
          <w:sz w:val="22"/>
          <w:szCs w:val="22"/>
        </w:rPr>
        <w:t>behaviour</w:t>
      </w:r>
      <w:proofErr w:type="spellEnd"/>
      <w:r w:rsidRPr="007C4F04">
        <w:rPr>
          <w:rFonts w:eastAsia="Calibri"/>
          <w:color w:val="0D0D0D" w:themeColor="text1" w:themeTint="F2"/>
          <w:sz w:val="22"/>
          <w:szCs w:val="22"/>
        </w:rPr>
        <w:t>.</w:t>
      </w:r>
    </w:p>
    <w:p w14:paraId="3AF5073F" w14:textId="77777777" w:rsidR="00AA32AC" w:rsidRPr="007C4F04" w:rsidRDefault="00000000" w:rsidP="007C4F04">
      <w:pPr>
        <w:pStyle w:val="Heading1"/>
        <w:spacing w:before="320" w:after="160" w:line="360" w:lineRule="auto"/>
        <w:rPr>
          <w:color w:val="0D0D0D" w:themeColor="text1" w:themeTint="F2"/>
        </w:rPr>
      </w:pPr>
      <w:r w:rsidRPr="007C4F04">
        <w:rPr>
          <w:rFonts w:eastAsia="Calibri"/>
          <w:b/>
          <w:bCs/>
          <w:color w:val="0D0D0D" w:themeColor="text1" w:themeTint="F2"/>
        </w:rPr>
        <w:t>10. References</w:t>
      </w:r>
    </w:p>
    <w:p w14:paraId="6523D02E" w14:textId="7236A400"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 xml:space="preserve">S. Rebai, F. Yahya, and A. </w:t>
      </w:r>
      <w:proofErr w:type="spellStart"/>
      <w:r w:rsidRPr="007C4F04">
        <w:rPr>
          <w:rFonts w:eastAsia="Calibri"/>
          <w:color w:val="0D0D0D" w:themeColor="text1" w:themeTint="F2"/>
          <w:sz w:val="24"/>
          <w:szCs w:val="24"/>
        </w:rPr>
        <w:t>Maalel</w:t>
      </w:r>
      <w:proofErr w:type="spellEnd"/>
      <w:r w:rsidRPr="007C4F04">
        <w:rPr>
          <w:rFonts w:eastAsia="Calibri"/>
          <w:color w:val="0D0D0D" w:themeColor="text1" w:themeTint="F2"/>
          <w:sz w:val="24"/>
          <w:szCs w:val="24"/>
        </w:rPr>
        <w:t>, "Learning Analytics for Tracking Student Progress in LMS," presented at the Int. Conf. on E-Learning, Cadi Ayyad Univ., Morocco, 2022.</w:t>
      </w:r>
    </w:p>
    <w:p w14:paraId="29F65BD0" w14:textId="00E913FE"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Digital Technologies Research and Applications, "Cloud-Based Student Tracking Software: Design and Institutional Benefits," Digit. Technol. Res. Appl., vol. 4, no. 3, 2024.</w:t>
      </w:r>
    </w:p>
    <w:p w14:paraId="6B2D1200" w14:textId="3C21DAB0"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 xml:space="preserve"> F. Masalha and N. Hirzallah, "A students attendance system using QR code," Int. J. Adv. </w:t>
      </w:r>
      <w:proofErr w:type="spellStart"/>
      <w:r w:rsidRPr="007C4F04">
        <w:rPr>
          <w:rFonts w:eastAsia="Calibri"/>
          <w:color w:val="0D0D0D" w:themeColor="text1" w:themeTint="F2"/>
          <w:sz w:val="24"/>
          <w:szCs w:val="24"/>
        </w:rPr>
        <w:t>Comput</w:t>
      </w:r>
      <w:proofErr w:type="spellEnd"/>
      <w:r w:rsidRPr="007C4F04">
        <w:rPr>
          <w:rFonts w:eastAsia="Calibri"/>
          <w:color w:val="0D0D0D" w:themeColor="text1" w:themeTint="F2"/>
          <w:sz w:val="24"/>
          <w:szCs w:val="24"/>
        </w:rPr>
        <w:t>. Sci. Appl., vol. 5, no. 3, pp. 75–79, 2014.</w:t>
      </w:r>
    </w:p>
    <w:p w14:paraId="3B18893B" w14:textId="75E2BFD9"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 xml:space="preserve">M. B. Srinidhi and R. Roy, "A web enabled secured system for attendance monitoring and real time location tracking using biometric and RFID technology," in Proc. Int. Conf. </w:t>
      </w:r>
      <w:proofErr w:type="spellStart"/>
      <w:r w:rsidRPr="007C4F04">
        <w:rPr>
          <w:rFonts w:eastAsia="Calibri"/>
          <w:color w:val="0D0D0D" w:themeColor="text1" w:themeTint="F2"/>
          <w:sz w:val="24"/>
          <w:szCs w:val="24"/>
        </w:rPr>
        <w:t>Comput</w:t>
      </w:r>
      <w:proofErr w:type="spellEnd"/>
      <w:r w:rsidRPr="007C4F04">
        <w:rPr>
          <w:rFonts w:eastAsia="Calibri"/>
          <w:color w:val="0D0D0D" w:themeColor="text1" w:themeTint="F2"/>
          <w:sz w:val="24"/>
          <w:szCs w:val="24"/>
        </w:rPr>
        <w:t xml:space="preserve">. Commun. </w:t>
      </w:r>
      <w:proofErr w:type="spellStart"/>
      <w:r w:rsidRPr="007C4F04">
        <w:rPr>
          <w:rFonts w:eastAsia="Calibri"/>
          <w:color w:val="0D0D0D" w:themeColor="text1" w:themeTint="F2"/>
          <w:sz w:val="24"/>
          <w:szCs w:val="24"/>
        </w:rPr>
        <w:t>Informat</w:t>
      </w:r>
      <w:proofErr w:type="spellEnd"/>
      <w:r w:rsidRPr="007C4F04">
        <w:rPr>
          <w:rFonts w:eastAsia="Calibri"/>
          <w:color w:val="0D0D0D" w:themeColor="text1" w:themeTint="F2"/>
          <w:sz w:val="24"/>
          <w:szCs w:val="24"/>
        </w:rPr>
        <w:t>. (ICCCI), 2015, pp. 1–5.</w:t>
      </w:r>
    </w:p>
    <w:p w14:paraId="37556065" w14:textId="16677B07"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 xml:space="preserve"> J. L. Rastrollo-Guerrero, J. A. Gomez-Pulido, and A. Duran-Dominguez, "Towards predicting student's dropout in university courses using different machine learning techniques," Appl. Sci., vol. 11, no. 7, p. 3130, 2021.</w:t>
      </w:r>
    </w:p>
    <w:p w14:paraId="615FD2DD" w14:textId="7FAC62FB"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lastRenderedPageBreak/>
        <w:t>A. Karlos et al., "A case-study comparison of machine learning approaches for predicting student's dropout from multiple online educational entities," Algorithms, vol. 16, no. 12, p. 554, 2023.</w:t>
      </w:r>
    </w:p>
    <w:p w14:paraId="34294FC3" w14:textId="4466E6D6"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 xml:space="preserve"> "Student dropout prediction through machine learning optimization: insights from Moodle log data," Sci. Rep., vol. 15, 2025.</w:t>
      </w:r>
    </w:p>
    <w:p w14:paraId="2FE5BFC3" w14:textId="49EDAFF5"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J. A. Berrios Moya, J. Ayoade, and M. A. Uddin, "A zero-knowledge proof-enabled blockchain-based academic record verification system," Sensors, vol. 25, no. 11, p. 3450, 2025.</w:t>
      </w:r>
    </w:p>
    <w:p w14:paraId="1BFA601A" w14:textId="0FF3A771"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 xml:space="preserve"> "Blockchain-driven academic learning record management in higher education: A comprehensive review of methodologies, applications, benefits, and challenges," SN </w:t>
      </w:r>
      <w:proofErr w:type="spellStart"/>
      <w:r w:rsidRPr="007C4F04">
        <w:rPr>
          <w:rFonts w:eastAsia="Calibri"/>
          <w:color w:val="0D0D0D" w:themeColor="text1" w:themeTint="F2"/>
          <w:sz w:val="24"/>
          <w:szCs w:val="24"/>
        </w:rPr>
        <w:t>Comput</w:t>
      </w:r>
      <w:proofErr w:type="spellEnd"/>
      <w:r w:rsidRPr="007C4F04">
        <w:rPr>
          <w:rFonts w:eastAsia="Calibri"/>
          <w:color w:val="0D0D0D" w:themeColor="text1" w:themeTint="F2"/>
          <w:sz w:val="24"/>
          <w:szCs w:val="24"/>
        </w:rPr>
        <w:t>. Sci., 2025.</w:t>
      </w:r>
    </w:p>
    <w:p w14:paraId="6F458B20" w14:textId="19A9DEA9"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 xml:space="preserve"> "Smart Centralized Student Portfolio Management System," Int. J. Prog. Res. Eng. Manag. Sci. (IJPREMS), 2024.</w:t>
      </w:r>
    </w:p>
    <w:p w14:paraId="59F747FB" w14:textId="582A9653"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S. Joshi, S. Shinde, P. Shinde, N. Sagar, and S. Rathod, "Facial recognition attendance system using machine learning and deep learning," Int. J. Eng. Res. Technol. (IJERT), vol. 12, no. 4, 2023.</w:t>
      </w:r>
    </w:p>
    <w:p w14:paraId="7E913DAC" w14:textId="7E23E6ED"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 xml:space="preserve"> "Enhancing classroom attendance systems with face recognition through CCTV using deep learning," ScienceDirect Procedia </w:t>
      </w:r>
      <w:proofErr w:type="spellStart"/>
      <w:r w:rsidRPr="007C4F04">
        <w:rPr>
          <w:rFonts w:eastAsia="Calibri"/>
          <w:color w:val="0D0D0D" w:themeColor="text1" w:themeTint="F2"/>
          <w:sz w:val="24"/>
          <w:szCs w:val="24"/>
        </w:rPr>
        <w:t>Comput</w:t>
      </w:r>
      <w:proofErr w:type="spellEnd"/>
      <w:r w:rsidRPr="007C4F04">
        <w:rPr>
          <w:rFonts w:eastAsia="Calibri"/>
          <w:color w:val="0D0D0D" w:themeColor="text1" w:themeTint="F2"/>
          <w:sz w:val="24"/>
          <w:szCs w:val="24"/>
        </w:rPr>
        <w:t>. Sci., 2025.</w:t>
      </w:r>
    </w:p>
    <w:p w14:paraId="24F7F95B" w14:textId="338CE31E"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 xml:space="preserve"> "Using a gamified mobile app to increase student engagement, retention and academic achievement," conference presentation, 2019 (republished 2026).</w:t>
      </w:r>
    </w:p>
    <w:p w14:paraId="5825D3ED" w14:textId="713EE52B" w:rsidR="00AA32AC" w:rsidRPr="007C4F04" w:rsidRDefault="00000000" w:rsidP="007C4F04">
      <w:pPr>
        <w:pStyle w:val="ListParagraph"/>
        <w:numPr>
          <w:ilvl w:val="0"/>
          <w:numId w:val="4"/>
        </w:numPr>
        <w:spacing w:after="120" w:line="360" w:lineRule="auto"/>
        <w:rPr>
          <w:color w:val="0D0D0D" w:themeColor="text1" w:themeTint="F2"/>
          <w:sz w:val="24"/>
          <w:szCs w:val="24"/>
        </w:rPr>
      </w:pPr>
      <w:r w:rsidRPr="007C4F04">
        <w:rPr>
          <w:rFonts w:eastAsia="Calibri"/>
          <w:color w:val="0D0D0D" w:themeColor="text1" w:themeTint="F2"/>
          <w:sz w:val="24"/>
          <w:szCs w:val="24"/>
        </w:rPr>
        <w:t xml:space="preserve">"College smart classroom attendance management system based on Internet of Things," </w:t>
      </w:r>
      <w:proofErr w:type="spellStart"/>
      <w:r w:rsidRPr="007C4F04">
        <w:rPr>
          <w:rFonts w:eastAsia="Calibri"/>
          <w:color w:val="0D0D0D" w:themeColor="text1" w:themeTint="F2"/>
          <w:sz w:val="24"/>
          <w:szCs w:val="24"/>
        </w:rPr>
        <w:t>Comput</w:t>
      </w:r>
      <w:proofErr w:type="spellEnd"/>
      <w:r w:rsidRPr="007C4F04">
        <w:rPr>
          <w:rFonts w:eastAsia="Calibri"/>
          <w:color w:val="0D0D0D" w:themeColor="text1" w:themeTint="F2"/>
          <w:sz w:val="24"/>
          <w:szCs w:val="24"/>
        </w:rPr>
        <w:t xml:space="preserve">. Intell. </w:t>
      </w:r>
      <w:proofErr w:type="spellStart"/>
      <w:r w:rsidRPr="007C4F04">
        <w:rPr>
          <w:rFonts w:eastAsia="Calibri"/>
          <w:color w:val="0D0D0D" w:themeColor="text1" w:themeTint="F2"/>
          <w:sz w:val="24"/>
          <w:szCs w:val="24"/>
        </w:rPr>
        <w:t>Neurosci</w:t>
      </w:r>
      <w:proofErr w:type="spellEnd"/>
      <w:r w:rsidRPr="007C4F04">
        <w:rPr>
          <w:rFonts w:eastAsia="Calibri"/>
          <w:color w:val="0D0D0D" w:themeColor="text1" w:themeTint="F2"/>
          <w:sz w:val="24"/>
          <w:szCs w:val="24"/>
        </w:rPr>
        <w:t>., 2022, Art. no. 4953721.</w:t>
      </w:r>
    </w:p>
    <w:sectPr w:rsidR="00AA32AC" w:rsidRPr="007C4F0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3642F"/>
    <w:multiLevelType w:val="hybridMultilevel"/>
    <w:tmpl w:val="5B568944"/>
    <w:lvl w:ilvl="0" w:tplc="55F29204">
      <w:start w:val="1"/>
      <w:numFmt w:val="bullet"/>
      <w:lvlText w:val="•"/>
      <w:lvlJc w:val="left"/>
      <w:pPr>
        <w:ind w:left="504" w:hanging="288"/>
      </w:pPr>
    </w:lvl>
    <w:lvl w:ilvl="1" w:tplc="11B2506C">
      <w:numFmt w:val="decimal"/>
      <w:lvlText w:val=""/>
      <w:lvlJc w:val="left"/>
    </w:lvl>
    <w:lvl w:ilvl="2" w:tplc="D79AC9EC">
      <w:numFmt w:val="decimal"/>
      <w:lvlText w:val=""/>
      <w:lvlJc w:val="left"/>
    </w:lvl>
    <w:lvl w:ilvl="3" w:tplc="17602AD4">
      <w:numFmt w:val="decimal"/>
      <w:lvlText w:val=""/>
      <w:lvlJc w:val="left"/>
    </w:lvl>
    <w:lvl w:ilvl="4" w:tplc="84AC36C8">
      <w:numFmt w:val="decimal"/>
      <w:lvlText w:val=""/>
      <w:lvlJc w:val="left"/>
    </w:lvl>
    <w:lvl w:ilvl="5" w:tplc="113CA45E">
      <w:numFmt w:val="decimal"/>
      <w:lvlText w:val=""/>
      <w:lvlJc w:val="left"/>
    </w:lvl>
    <w:lvl w:ilvl="6" w:tplc="197E4068">
      <w:numFmt w:val="decimal"/>
      <w:lvlText w:val=""/>
      <w:lvlJc w:val="left"/>
    </w:lvl>
    <w:lvl w:ilvl="7" w:tplc="3684EBDE">
      <w:numFmt w:val="decimal"/>
      <w:lvlText w:val=""/>
      <w:lvlJc w:val="left"/>
    </w:lvl>
    <w:lvl w:ilvl="8" w:tplc="517EE6C2">
      <w:numFmt w:val="decimal"/>
      <w:lvlText w:val=""/>
      <w:lvlJc w:val="left"/>
    </w:lvl>
  </w:abstractNum>
  <w:abstractNum w:abstractNumId="1" w15:restartNumberingAfterBreak="0">
    <w:nsid w:val="2F5B7729"/>
    <w:multiLevelType w:val="hybridMultilevel"/>
    <w:tmpl w:val="3A8ED2FE"/>
    <w:lvl w:ilvl="0" w:tplc="D708D660">
      <w:start w:val="1"/>
      <w:numFmt w:val="bullet"/>
      <w:lvlText w:val="●"/>
      <w:lvlJc w:val="left"/>
      <w:pPr>
        <w:ind w:left="720" w:hanging="360"/>
      </w:pPr>
    </w:lvl>
    <w:lvl w:ilvl="1" w:tplc="A268F26A">
      <w:start w:val="1"/>
      <w:numFmt w:val="bullet"/>
      <w:lvlText w:val="○"/>
      <w:lvlJc w:val="left"/>
      <w:pPr>
        <w:ind w:left="1440" w:hanging="360"/>
      </w:pPr>
    </w:lvl>
    <w:lvl w:ilvl="2" w:tplc="5B58C30E">
      <w:start w:val="1"/>
      <w:numFmt w:val="bullet"/>
      <w:lvlText w:val="■"/>
      <w:lvlJc w:val="left"/>
      <w:pPr>
        <w:ind w:left="2160" w:hanging="360"/>
      </w:pPr>
    </w:lvl>
    <w:lvl w:ilvl="3" w:tplc="69987F3C">
      <w:start w:val="1"/>
      <w:numFmt w:val="bullet"/>
      <w:lvlText w:val="●"/>
      <w:lvlJc w:val="left"/>
      <w:pPr>
        <w:ind w:left="2880" w:hanging="360"/>
      </w:pPr>
    </w:lvl>
    <w:lvl w:ilvl="4" w:tplc="B7908C74">
      <w:start w:val="1"/>
      <w:numFmt w:val="bullet"/>
      <w:lvlText w:val="○"/>
      <w:lvlJc w:val="left"/>
      <w:pPr>
        <w:ind w:left="3600" w:hanging="360"/>
      </w:pPr>
    </w:lvl>
    <w:lvl w:ilvl="5" w:tplc="A614F7B0">
      <w:start w:val="1"/>
      <w:numFmt w:val="bullet"/>
      <w:lvlText w:val="■"/>
      <w:lvlJc w:val="left"/>
      <w:pPr>
        <w:ind w:left="4320" w:hanging="360"/>
      </w:pPr>
    </w:lvl>
    <w:lvl w:ilvl="6" w:tplc="9D869100">
      <w:start w:val="1"/>
      <w:numFmt w:val="bullet"/>
      <w:lvlText w:val="●"/>
      <w:lvlJc w:val="left"/>
      <w:pPr>
        <w:ind w:left="5040" w:hanging="360"/>
      </w:pPr>
    </w:lvl>
    <w:lvl w:ilvl="7" w:tplc="12663AFC">
      <w:start w:val="1"/>
      <w:numFmt w:val="bullet"/>
      <w:lvlText w:val="●"/>
      <w:lvlJc w:val="left"/>
      <w:pPr>
        <w:ind w:left="5760" w:hanging="360"/>
      </w:pPr>
    </w:lvl>
    <w:lvl w:ilvl="8" w:tplc="53DC6F20">
      <w:start w:val="1"/>
      <w:numFmt w:val="bullet"/>
      <w:lvlText w:val="●"/>
      <w:lvlJc w:val="left"/>
      <w:pPr>
        <w:ind w:left="6480" w:hanging="360"/>
      </w:pPr>
    </w:lvl>
  </w:abstractNum>
  <w:abstractNum w:abstractNumId="2" w15:restartNumberingAfterBreak="0">
    <w:nsid w:val="459114ED"/>
    <w:multiLevelType w:val="hybridMultilevel"/>
    <w:tmpl w:val="F13C1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DF13EE"/>
    <w:multiLevelType w:val="multilevel"/>
    <w:tmpl w:val="6512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21064">
    <w:abstractNumId w:val="1"/>
    <w:lvlOverride w:ilvl="0">
      <w:startOverride w:val="1"/>
    </w:lvlOverride>
  </w:num>
  <w:num w:numId="2" w16cid:durableId="2066221334">
    <w:abstractNumId w:val="0"/>
    <w:lvlOverride w:ilvl="0">
      <w:startOverride w:val="1"/>
    </w:lvlOverride>
  </w:num>
  <w:num w:numId="3" w16cid:durableId="1996451086">
    <w:abstractNumId w:val="3"/>
  </w:num>
  <w:num w:numId="4" w16cid:durableId="1185051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AC"/>
    <w:rsid w:val="001F5DF3"/>
    <w:rsid w:val="002166B5"/>
    <w:rsid w:val="007C4F04"/>
    <w:rsid w:val="00AA3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F94F3"/>
  <w15:docId w15:val="{CBA573A5-08B6-431E-A15E-7DB57FBB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5383</Words>
  <Characters>30688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Thanishka S</cp:lastModifiedBy>
  <cp:revision>2</cp:revision>
  <dcterms:created xsi:type="dcterms:W3CDTF">2026-08-22T16:50:00Z</dcterms:created>
  <dcterms:modified xsi:type="dcterms:W3CDTF">2026-08-22T16:50:00Z</dcterms:modified>
</cp:coreProperties>
</file>