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pPr>
      <w:r>
        <w:rPr>
          <w:sz w:val="22"/>
          <w:szCs w:val="22"/>
        </w:rPr>
        <w:t xml:space="preserve"/>
      </w:r>
    </w:p>
    <w:p>
      <w:pPr>
        <w:spacing w:after="160" w:before="0"/>
        <w:jc w:val="center"/>
      </w:pPr>
      <w:r>
        <w:rPr>
          <w:rFonts w:ascii="Calibri" w:cs="Calibri" w:eastAsia="Calibri" w:hAnsi="Calibri"/>
          <w:b/>
          <w:bCs/>
          <w:color w:val="004D40"/>
          <w:sz w:val="22"/>
          <w:szCs w:val="22"/>
        </w:rPr>
        <w:t xml:space="preserve">CodeAlpha Internet of Things Internship</w:t>
      </w:r>
    </w:p>
    <w:p>
      <w:pPr>
        <w:spacing w:after="200" w:before="200"/>
        <w:jc w:val="center"/>
      </w:pPr>
      <w:r>
        <w:rPr>
          <w:rFonts w:ascii="Calibri" w:cs="Calibri" w:eastAsia="Calibri" w:hAnsi="Calibri"/>
          <w:b/>
          <w:bCs/>
          <w:color w:val="1B5E20"/>
          <w:sz w:val="48"/>
          <w:szCs w:val="48"/>
        </w:rPr>
        <w:t xml:space="preserve">IoT in Smart Agriculture</w:t>
      </w:r>
    </w:p>
    <w:p>
      <w:pPr>
        <w:spacing w:after="80" w:before="80"/>
        <w:jc w:val="center"/>
      </w:pPr>
      <w:r>
        <w:rPr>
          <w:rFonts w:ascii="Calibri" w:cs="Calibri" w:eastAsia="Calibri" w:hAnsi="Calibri"/>
          <w:i/>
          <w:iCs/>
          <w:color w:val="2E7D32"/>
          <w:sz w:val="28"/>
          <w:szCs w:val="28"/>
        </w:rPr>
        <w:t xml:space="preserve">Internship Research Report</w:t>
      </w:r>
    </w:p>
    <w:p>
      <w:pPr>
        <w:spacing w:before="180"/>
      </w:pPr>
      <w:r>
        <w:rPr>
          <w:sz w:val="22"/>
          <w:szCs w:val="22"/>
        </w:rPr>
        <w:t xml:space="preserve"/>
      </w:r>
    </w:p>
    <w:p>
      <w:pPr>
        <w:spacing w:after="60" w:before="60"/>
        <w:jc w:val="center"/>
      </w:pPr>
      <w:r>
        <w:rPr>
          <w:rFonts w:ascii="Calibri" w:cs="Calibri" w:eastAsia="Calibri" w:hAnsi="Calibri"/>
          <w:color w:val="424242"/>
          <w:sz w:val="22"/>
          <w:szCs w:val="22"/>
        </w:rPr>
        <w:t xml:space="preserve">Submitted by</w:t>
      </w:r>
    </w:p>
    <w:p>
      <w:pPr>
        <w:spacing w:after="60" w:before="60"/>
        <w:jc w:val="center"/>
      </w:pPr>
      <w:r>
        <w:rPr>
          <w:rFonts w:ascii="Calibri" w:cs="Calibri" w:eastAsia="Calibri" w:hAnsi="Calibri"/>
          <w:b/>
          <w:bCs/>
          <w:color w:val="004D40"/>
          <w:sz w:val="28"/>
          <w:szCs w:val="28"/>
        </w:rPr>
        <w:t xml:space="preserve">Tharun Kumar P</w:t>
      </w:r>
    </w:p>
    <w:p>
      <w:pPr>
        <w:spacing w:after="60" w:before="60"/>
        <w:jc w:val="center"/>
      </w:pPr>
      <w:r>
        <w:rPr>
          <w:rFonts w:ascii="Calibri" w:cs="Calibri" w:eastAsia="Calibri" w:hAnsi="Calibri"/>
          <w:color w:val="424242"/>
          <w:sz w:val="22"/>
          <w:szCs w:val="22"/>
        </w:rPr>
        <w:t xml:space="preserve">ECE Engineering Student</w:t>
      </w:r>
    </w:p>
    <w:p>
      <w:pPr>
        <w:spacing w:before="120"/>
      </w:pPr>
      <w:r>
        <w:rPr>
          <w:sz w:val="22"/>
          <w:szCs w:val="22"/>
        </w:rPr>
        <w:t xml:space="preserve"/>
      </w:r>
    </w:p>
    <w:p>
      <w:pPr>
        <w:spacing w:after="60" w:before="60"/>
        <w:jc w:val="center"/>
      </w:pPr>
      <w:r>
        <w:rPr>
          <w:rFonts w:ascii="Calibri" w:cs="Calibri" w:eastAsia="Calibri" w:hAnsi="Calibri"/>
          <w:b/>
          <w:bCs/>
          <w:color w:val="212121"/>
          <w:sz w:val="22"/>
          <w:szCs w:val="22"/>
        </w:rPr>
        <w:t xml:space="preserve">Internship:</w:t>
      </w:r>
      <w:r>
        <w:rPr>
          <w:rFonts w:ascii="Calibri" w:cs="Calibri" w:eastAsia="Calibri" w:hAnsi="Calibri"/>
          <w:color w:val="212121"/>
          <w:sz w:val="22"/>
          <w:szCs w:val="22"/>
        </w:rPr>
        <w:t xml:space="preserve">  CodeAlpha IoT Internship Program</w:t>
      </w:r>
    </w:p>
    <w:p>
      <w:pPr>
        <w:spacing w:after="60" w:before="60"/>
        <w:jc w:val="center"/>
      </w:pPr>
      <w:r>
        <w:rPr>
          <w:rFonts w:ascii="Calibri" w:cs="Calibri" w:eastAsia="Calibri" w:hAnsi="Calibri"/>
          <w:b/>
          <w:bCs/>
          <w:color w:val="212121"/>
          <w:sz w:val="22"/>
          <w:szCs w:val="22"/>
        </w:rPr>
        <w:t xml:space="preserve">Date of Submission:</w:t>
      </w:r>
      <w:r>
        <w:rPr>
          <w:rFonts w:ascii="Calibri" w:cs="Calibri" w:eastAsia="Calibri" w:hAnsi="Calibri"/>
          <w:color w:val="212121"/>
          <w:sz w:val="22"/>
          <w:szCs w:val="22"/>
        </w:rPr>
        <w:t xml:space="preserve">  June 2025</w:t>
      </w:r>
    </w:p>
    <w:p>
      <w:pPr>
        <w:spacing w:before="120"/>
      </w:pPr>
      <w:r>
        <w:rPr>
          <w:sz w:val="22"/>
          <w:szCs w:val="22"/>
        </w:rPr>
        <w:t xml:space="preserve"/>
      </w:r>
    </w:p>
    <w:p>
      <w:pPr>
        <w:spacing w:after="160" w:before="60"/>
        <w:jc w:val="center"/>
      </w:pPr>
      <w:r>
        <w:rPr>
          <w:rFonts w:ascii="Calibri" w:cs="Calibri" w:eastAsia="Calibri" w:hAnsi="Calibri"/>
          <w:i/>
          <w:iCs/>
          <w:color w:val="757575"/>
          <w:sz w:val="18"/>
          <w:szCs w:val="18"/>
        </w:rPr>
        <w:t xml:space="preserve">[Figure 1 Suggestion: Place a full-width banner image here showing a drone flying over a green crop field with sensor nodes and cloud icons overlaid — symbolizes the convergence of IoT and agriculture]</w:t>
      </w:r>
    </w:p>
    <w:p>
      <w:pPr>
        <w:sectPr>
          <w:pgSz w:w="12240" w:h="15840" w:orient="portrait"/>
          <w:pgMar w:top="1440" w:right="1440" w:bottom="1440" w:left="1440" w:header="708" w:footer="708" w:gutter="0"/>
          <w:pgNumType/>
          <w:docGrid w:linePitch="360"/>
        </w:sectPr>
      </w:pPr>
    </w:p>
    <w:p>
      <w:pPr>
        <w:pStyle w:val="Heading1"/>
        <w:pBdr>
          <w:bottom w:val="single" w:color="2E7D32" w:sz="8" w:space="4"/>
        </w:pBdr>
        <w:spacing w:after="160" w:before="320"/>
      </w:pPr>
      <w:r>
        <w:rPr>
          <w:rFonts w:ascii="Calibri" w:cs="Calibri" w:eastAsia="Calibri" w:hAnsi="Calibri"/>
          <w:b/>
          <w:bCs/>
          <w:color w:val="1B5E20"/>
          <w:sz w:val="28"/>
          <w:szCs w:val="28"/>
        </w:rPr>
        <w:t xml:space="preserve">Abstract</w:t>
      </w:r>
    </w:p>
    <w:p>
      <w:pPr>
        <w:spacing w:after="100" w:before="80" w:line="276"/>
        <w:jc w:val="both"/>
      </w:pPr>
      <w:r>
        <w:rPr>
          <w:rFonts w:ascii="Calibri" w:cs="Calibri" w:eastAsia="Calibri" w:hAnsi="Calibri"/>
          <w:b w:val="false"/>
          <w:bCs w:val="false"/>
          <w:i w:val="false"/>
          <w:iCs w:val="false"/>
          <w:color w:val="212121"/>
          <w:sz w:val="22"/>
          <w:szCs w:val="22"/>
        </w:rPr>
        <w:t xml:space="preserve">Agriculture remains the backbone of global food security, yet it faces mounting pressure from climate variability, shrinking arable land, and a rapidly growing population. Traditional farming practices, while time-tested, fall short in providing the data-driven precision that modern challenges demand. The Internet of Things (IoT) offers a transformative answer by weaving a network of sensors, microcontrollers, wireless modules, and cloud platforms into the very fabric of farm operations.</w:t>
      </w:r>
    </w:p>
    <w:p>
      <w:pPr>
        <w:spacing w:after="100" w:before="80" w:line="276"/>
        <w:jc w:val="both"/>
      </w:pPr>
      <w:r>
        <w:rPr>
          <w:rFonts w:ascii="Calibri" w:cs="Calibri" w:eastAsia="Calibri" w:hAnsi="Calibri"/>
          <w:b w:val="false"/>
          <w:bCs w:val="false"/>
          <w:i w:val="false"/>
          <w:iCs w:val="false"/>
          <w:color w:val="212121"/>
          <w:sz w:val="22"/>
          <w:szCs w:val="22"/>
        </w:rPr>
        <w:t xml:space="preserve">This report examines how IoT technologies are reshaping agriculture — from automated drip irrigation that responds to real-time soil moisture readings to aerial drone systems that flag crop disease days before visible symptoms appear. Drawing on deployments in India, the Netherlands, and Kenya, the report outlines the core hardware stack, communication protocols, and cloud analytics pipelines used in smart farming. It also addresses the real barriers practitioners face: spotty rural connectivity, cybersecurity gaps, steep upfront costs, and limited technical literacy among farmers. Finally, the report looks ahead to how the fusion of IoT with artificial intelligence, edge computing, and autonomous robotics is steering agriculture toward a fully data-centric future. The findings underscore that smart agriculture is not a distant aspiration — it is an active, accelerating reality.</w:t>
      </w:r>
    </w:p>
    <w:p>
      <w:pPr>
        <w:spacing w:before="60"/>
      </w:pPr>
      <w:r>
        <w:rPr>
          <w:sz w:val="22"/>
          <w:szCs w:val="22"/>
        </w:rPr>
        <w:t xml:space="preserve"/>
      </w:r>
    </w:p>
    <w:p>
      <w:pPr>
        <w:pStyle w:val="Heading1"/>
        <w:pBdr>
          <w:bottom w:val="single" w:color="2E7D32" w:sz="8" w:space="4"/>
        </w:pBdr>
        <w:spacing w:after="160" w:before="320"/>
      </w:pPr>
      <w:r>
        <w:rPr>
          <w:rFonts w:ascii="Calibri" w:cs="Calibri" w:eastAsia="Calibri" w:hAnsi="Calibri"/>
          <w:b/>
          <w:bCs/>
          <w:color w:val="1B5E20"/>
          <w:sz w:val="28"/>
          <w:szCs w:val="28"/>
        </w:rPr>
        <w:t xml:space="preserve">1.  Introduction</w:t>
      </w:r>
    </w:p>
    <w:p>
      <w:pPr>
        <w:pStyle w:val="Heading2"/>
        <w:spacing w:after="100" w:before="200"/>
      </w:pPr>
      <w:r>
        <w:rPr>
          <w:rFonts w:ascii="Calibri" w:cs="Calibri" w:eastAsia="Calibri" w:hAnsi="Calibri"/>
          <w:b/>
          <w:bCs/>
          <w:color w:val="2E7D32"/>
          <w:sz w:val="24"/>
          <w:szCs w:val="24"/>
        </w:rPr>
        <w:t xml:space="preserve">1.1  What Is the Internet of Things?</w:t>
      </w:r>
    </w:p>
    <w:p>
      <w:pPr>
        <w:spacing w:after="100" w:before="80" w:line="276"/>
        <w:jc w:val="both"/>
      </w:pPr>
      <w:r>
        <w:rPr>
          <w:rFonts w:ascii="Calibri" w:cs="Calibri" w:eastAsia="Calibri" w:hAnsi="Calibri"/>
          <w:b w:val="false"/>
          <w:bCs w:val="false"/>
          <w:i w:val="false"/>
          <w:iCs w:val="false"/>
          <w:color w:val="212121"/>
          <w:sz w:val="22"/>
          <w:szCs w:val="22"/>
        </w:rPr>
        <w:t xml:space="preserve">The Internet of Things is a network of physical objects — devices, sensors, actuators, and machines — embedded with electronics, software, and connectivity that enable them to collect and exchange data without requiring direct human interaction. The concept was coined by Kevin Ashton in 1999, but it has matured dramatically over the past decade as low-cost microcontrollers, affordable wireless modules, and scalable cloud platforms became widely available.</w:t>
      </w:r>
    </w:p>
    <w:p>
      <w:pPr>
        <w:spacing w:after="100" w:before="80" w:line="276"/>
        <w:jc w:val="both"/>
      </w:pPr>
      <w:r>
        <w:rPr>
          <w:rFonts w:ascii="Calibri" w:cs="Calibri" w:eastAsia="Calibri" w:hAnsi="Calibri"/>
          <w:b w:val="false"/>
          <w:bCs w:val="false"/>
          <w:i w:val="false"/>
          <w:iCs w:val="false"/>
          <w:color w:val="212121"/>
          <w:sz w:val="22"/>
          <w:szCs w:val="22"/>
        </w:rPr>
        <w:t xml:space="preserve">In its simplest form, an IoT system consists of three layers: the perception layer (sensors and actuators that interact with the physical world), the network layer (Wi-Fi, cellular, LoRa, or Zigbee links that carry data), and the application layer (cloud services and dashboards where data is stored, processed, and acted upon). This architecture can be deployed in factory floors, smart homes, healthcare equipment — and critically, in agricultural fields.</w:t>
      </w:r>
    </w:p>
    <w:p>
      <w:pPr>
        <w:spacing w:after="160" w:before="60"/>
        <w:jc w:val="center"/>
      </w:pPr>
      <w:r>
        <w:rPr>
          <w:rFonts w:ascii="Calibri" w:cs="Calibri" w:eastAsia="Calibri" w:hAnsi="Calibri"/>
          <w:i/>
          <w:iCs/>
          <w:color w:val="757575"/>
          <w:sz w:val="18"/>
          <w:szCs w:val="18"/>
        </w:rPr>
        <w:t xml:space="preserve">[Figure 2 Suggestion: Place a three-layer IoT architecture diagram here — Perception Layer (sensors/actuators) → Network Layer (wireless protocols) → Application Layer (cloud/dashboard) — using green and teal icons to align with the agricultural theme]</w:t>
      </w:r>
    </w:p>
    <w:p>
      <w:pPr>
        <w:pStyle w:val="Heading2"/>
        <w:spacing w:after="100" w:before="200"/>
      </w:pPr>
      <w:r>
        <w:rPr>
          <w:rFonts w:ascii="Calibri" w:cs="Calibri" w:eastAsia="Calibri" w:hAnsi="Calibri"/>
          <w:b/>
          <w:bCs/>
          <w:color w:val="2E7D32"/>
          <w:sz w:val="24"/>
          <w:szCs w:val="24"/>
        </w:rPr>
        <w:t xml:space="preserve">1.2  Why Agriculture Needs IoT</w:t>
      </w:r>
    </w:p>
    <w:p>
      <w:pPr>
        <w:spacing w:after="100" w:before="80" w:line="276"/>
        <w:jc w:val="both"/>
      </w:pPr>
      <w:r>
        <w:rPr>
          <w:rFonts w:ascii="Calibri" w:cs="Calibri" w:eastAsia="Calibri" w:hAnsi="Calibri"/>
          <w:b w:val="false"/>
          <w:bCs w:val="false"/>
          <w:i w:val="false"/>
          <w:iCs w:val="false"/>
          <w:color w:val="212121"/>
          <w:sz w:val="22"/>
          <w:szCs w:val="22"/>
        </w:rPr>
        <w:t xml:space="preserve">Global food demand is projected to increase by 50% by 2050, according to the Food and Agriculture Organization of the United Nations. At the same time, the farming sector consumes roughly 70% of the world's freshwater and faces the compounding effects of unpredictable rainfall, soil degradation, and crop disease. These pressures make a strong case for precision agriculture — a management philosophy that treats each square meter of a farm as a unique micro-environment that deserves tailored inputs.</w:t>
      </w:r>
    </w:p>
    <w:p>
      <w:pPr>
        <w:spacing w:after="100" w:before="80" w:line="276"/>
        <w:jc w:val="both"/>
      </w:pPr>
      <w:r>
        <w:rPr>
          <w:rFonts w:ascii="Calibri" w:cs="Calibri" w:eastAsia="Calibri" w:hAnsi="Calibri"/>
          <w:b w:val="false"/>
          <w:bCs w:val="false"/>
          <w:i w:val="false"/>
          <w:iCs w:val="false"/>
          <w:color w:val="212121"/>
          <w:sz w:val="22"/>
          <w:szCs w:val="22"/>
        </w:rPr>
        <w:t xml:space="preserve">IoT makes precision agriculture operationally feasible. Instead of relying on periodic lab tests and generalised recommendations, farmers can access a continuous stream of field data — soil pH, ambient temperature, leaf wetness, pest trap counts — and let automated systems respond accordingly. The result is less waste, lower costs, better yields, and a significantly reduced environmental footprint.</w:t>
      </w:r>
    </w:p>
    <w:p>
      <w:pPr>
        <w:spacing w:before="60"/>
      </w:pPr>
      <w:r>
        <w:rPr>
          <w:sz w:val="22"/>
          <w:szCs w:val="22"/>
        </w:rPr>
        <w:t xml:space="preserve"/>
      </w:r>
    </w:p>
    <w:p>
      <w:pPr>
        <w:pStyle w:val="Heading1"/>
        <w:pBdr>
          <w:bottom w:val="single" w:color="2E7D32" w:sz="8" w:space="4"/>
        </w:pBdr>
        <w:spacing w:after="160" w:before="320"/>
      </w:pPr>
      <w:r>
        <w:rPr>
          <w:rFonts w:ascii="Calibri" w:cs="Calibri" w:eastAsia="Calibri" w:hAnsi="Calibri"/>
          <w:b/>
          <w:bCs/>
          <w:color w:val="1B5E20"/>
          <w:sz w:val="28"/>
          <w:szCs w:val="28"/>
        </w:rPr>
        <w:t xml:space="preserve">2.  IoT Technologies Used in Smart Agriculture</w:t>
      </w:r>
    </w:p>
    <w:p>
      <w:pPr>
        <w:pStyle w:val="Heading2"/>
        <w:spacing w:after="100" w:before="200"/>
      </w:pPr>
      <w:r>
        <w:rPr>
          <w:rFonts w:ascii="Calibri" w:cs="Calibri" w:eastAsia="Calibri" w:hAnsi="Calibri"/>
          <w:b/>
          <w:bCs/>
          <w:color w:val="2E7D32"/>
          <w:sz w:val="24"/>
          <w:szCs w:val="24"/>
        </w:rPr>
        <w:t xml:space="preserve">2.1  Sensors</w:t>
      </w:r>
    </w:p>
    <w:p>
      <w:pPr>
        <w:spacing w:after="100" w:before="80" w:line="276"/>
        <w:jc w:val="both"/>
      </w:pPr>
      <w:r>
        <w:rPr>
          <w:rFonts w:ascii="Calibri" w:cs="Calibri" w:eastAsia="Calibri" w:hAnsi="Calibri"/>
          <w:b w:val="false"/>
          <w:bCs w:val="false"/>
          <w:i w:val="false"/>
          <w:iCs w:val="false"/>
          <w:color w:val="212121"/>
          <w:sz w:val="22"/>
          <w:szCs w:val="22"/>
        </w:rPr>
        <w:t xml:space="preserve">Sensors are the sensory organs of a smart farm. Soil moisture sensors (such as the capacitive FC-28 or the resistive HL-69) measure volumetric water content and feed data directly to irrigation controllers. Temperature and humidity sensors (DHT22, SHT31) track microclimate conditions at plant canopy level. Nutrient sensors measure nitrogen, phosphorus, and potassium levels in the soil, enabling precision fertilization. Light intensity sensors monitor photosynthetically active radiation for greenhouse management, while pH sensors track soil acidity. In livestock applications, accelerometers and RFID ear tags capture animal movement, feeding patterns, and body temperature.</w:t>
      </w:r>
    </w:p>
    <w:p>
      <w:pPr>
        <w:pStyle w:val="Heading2"/>
        <w:spacing w:after="100" w:before="200"/>
      </w:pPr>
      <w:r>
        <w:rPr>
          <w:rFonts w:ascii="Calibri" w:cs="Calibri" w:eastAsia="Calibri" w:hAnsi="Calibri"/>
          <w:b/>
          <w:bCs/>
          <w:color w:val="2E7D32"/>
          <w:sz w:val="24"/>
          <w:szCs w:val="24"/>
        </w:rPr>
        <w:t xml:space="preserve">2.2  Microcontrollers and Edge Devices</w:t>
      </w:r>
    </w:p>
    <w:p>
      <w:pPr>
        <w:spacing w:after="100" w:before="80" w:line="276"/>
        <w:jc w:val="both"/>
      </w:pPr>
      <w:r>
        <w:rPr>
          <w:rFonts w:ascii="Calibri" w:cs="Calibri" w:eastAsia="Calibri" w:hAnsi="Calibri"/>
          <w:b w:val="false"/>
          <w:bCs w:val="false"/>
          <w:i w:val="false"/>
          <w:iCs w:val="false"/>
          <w:color w:val="212121"/>
          <w:sz w:val="22"/>
          <w:szCs w:val="22"/>
        </w:rPr>
        <w:t xml:space="preserve">At the heart of most farm IoT nodes is a microcontroller or single-board computer. The Arduino Uno and Arduino Mega are widely used for low-cost, low-power sensor nodes that aggregate data from multiple sensors before transmitting. The ESP32 and ESP8266 modules integrate Wi-Fi and Bluetooth directly on chip, making them ideal for farm nodes within range of a local wireless network. For applications that demand more processing power — such as edge-based image inference for disease detection — the Raspberry Pi 4 provides a Linux environment capable of running lightweight machine-learning models locally, reducing cloud dependency.</w:t>
      </w:r>
    </w:p>
    <w:p>
      <w:pPr>
        <w:pStyle w:val="Heading2"/>
        <w:spacing w:after="100" w:before="200"/>
      </w:pPr>
      <w:r>
        <w:rPr>
          <w:rFonts w:ascii="Calibri" w:cs="Calibri" w:eastAsia="Calibri" w:hAnsi="Calibri"/>
          <w:b/>
          <w:bCs/>
          <w:color w:val="2E7D32"/>
          <w:sz w:val="24"/>
          <w:szCs w:val="24"/>
        </w:rPr>
        <w:t xml:space="preserve">2.3  Wireless Communication Protocols</w:t>
      </w:r>
    </w:p>
    <w:p>
      <w:pPr>
        <w:spacing w:after="100" w:before="80" w:line="276"/>
        <w:jc w:val="both"/>
      </w:pPr>
      <w:r>
        <w:rPr>
          <w:rFonts w:ascii="Calibri" w:cs="Calibri" w:eastAsia="Calibri" w:hAnsi="Calibri"/>
          <w:b w:val="false"/>
          <w:bCs w:val="false"/>
          <w:i w:val="false"/>
          <w:iCs w:val="false"/>
          <w:color w:val="212121"/>
          <w:sz w:val="22"/>
          <w:szCs w:val="22"/>
        </w:rPr>
        <w:t xml:space="preserve">Selecting the right wireless technology is a critical design decision. Wi-Fi (IEEE 802.11) works well for greenhouse environments where nodes are close to access points and power is available. LoRaWAN (Long Range Wide Area Network) operates in the sub-GHz ISM band and can cover 5–15 km in rural terrain with a single gateway, making it the go-to choice for sprawling open fields. Its low power consumption allows sensor nodes to run on small batteries for years. Zigbee forms reliable mesh networks within a 100 m radius and is common in precision greenhouse installations. In areas with cellular coverage, NB-IoT (Narrowband IoT) provides low-bandwidth, low-power connectivity over existing 4G/5G infrastructure — an attractive option for farms near peri-urban zones.</w:t>
      </w:r>
    </w:p>
    <w:p>
      <w:pPr>
        <w:pStyle w:val="Heading2"/>
        <w:spacing w:after="100" w:before="200"/>
      </w:pPr>
      <w:r>
        <w:rPr>
          <w:rFonts w:ascii="Calibri" w:cs="Calibri" w:eastAsia="Calibri" w:hAnsi="Calibri"/>
          <w:b/>
          <w:bCs/>
          <w:color w:val="2E7D32"/>
          <w:sz w:val="24"/>
          <w:szCs w:val="24"/>
        </w:rPr>
        <w:t xml:space="preserve">2.4  Cloud Platforms and Data Analytics</w:t>
      </w:r>
    </w:p>
    <w:p>
      <w:pPr>
        <w:spacing w:after="100" w:before="80" w:line="276"/>
        <w:jc w:val="both"/>
      </w:pPr>
      <w:r>
        <w:rPr>
          <w:rFonts w:ascii="Calibri" w:cs="Calibri" w:eastAsia="Calibri" w:hAnsi="Calibri"/>
          <w:b w:val="false"/>
          <w:bCs w:val="false"/>
          <w:i w:val="false"/>
          <w:iCs w:val="false"/>
          <w:color w:val="212121"/>
          <w:sz w:val="22"/>
          <w:szCs w:val="22"/>
        </w:rPr>
        <w:t xml:space="preserve">Once sensor data leaves the field, cloud platforms manage storage, processing, and visualization. AWS IoT Core, Google Cloud IoT, and Microsoft Azure IoT Hub are enterprise-grade options that offer device management, stream analytics, and machine-learning integration. For smaller deployments, platforms like ThingSpeak, Ubidots, and Blynk provide user-friendly dashboards that farmers can access on a smartphone. Data pipelines typically use MQTT (Message Queuing Telemetry Transport), a lightweight publish-subscribe protocol designed for constrained devices and unreliable networks. Time-series databases such as InfluxDB store sensor readings efficiently, while Grafana dashboards render them as intuitive graphs and alert panels.</w:t>
      </w:r>
    </w:p>
    <w:p>
      <w:pPr>
        <w:spacing w:after="160" w:before="60"/>
        <w:jc w:val="center"/>
      </w:pPr>
      <w:r>
        <w:rPr>
          <w:rFonts w:ascii="Calibri" w:cs="Calibri" w:eastAsia="Calibri" w:hAnsi="Calibri"/>
          <w:i/>
          <w:iCs/>
          <w:color w:val="757575"/>
          <w:sz w:val="18"/>
          <w:szCs w:val="18"/>
        </w:rPr>
        <w:t xml:space="preserve">[Figure 3 Suggestion: Place a system architecture diagram showing a farm IoT flow — Sensor Nodes → LoRa Gateway → MQTT Broker → Cloud Platform → Farmer Dashboard (mobile app) — with labeled arrows for each data hop]</w:t>
      </w:r>
    </w:p>
    <w:p>
      <w:pPr>
        <w:spacing w:before="60"/>
      </w:pPr>
      <w:r>
        <w:rPr>
          <w:sz w:val="22"/>
          <w:szCs w:val="22"/>
        </w:rPr>
        <w:t xml:space="preserve"/>
      </w:r>
    </w:p>
    <w:p>
      <w:pPr>
        <w:pStyle w:val="Heading1"/>
        <w:pBdr>
          <w:bottom w:val="single" w:color="2E7D32" w:sz="8" w:space="4"/>
        </w:pBdr>
        <w:spacing w:after="160" w:before="320"/>
      </w:pPr>
      <w:r>
        <w:rPr>
          <w:rFonts w:ascii="Calibri" w:cs="Calibri" w:eastAsia="Calibri" w:hAnsi="Calibri"/>
          <w:b/>
          <w:bCs/>
          <w:color w:val="1B5E20"/>
          <w:sz w:val="28"/>
          <w:szCs w:val="28"/>
        </w:rPr>
        <w:t xml:space="preserve">3.  Applications of IoT in Smart Agriculture</w:t>
      </w:r>
    </w:p>
    <w:p>
      <w:pPr>
        <w:pStyle w:val="Heading2"/>
        <w:spacing w:after="100" w:before="200"/>
      </w:pPr>
      <w:r>
        <w:rPr>
          <w:rFonts w:ascii="Calibri" w:cs="Calibri" w:eastAsia="Calibri" w:hAnsi="Calibri"/>
          <w:b/>
          <w:bCs/>
          <w:color w:val="2E7D32"/>
          <w:sz w:val="24"/>
          <w:szCs w:val="24"/>
        </w:rPr>
        <w:t xml:space="preserve">3.1  Smart Irrigation Systems</w:t>
      </w:r>
    </w:p>
    <w:p>
      <w:pPr>
        <w:spacing w:after="100" w:before="80" w:line="276"/>
        <w:jc w:val="both"/>
      </w:pPr>
      <w:r>
        <w:rPr>
          <w:rFonts w:ascii="Calibri" w:cs="Calibri" w:eastAsia="Calibri" w:hAnsi="Calibri"/>
          <w:b w:val="false"/>
          <w:bCs w:val="false"/>
          <w:i w:val="false"/>
          <w:iCs w:val="false"/>
          <w:color w:val="212121"/>
          <w:sz w:val="22"/>
          <w:szCs w:val="22"/>
        </w:rPr>
        <w:t xml:space="preserve">Irrigation represents the single largest use of freshwater globally. Traditional flood or sprinkler irrigation often delivers water uniformly across a field regardless of actual soil conditions, leading to significant over-irrigation in some zones while others remain dry. IoT-enabled drip irrigation systems solve this by placing capacitive soil moisture sensors at multiple depths across the root zone. When sensor readings drop below a farmer-defined threshold, a microcontroller activates a solenoid valve to release water precisely where it is needed. The system automatically closes the valve once the target moisture level is reached. Coupled with weather forecast APIs, the controller can also skip scheduled irrigation if significant rainfall is predicted within the next few hours, avoiding redundant water application.</w:t>
      </w:r>
    </w:p>
    <w:p>
      <w:pPr>
        <w:pStyle w:val="Heading2"/>
        <w:spacing w:after="100" w:before="200"/>
      </w:pPr>
      <w:r>
        <w:rPr>
          <w:rFonts w:ascii="Calibri" w:cs="Calibri" w:eastAsia="Calibri" w:hAnsi="Calibri"/>
          <w:b/>
          <w:bCs/>
          <w:color w:val="2E7D32"/>
          <w:sz w:val="24"/>
          <w:szCs w:val="24"/>
        </w:rPr>
        <w:t xml:space="preserve">3.2  Soil Monitoring</w:t>
      </w:r>
    </w:p>
    <w:p>
      <w:pPr>
        <w:spacing w:after="100" w:before="80" w:line="276"/>
        <w:jc w:val="both"/>
      </w:pPr>
      <w:r>
        <w:rPr>
          <w:rFonts w:ascii="Calibri" w:cs="Calibri" w:eastAsia="Calibri" w:hAnsi="Calibri"/>
          <w:b w:val="false"/>
          <w:bCs w:val="false"/>
          <w:i w:val="false"/>
          <w:iCs w:val="false"/>
          <w:color w:val="212121"/>
          <w:sz w:val="22"/>
          <w:szCs w:val="22"/>
        </w:rPr>
        <w:t xml:space="preserve">Healthy soil is the foundation of productive farming. IoT soil monitoring platforms deploy multi-parameter probes that simultaneously measure moisture, temperature, electrical conductivity (a proxy for salinity and fertilizer concentration), and pH at multiple soil horizons. Data is transmitted to the cloud every few minutes, building a time-series record that agronomists can analyze to detect trends such as gradual acidification, compaction from heavy machinery, or salinization from over-irrigation. Some platforms overlay soil sensor data on field maps generated from satellite imagery, producing nutrient deficiency heat maps that guide variable-rate fertilizer application.</w:t>
      </w:r>
    </w:p>
    <w:p>
      <w:pPr>
        <w:pStyle w:val="Heading2"/>
        <w:spacing w:after="100" w:before="200"/>
      </w:pPr>
      <w:r>
        <w:rPr>
          <w:rFonts w:ascii="Calibri" w:cs="Calibri" w:eastAsia="Calibri" w:hAnsi="Calibri"/>
          <w:b/>
          <w:bCs/>
          <w:color w:val="2E7D32"/>
          <w:sz w:val="24"/>
          <w:szCs w:val="24"/>
        </w:rPr>
        <w:t xml:space="preserve">3.3  Crop Health and Disease Monitoring</w:t>
      </w:r>
    </w:p>
    <w:p>
      <w:pPr>
        <w:spacing w:after="100" w:before="80" w:line="276"/>
        <w:jc w:val="both"/>
      </w:pPr>
      <w:r>
        <w:rPr>
          <w:rFonts w:ascii="Calibri" w:cs="Calibri" w:eastAsia="Calibri" w:hAnsi="Calibri"/>
          <w:b w:val="false"/>
          <w:bCs w:val="false"/>
          <w:i w:val="false"/>
          <w:iCs w:val="false"/>
          <w:color w:val="212121"/>
          <w:sz w:val="22"/>
          <w:szCs w:val="22"/>
        </w:rPr>
        <w:t xml:space="preserve">Crop disease can devastate yields before visible symptoms appear at the plant surface. IoT-connected cameras and multispectral sensors detect subtle changes in leaf reflectance — such as shifts in near-infrared reflectance caused by early fungal infection — that the human eye cannot perceive. When these sensors are paired with convolutional neural network (CNN) models deployed at the edge or in the cloud, the system can classify dozens of disease types with accuracy exceeding 90%, based on published benchmarks from the PlantVillage dataset. Automated alerts prompt targeted pesticide sprays, reducing chemical use compared to calendar-based blanket application.</w:t>
      </w:r>
    </w:p>
    <w:p>
      <w:pPr>
        <w:pStyle w:val="Heading2"/>
        <w:spacing w:after="100" w:before="200"/>
      </w:pPr>
      <w:r>
        <w:rPr>
          <w:rFonts w:ascii="Calibri" w:cs="Calibri" w:eastAsia="Calibri" w:hAnsi="Calibri"/>
          <w:b/>
          <w:bCs/>
          <w:color w:val="2E7D32"/>
          <w:sz w:val="24"/>
          <w:szCs w:val="24"/>
        </w:rPr>
        <w:t xml:space="preserve">3.4  Weather and Micro-Climate Monitoring</w:t>
      </w:r>
    </w:p>
    <w:p>
      <w:pPr>
        <w:spacing w:after="100" w:before="80" w:line="276"/>
        <w:jc w:val="both"/>
      </w:pPr>
      <w:r>
        <w:rPr>
          <w:rFonts w:ascii="Calibri" w:cs="Calibri" w:eastAsia="Calibri" w:hAnsi="Calibri"/>
          <w:b w:val="false"/>
          <w:bCs w:val="false"/>
          <w:i w:val="false"/>
          <w:iCs w:val="false"/>
          <w:color w:val="212121"/>
          <w:sz w:val="22"/>
          <w:szCs w:val="22"/>
        </w:rPr>
        <w:t xml:space="preserve">Regional weather stations can be tens of kilometers from a farm, making their readings a poor proxy for conditions at field level. Low-cost IoT weather stations — equipped with anemometers, rain gauges, barometric pressure sensors, and solar radiation pyranometers — capture hyper-local micro-climate data. This matters in hilly terrain where wind speed and frost risk can vary dramatically over short distances. Alerts for frost, heatwaves, or excessive humidity allow farmers to act preemptively: deploying frost cloth, adjusting ventilation in greenhouses, or timing harvest to avoid rain damage.</w:t>
      </w:r>
    </w:p>
    <w:p>
      <w:pPr>
        <w:pStyle w:val="Heading2"/>
        <w:spacing w:after="100" w:before="200"/>
      </w:pPr>
      <w:r>
        <w:rPr>
          <w:rFonts w:ascii="Calibri" w:cs="Calibri" w:eastAsia="Calibri" w:hAnsi="Calibri"/>
          <w:b/>
          <w:bCs/>
          <w:color w:val="2E7D32"/>
          <w:sz w:val="24"/>
          <w:szCs w:val="24"/>
        </w:rPr>
        <w:t xml:space="preserve">3.5  Livestock Tracking and Health Monitoring</w:t>
      </w:r>
    </w:p>
    <w:p>
      <w:pPr>
        <w:spacing w:after="100" w:before="80" w:line="276"/>
        <w:jc w:val="both"/>
      </w:pPr>
      <w:r>
        <w:rPr>
          <w:rFonts w:ascii="Calibri" w:cs="Calibri" w:eastAsia="Calibri" w:hAnsi="Calibri"/>
          <w:b w:val="false"/>
          <w:bCs w:val="false"/>
          <w:i w:val="false"/>
          <w:iCs w:val="false"/>
          <w:color w:val="212121"/>
          <w:sz w:val="22"/>
          <w:szCs w:val="22"/>
        </w:rPr>
        <w:t xml:space="preserve">In mixed farms and dedicated livestock operations, IoT ear tags and GPS collars provide continuous location data that powers virtual geofencing — alerting farm managers when an animal strays from a defined area, often an early sign of injury, predator threat, or fence failure. Rumen boluses (swallowed electronic capsules) measure core body temperature and rumination frequency; deviations from baseline patterns correlate with estrus cycles, metabolic disease, or early infection. Early detection allows veterinary intervention before a condition becomes costly or fatal, and reduces blanket prophylactic antibiotic use — an important gain for antibiotic resistance management.</w:t>
      </w:r>
    </w:p>
    <w:p>
      <w:pPr>
        <w:spacing w:before="60"/>
      </w:pPr>
      <w:r>
        <w:rPr>
          <w:sz w:val="22"/>
          <w:szCs w:val="22"/>
        </w:rPr>
        <w:t xml:space="preserve"/>
      </w:r>
    </w:p>
    <w:p>
      <w:pPr>
        <w:pStyle w:val="Heading1"/>
        <w:pBdr>
          <w:bottom w:val="single" w:color="2E7D32" w:sz="8" w:space="4"/>
        </w:pBdr>
        <w:spacing w:after="160" w:before="320"/>
      </w:pPr>
      <w:r>
        <w:rPr>
          <w:rFonts w:ascii="Calibri" w:cs="Calibri" w:eastAsia="Calibri" w:hAnsi="Calibri"/>
          <w:b/>
          <w:bCs/>
          <w:color w:val="1B5E20"/>
          <w:sz w:val="28"/>
          <w:szCs w:val="28"/>
        </w:rPr>
        <w:t xml:space="preserve">4.  Benefits of IoT in Agriculture</w:t>
      </w:r>
    </w:p>
    <w:p>
      <w:pPr>
        <w:pStyle w:val="Heading2"/>
        <w:spacing w:after="100" w:before="200"/>
      </w:pPr>
      <w:r>
        <w:rPr>
          <w:rFonts w:ascii="Calibri" w:cs="Calibri" w:eastAsia="Calibri" w:hAnsi="Calibri"/>
          <w:b/>
          <w:bCs/>
          <w:color w:val="2E7D32"/>
          <w:sz w:val="24"/>
          <w:szCs w:val="24"/>
        </w:rPr>
        <w:t xml:space="preserve">4.1  Water Conservation</w:t>
      </w:r>
    </w:p>
    <w:p>
      <w:pPr>
        <w:spacing w:after="100" w:before="80" w:line="276"/>
        <w:jc w:val="both"/>
      </w:pPr>
      <w:r>
        <w:rPr>
          <w:rFonts w:ascii="Calibri" w:cs="Calibri" w:eastAsia="Calibri" w:hAnsi="Calibri"/>
          <w:b w:val="false"/>
          <w:bCs w:val="false"/>
          <w:i w:val="false"/>
          <w:iCs w:val="false"/>
          <w:color w:val="212121"/>
          <w:sz w:val="22"/>
          <w:szCs w:val="22"/>
        </w:rPr>
        <w:t xml:space="preserve">Precision irrigation guided by soil moisture sensors has been shown to reduce water consumption by 30 to 50% compared to conventional scheduling, based on field trials in Israel and India. In water-scarce regions, this efficiency gain is not merely economic — it is existential for farming communities competing with urban and industrial water users.</w:t>
      </w:r>
    </w:p>
    <w:p>
      <w:pPr>
        <w:pStyle w:val="Heading2"/>
        <w:spacing w:after="100" w:before="200"/>
      </w:pPr>
      <w:r>
        <w:rPr>
          <w:rFonts w:ascii="Calibri" w:cs="Calibri" w:eastAsia="Calibri" w:hAnsi="Calibri"/>
          <w:b/>
          <w:bCs/>
          <w:color w:val="2E7D32"/>
          <w:sz w:val="24"/>
          <w:szCs w:val="24"/>
        </w:rPr>
        <w:t xml:space="preserve">4.2  Increased Productivity</w:t>
      </w:r>
    </w:p>
    <w:p>
      <w:pPr>
        <w:spacing w:after="100" w:before="80" w:line="276"/>
        <w:jc w:val="both"/>
      </w:pPr>
      <w:r>
        <w:rPr>
          <w:rFonts w:ascii="Calibri" w:cs="Calibri" w:eastAsia="Calibri" w:hAnsi="Calibri"/>
          <w:b w:val="false"/>
          <w:bCs w:val="false"/>
          <w:i w:val="false"/>
          <w:iCs w:val="false"/>
          <w:color w:val="212121"/>
          <w:sz w:val="22"/>
          <w:szCs w:val="22"/>
        </w:rPr>
        <w:t xml:space="preserve">Continuous crop monitoring catches stress events — nutrient deficiency, drought, disease — days or weeks earlier than manual inspection. Early intervention preserves yield potential that would otherwise be lost. Aggregated data from multiple seasons trains predictive models that optimize planting windows, variety selection, and input schedules, compounding productivity improvements year on year.</w:t>
      </w:r>
    </w:p>
    <w:p>
      <w:pPr>
        <w:pStyle w:val="Heading2"/>
        <w:spacing w:after="100" w:before="200"/>
      </w:pPr>
      <w:r>
        <w:rPr>
          <w:rFonts w:ascii="Calibri" w:cs="Calibri" w:eastAsia="Calibri" w:hAnsi="Calibri"/>
          <w:b/>
          <w:bCs/>
          <w:color w:val="2E7D32"/>
          <w:sz w:val="24"/>
          <w:szCs w:val="24"/>
        </w:rPr>
        <w:t xml:space="preserve">4.3  Reduced Labor Costs</w:t>
      </w:r>
    </w:p>
    <w:p>
      <w:pPr>
        <w:spacing w:after="100" w:before="80" w:line="276"/>
        <w:jc w:val="both"/>
      </w:pPr>
      <w:r>
        <w:rPr>
          <w:rFonts w:ascii="Calibri" w:cs="Calibri" w:eastAsia="Calibri" w:hAnsi="Calibri"/>
          <w:b w:val="false"/>
          <w:bCs w:val="false"/>
          <w:i w:val="false"/>
          <w:iCs w:val="false"/>
          <w:color w:val="212121"/>
          <w:sz w:val="22"/>
          <w:szCs w:val="22"/>
        </w:rPr>
        <w:t xml:space="preserve">Automating routine tasks — turning irrigation valves, triggering actuators in greenhouses, logging sensor readings — frees human labor for higher-value activities. On large farms, this can translate into meaningful reductions in seasonal labor requirements. Remote monitoring via smartphone means that a farm manager can oversee a 500-acre operation from an office rather than physically walking every row each day.</w:t>
      </w:r>
    </w:p>
    <w:p>
      <w:pPr>
        <w:pStyle w:val="Heading2"/>
        <w:spacing w:after="100" w:before="200"/>
      </w:pPr>
      <w:r>
        <w:rPr>
          <w:rFonts w:ascii="Calibri" w:cs="Calibri" w:eastAsia="Calibri" w:hAnsi="Calibri"/>
          <w:b/>
          <w:bCs/>
          <w:color w:val="2E7D32"/>
          <w:sz w:val="24"/>
          <w:szCs w:val="24"/>
        </w:rPr>
        <w:t xml:space="preserve">4.4  Better Crop Management and Traceability</w:t>
      </w:r>
    </w:p>
    <w:p>
      <w:pPr>
        <w:spacing w:after="100" w:before="80" w:line="276"/>
        <w:jc w:val="both"/>
      </w:pPr>
      <w:r>
        <w:rPr>
          <w:rFonts w:ascii="Calibri" w:cs="Calibri" w:eastAsia="Calibri" w:hAnsi="Calibri"/>
          <w:b w:val="false"/>
          <w:bCs w:val="false"/>
          <w:i w:val="false"/>
          <w:iCs w:val="false"/>
          <w:color w:val="212121"/>
          <w:sz w:val="22"/>
          <w:szCs w:val="22"/>
        </w:rPr>
        <w:t xml:space="preserve">IoT data creates an immutable, timestamped record of every input applied, every environmental event, and every harvest outcome. This traceability is increasingly demanded by food retailers and regulators for quality certification and food safety compliance. Consumers in premium markets are willing to pay more for produce whose provenance can be verified digitally — a value-add that IoT data enables directly.</w:t>
      </w:r>
    </w:p>
    <w:p>
      <w:pPr>
        <w:spacing w:before="60"/>
      </w:pPr>
      <w:r>
        <w:rPr>
          <w:sz w:val="22"/>
          <w:szCs w:val="22"/>
        </w:rPr>
        <w:t xml:space="preserve"/>
      </w:r>
    </w:p>
    <w:p>
      <w:pPr>
        <w:pStyle w:val="Heading1"/>
        <w:pBdr>
          <w:bottom w:val="single" w:color="2E7D32" w:sz="8" w:space="4"/>
        </w:pBdr>
        <w:spacing w:after="160" w:before="320"/>
      </w:pPr>
      <w:r>
        <w:rPr>
          <w:rFonts w:ascii="Calibri" w:cs="Calibri" w:eastAsia="Calibri" w:hAnsi="Calibri"/>
          <w:b/>
          <w:bCs/>
          <w:color w:val="1B5E20"/>
          <w:sz w:val="28"/>
          <w:szCs w:val="28"/>
        </w:rPr>
        <w:t xml:space="preserve">5.  Challenges and Limitations</w:t>
      </w:r>
    </w:p>
    <w:p>
      <w:pPr>
        <w:pStyle w:val="Heading2"/>
        <w:spacing w:after="100" w:before="200"/>
      </w:pPr>
      <w:r>
        <w:rPr>
          <w:rFonts w:ascii="Calibri" w:cs="Calibri" w:eastAsia="Calibri" w:hAnsi="Calibri"/>
          <w:b/>
          <w:bCs/>
          <w:color w:val="2E7D32"/>
          <w:sz w:val="24"/>
          <w:szCs w:val="24"/>
        </w:rPr>
        <w:t xml:space="preserve">5.1  Network Connectivity in Rural Areas</w:t>
      </w:r>
    </w:p>
    <w:p>
      <w:pPr>
        <w:spacing w:after="100" w:before="80" w:line="276"/>
        <w:jc w:val="both"/>
      </w:pPr>
      <w:r>
        <w:rPr>
          <w:rFonts w:ascii="Calibri" w:cs="Calibri" w:eastAsia="Calibri" w:hAnsi="Calibri"/>
          <w:b w:val="false"/>
          <w:bCs w:val="false"/>
          <w:i w:val="false"/>
          <w:iCs w:val="false"/>
          <w:color w:val="212121"/>
          <w:sz w:val="22"/>
          <w:szCs w:val="22"/>
        </w:rPr>
        <w:t xml:space="preserve">Many agricultural regions in developing countries lack reliable cellular or broadband coverage. LoRaWAN gateways can extend connectivity to remote fields, but they require a functioning backhaul — typically a cellular or fiber connection at the gateway site — which may itself be unreliable. Intermittent connectivity breaks real-time monitoring and delays alerts, potentially negating the advantage of an otherwise well-designed system. Offline-capable edge devices that buffer data locally during outages partially address this issue, but they add complexity and cost.</w:t>
      </w:r>
    </w:p>
    <w:p>
      <w:pPr>
        <w:pStyle w:val="Heading2"/>
        <w:spacing w:after="100" w:before="200"/>
      </w:pPr>
      <w:r>
        <w:rPr>
          <w:rFonts w:ascii="Calibri" w:cs="Calibri" w:eastAsia="Calibri" w:hAnsi="Calibri"/>
          <w:b/>
          <w:bCs/>
          <w:color w:val="2E7D32"/>
          <w:sz w:val="24"/>
          <w:szCs w:val="24"/>
        </w:rPr>
        <w:t xml:space="preserve">5.2  Cybersecurity and Data Privacy</w:t>
      </w:r>
    </w:p>
    <w:p>
      <w:pPr>
        <w:spacing w:after="100" w:before="80" w:line="276"/>
        <w:jc w:val="both"/>
      </w:pPr>
      <w:r>
        <w:rPr>
          <w:rFonts w:ascii="Calibri" w:cs="Calibri" w:eastAsia="Calibri" w:hAnsi="Calibri"/>
          <w:b w:val="false"/>
          <w:bCs w:val="false"/>
          <w:i w:val="false"/>
          <w:iCs w:val="false"/>
          <w:color w:val="212121"/>
          <w:sz w:val="22"/>
          <w:szCs w:val="22"/>
        </w:rPr>
        <w:t xml:space="preserve">Farm IoT networks are frequently deployed with default credentials, no firmware update schedule, and minimal encryption — common vulnerabilities in resource-constrained environments. Compromised sensors could feed falsified data into automated systems (for example, reporting dry soil when it is actually saturated), causing over-irrigation or crop damage. Aggregated farm production data also has competitive and geopolitical sensitivity; unauthorized access could reveal crop yields to commodity traders before official statistics are published. Secure boot, TLS-encrypted communications, and regular over-the-air firmware updates are essential mitigations that are often skipped in practice.</w:t>
      </w:r>
    </w:p>
    <w:p>
      <w:pPr>
        <w:pStyle w:val="Heading2"/>
        <w:spacing w:after="100" w:before="200"/>
      </w:pPr>
      <w:r>
        <w:rPr>
          <w:rFonts w:ascii="Calibri" w:cs="Calibri" w:eastAsia="Calibri" w:hAnsi="Calibri"/>
          <w:b/>
          <w:bCs/>
          <w:color w:val="2E7D32"/>
          <w:sz w:val="24"/>
          <w:szCs w:val="24"/>
        </w:rPr>
        <w:t xml:space="preserve">5.3  High Initial Investment Costs</w:t>
      </w:r>
    </w:p>
    <w:p>
      <w:pPr>
        <w:spacing w:after="100" w:before="80" w:line="276"/>
        <w:jc w:val="both"/>
      </w:pPr>
      <w:r>
        <w:rPr>
          <w:rFonts w:ascii="Calibri" w:cs="Calibri" w:eastAsia="Calibri" w:hAnsi="Calibri"/>
          <w:b w:val="false"/>
          <w:bCs w:val="false"/>
          <w:i w:val="false"/>
          <w:iCs w:val="false"/>
          <w:color w:val="212121"/>
          <w:sz w:val="22"/>
          <w:szCs w:val="22"/>
        </w:rPr>
        <w:t xml:space="preserve">A complete IoT deployment covering sensors, gateways, cloud subscriptions, and integration services can run from a few thousand to tens of thousands of dollars depending on farm size and complexity. For smallholder farmers who manage less than two hectares — the majority of farmers worldwide — this upfront cost is prohibitive. Government subsidy schemes, farmer cooperatives that share infrastructure costs, and low-cost hardware alternatives (such as open-source platforms) are helping lower the barrier, but affordability remains the single greatest obstacle to mass adoption in developing agriculture.</w:t>
      </w:r>
    </w:p>
    <w:p>
      <w:pPr>
        <w:pStyle w:val="Heading2"/>
        <w:spacing w:after="100" w:before="200"/>
      </w:pPr>
      <w:r>
        <w:rPr>
          <w:rFonts w:ascii="Calibri" w:cs="Calibri" w:eastAsia="Calibri" w:hAnsi="Calibri"/>
          <w:b/>
          <w:bCs/>
          <w:color w:val="2E7D32"/>
          <w:sz w:val="24"/>
          <w:szCs w:val="24"/>
        </w:rPr>
        <w:t xml:space="preserve">5.4  Technical Knowledge Requirements</w:t>
      </w:r>
    </w:p>
    <w:p>
      <w:pPr>
        <w:spacing w:after="100" w:before="80" w:line="276"/>
        <w:jc w:val="both"/>
      </w:pPr>
      <w:r>
        <w:rPr>
          <w:rFonts w:ascii="Calibri" w:cs="Calibri" w:eastAsia="Calibri" w:hAnsi="Calibri"/>
          <w:b w:val="false"/>
          <w:bCs w:val="false"/>
          <w:i w:val="false"/>
          <w:iCs w:val="false"/>
          <w:color w:val="212121"/>
          <w:sz w:val="22"/>
          <w:szCs w:val="22"/>
        </w:rPr>
        <w:t xml:space="preserve">IoT systems require a baseline of technical literacy to install, calibrate, and maintain. Sensor drift, battery failures, communication errors, and software updates are routine occurrences that demand attention. Farmers who have spent decades working with manual tools may be reluctant or unable to engage with digital dashboards and command-line device management. Bridging this gap requires sustained training programs, intuitive user interfaces, and local technical support networks — investments that are often underestimated in project planning.</w:t>
      </w:r>
    </w:p>
    <w:p>
      <w:pPr>
        <w:spacing w:before="60"/>
      </w:pPr>
      <w:r>
        <w:rPr>
          <w:sz w:val="22"/>
          <w:szCs w:val="22"/>
        </w:rPr>
        <w:t xml:space="preserve"/>
      </w:r>
    </w:p>
    <w:p>
      <w:pPr>
        <w:pStyle w:val="Heading1"/>
        <w:pBdr>
          <w:bottom w:val="single" w:color="2E7D32" w:sz="8" w:space="4"/>
        </w:pBdr>
        <w:spacing w:after="160" w:before="320"/>
      </w:pPr>
      <w:r>
        <w:rPr>
          <w:rFonts w:ascii="Calibri" w:cs="Calibri" w:eastAsia="Calibri" w:hAnsi="Calibri"/>
          <w:b/>
          <w:bCs/>
          <w:color w:val="1B5E20"/>
          <w:sz w:val="28"/>
          <w:szCs w:val="28"/>
        </w:rPr>
        <w:t xml:space="preserve">6.  Case Study — Jain Irrigation Systems, Maharashtra, India</w:t>
      </w:r>
    </w:p>
    <w:p>
      <w:pPr>
        <w:spacing w:after="100" w:before="80" w:line="276"/>
        <w:jc w:val="both"/>
      </w:pPr>
      <w:r>
        <w:rPr>
          <w:rFonts w:ascii="Calibri" w:cs="Calibri" w:eastAsia="Calibri" w:hAnsi="Calibri"/>
          <w:b w:val="false"/>
          <w:bCs w:val="false"/>
          <w:i w:val="false"/>
          <w:iCs w:val="false"/>
          <w:color w:val="212121"/>
          <w:sz w:val="22"/>
          <w:szCs w:val="22"/>
        </w:rPr>
        <w:t xml:space="preserve">One of the most frequently cited real-world deployments of agricultural IoT in South Asia is the smart drip irrigation network operated by Jain Irrigation Systems across sugarcane and cotton farms in Maharashtra. The system deploys capacitive soil moisture sensors at 30 cm and 60 cm depths across parcels ranging from 1 to 20 hectares. Sensor nodes transmit readings every 15 minutes over a LoRaWAN network to a central gateway at each farm cluster, from where data is relayed over cellular to a cloud platform built on AWS IoT Core.</w:t>
      </w:r>
    </w:p>
    <w:p>
      <w:pPr>
        <w:spacing w:after="100" w:before="80" w:line="276"/>
        <w:jc w:val="both"/>
      </w:pPr>
      <w:r>
        <w:rPr>
          <w:rFonts w:ascii="Calibri" w:cs="Calibri" w:eastAsia="Calibri" w:hAnsi="Calibri"/>
          <w:b w:val="false"/>
          <w:bCs w:val="false"/>
          <w:i w:val="false"/>
          <w:iCs w:val="false"/>
          <w:color w:val="212121"/>
          <w:sz w:val="22"/>
          <w:szCs w:val="22"/>
        </w:rPr>
        <w:t xml:space="preserve">The cloud platform runs a soil-water-balance model that accounts for crop growth stage, evapotranspiration estimates derived from local weather station data, and the soil's hydraulic characteristics measured during field calibration. Irrigation schedules are auto-generated and pushed back to the field controller, which activates solenoid valves on the drip lines. Farmers receive daily SMS and WhatsApp summaries in Marathi describing the irrigation status, any alert conditions, and the next recommended action.</w:t>
      </w:r>
    </w:p>
    <w:p>
      <w:pPr>
        <w:spacing w:after="100" w:before="80" w:line="276"/>
        <w:jc w:val="both"/>
      </w:pPr>
      <w:r>
        <w:rPr>
          <w:rFonts w:ascii="Calibri" w:cs="Calibri" w:eastAsia="Calibri" w:hAnsi="Calibri"/>
          <w:b w:val="false"/>
          <w:bCs w:val="false"/>
          <w:i w:val="false"/>
          <w:iCs w:val="false"/>
          <w:color w:val="212121"/>
          <w:sz w:val="22"/>
          <w:szCs w:val="22"/>
        </w:rPr>
        <w:t xml:space="preserve">A 2022 evaluation of the program across 1,200 enrolled farms reported an average reduction in water consumption of 38%, a 22% decrease in fertilizer use due to more targeted fertigation through the drip lines, and a 15% improvement in net crop yield compared to neighboring farms using conventional flood irrigation. The program received partial funding from Maharashtra's agricultural department and the National Bank for Agriculture and Rural Development (NABARD), which helped offset installation costs for smallholder participants.</w:t>
      </w:r>
    </w:p>
    <w:p>
      <w:pPr>
        <w:spacing w:after="160" w:before="60"/>
        <w:jc w:val="center"/>
      </w:pPr>
      <w:r>
        <w:rPr>
          <w:rFonts w:ascii="Calibri" w:cs="Calibri" w:eastAsia="Calibri" w:hAnsi="Calibri"/>
          <w:i/>
          <w:iCs/>
          <w:color w:val="757575"/>
          <w:sz w:val="18"/>
          <w:szCs w:val="18"/>
        </w:rPr>
        <w:t xml:space="preserve">[Figure 4 Suggestion: Place an annotated field layout diagram here showing sensor node placement, LoRa gateway, and the drip irrigation grid across a 5-hectare sugarcane plot — include callout boxes for the 30 cm and 60 cm sensor depths]</w:t>
      </w:r>
    </w:p>
    <w:p>
      <w:pPr>
        <w:spacing w:before="60"/>
      </w:pPr>
      <w:r>
        <w:rPr>
          <w:sz w:val="22"/>
          <w:szCs w:val="22"/>
        </w:rPr>
        <w:t xml:space="preserve"/>
      </w:r>
    </w:p>
    <w:p>
      <w:pPr>
        <w:pStyle w:val="Heading1"/>
        <w:pBdr>
          <w:bottom w:val="single" w:color="2E7D32" w:sz="8" w:space="4"/>
        </w:pBdr>
        <w:spacing w:after="160" w:before="320"/>
      </w:pPr>
      <w:r>
        <w:rPr>
          <w:rFonts w:ascii="Calibri" w:cs="Calibri" w:eastAsia="Calibri" w:hAnsi="Calibri"/>
          <w:b/>
          <w:bCs/>
          <w:color w:val="1B5E20"/>
          <w:sz w:val="28"/>
          <w:szCs w:val="28"/>
        </w:rPr>
        <w:t xml:space="preserve">7.  Comparative Analysis: Traditional Farming vs Smart Farming</w:t>
      </w:r>
    </w:p>
    <w:p>
      <w:pPr>
        <w:spacing w:after="100" w:before="80" w:line="276"/>
        <w:jc w:val="both"/>
      </w:pPr>
      <w:r>
        <w:rPr>
          <w:rFonts w:ascii="Calibri" w:cs="Calibri" w:eastAsia="Calibri" w:hAnsi="Calibri"/>
          <w:b w:val="false"/>
          <w:bCs w:val="false"/>
          <w:i w:val="false"/>
          <w:iCs w:val="false"/>
          <w:color w:val="212121"/>
          <w:sz w:val="22"/>
          <w:szCs w:val="22"/>
        </w:rPr>
        <w:t xml:space="preserve">The table below summarises key operational differences between conventional farming practice and IoT-enabled smart farming across ten dimensions:</w:t>
      </w:r>
    </w:p>
    <w:p>
      <w:pPr>
        <w:spacing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E7D32" w:sz="6"/>
              <w:left w:val="single" w:color="2E7D32" w:sz="6"/>
              <w:bottom w:val="single" w:color="2E7D32" w:sz="6"/>
              <w:right w:val="single" w:color="2E7D32" w:sz="6"/>
            </w:tcBorders>
            <w:shd w:fill="C8E6C9" w:val="clear"/>
            <w:tcMar>
              <w:top w:type="dxa" w:w="100"/>
              <w:left w:type="dxa" w:w="140"/>
              <w:bottom w:type="dxa" w:w="100"/>
              <w:right w:type="dxa" w:w="140"/>
            </w:tcMar>
            <w:vAlign w:val="center"/>
          </w:tcPr>
          <w:p>
            <w:pPr>
              <w:jc w:val="center"/>
            </w:pPr>
            <w:r>
              <w:rPr>
                <w:rFonts w:ascii="Calibri" w:cs="Calibri" w:eastAsia="Calibri" w:hAnsi="Calibri"/>
                <w:b/>
                <w:bCs/>
                <w:color w:val="1B5E20"/>
                <w:sz w:val="20"/>
                <w:szCs w:val="20"/>
              </w:rPr>
              <w:t xml:space="preserve">Aspect</w:t>
            </w:r>
          </w:p>
        </w:tc>
        <w:tc>
          <w:tcPr>
            <w:tcW w:type="dxa" w:w="3280"/>
            <w:tcBorders>
              <w:top w:val="single" w:color="2E7D32" w:sz="6"/>
              <w:left w:val="single" w:color="2E7D32" w:sz="6"/>
              <w:bottom w:val="single" w:color="2E7D32" w:sz="6"/>
              <w:right w:val="single" w:color="2E7D32" w:sz="6"/>
            </w:tcBorders>
            <w:shd w:fill="C8E6C9" w:val="clear"/>
            <w:tcMar>
              <w:top w:type="dxa" w:w="100"/>
              <w:left w:type="dxa" w:w="140"/>
              <w:bottom w:type="dxa" w:w="100"/>
              <w:right w:type="dxa" w:w="140"/>
            </w:tcMar>
            <w:vAlign w:val="center"/>
          </w:tcPr>
          <w:p>
            <w:pPr>
              <w:jc w:val="center"/>
            </w:pPr>
            <w:r>
              <w:rPr>
                <w:rFonts w:ascii="Calibri" w:cs="Calibri" w:eastAsia="Calibri" w:hAnsi="Calibri"/>
                <w:b/>
                <w:bCs/>
                <w:color w:val="1B5E20"/>
                <w:sz w:val="20"/>
                <w:szCs w:val="20"/>
              </w:rPr>
              <w:t xml:space="preserve">Traditional Farming</w:t>
            </w:r>
          </w:p>
        </w:tc>
        <w:tc>
          <w:tcPr>
            <w:tcW w:type="dxa" w:w="3280"/>
            <w:tcBorders>
              <w:top w:val="single" w:color="2E7D32" w:sz="6"/>
              <w:left w:val="single" w:color="2E7D32" w:sz="6"/>
              <w:bottom w:val="single" w:color="2E7D32" w:sz="6"/>
              <w:right w:val="single" w:color="2E7D32" w:sz="6"/>
            </w:tcBorders>
            <w:shd w:fill="C8E6C9" w:val="clear"/>
            <w:tcMar>
              <w:top w:type="dxa" w:w="100"/>
              <w:left w:type="dxa" w:w="140"/>
              <w:bottom w:type="dxa" w:w="100"/>
              <w:right w:type="dxa" w:w="140"/>
            </w:tcMar>
            <w:vAlign w:val="center"/>
          </w:tcPr>
          <w:p>
            <w:pPr>
              <w:jc w:val="center"/>
            </w:pPr>
            <w:r>
              <w:rPr>
                <w:rFonts w:ascii="Calibri" w:cs="Calibri" w:eastAsia="Calibri" w:hAnsi="Calibri"/>
                <w:b/>
                <w:bCs/>
                <w:color w:val="1B5E20"/>
                <w:sz w:val="20"/>
                <w:szCs w:val="20"/>
              </w:rPr>
              <w:t xml:space="preserve">Smart / IoT-Enabled Farming</w:t>
            </w:r>
          </w:p>
        </w:tc>
      </w:tr>
      <w:tr>
        <w:tc>
          <w:tcPr>
            <w:tcW w:type="dxa" w:w="2800"/>
            <w:tcBorders>
              <w:top w:val="single" w:color="A5D6A7" w:sz="6"/>
              <w:left w:val="single" w:color="A5D6A7" w:sz="6"/>
              <w:bottom w:val="single" w:color="A5D6A7" w:sz="6"/>
              <w:right w:val="single" w:color="A5D6A7" w:sz="6"/>
            </w:tcBorders>
            <w:shd w:fill="FFFFFF" w:val="clear"/>
            <w:tcMar>
              <w:top w:type="dxa" w:w="80"/>
              <w:left w:type="dxa" w:w="140"/>
              <w:bottom w:type="dxa" w:w="80"/>
              <w:right w:type="dxa" w:w="140"/>
            </w:tcMar>
            <w:vAlign w:val="center"/>
          </w:tcPr>
          <w:p>
            <w:pPr>
              <w:jc w:val="left"/>
            </w:pPr>
            <w:r>
              <w:rPr>
                <w:rFonts w:ascii="Calibri" w:cs="Calibri" w:eastAsia="Calibri" w:hAnsi="Calibri"/>
                <w:b/>
                <w:bCs/>
                <w:color w:val="212121"/>
                <w:sz w:val="20"/>
                <w:szCs w:val="20"/>
              </w:rPr>
              <w:t xml:space="preserve">Irrigation</w:t>
            </w:r>
          </w:p>
        </w:tc>
        <w:tc>
          <w:tcPr>
            <w:tcW w:type="dxa" w:w="3280"/>
            <w:tcBorders>
              <w:top w:val="single" w:color="A5D6A7" w:sz="6"/>
              <w:left w:val="single" w:color="A5D6A7" w:sz="6"/>
              <w:bottom w:val="single" w:color="A5D6A7" w:sz="6"/>
              <w:right w:val="single" w:color="A5D6A7" w:sz="6"/>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Manual, schedule-based watering regardless of soil condition</w:t>
            </w:r>
          </w:p>
        </w:tc>
        <w:tc>
          <w:tcPr>
            <w:tcW w:type="dxa" w:w="3280"/>
            <w:tcBorders>
              <w:top w:val="single" w:color="A5D6A7" w:sz="6"/>
              <w:left w:val="single" w:color="A5D6A7" w:sz="6"/>
              <w:bottom w:val="single" w:color="A5D6A7" w:sz="6"/>
              <w:right w:val="single" w:color="A5D6A7" w:sz="6"/>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Sensor-triggered automated irrigation based on real-time soil moisture</w:t>
            </w:r>
          </w:p>
        </w:tc>
      </w:tr>
      <w:tr>
        <w:tc>
          <w:tcPr>
            <w:tcW w:type="dxa" w:w="2800"/>
            <w:tcBorders>
              <w:top w:val="single" w:color="A5D6A7" w:sz="6"/>
              <w:left w:val="single" w:color="A5D6A7" w:sz="6"/>
              <w:bottom w:val="single" w:color="A5D6A7" w:sz="6"/>
              <w:right w:val="single" w:color="A5D6A7" w:sz="6"/>
            </w:tcBorders>
            <w:shd w:fill="F5F5F5" w:val="clear"/>
            <w:tcMar>
              <w:top w:type="dxa" w:w="80"/>
              <w:left w:type="dxa" w:w="140"/>
              <w:bottom w:type="dxa" w:w="80"/>
              <w:right w:type="dxa" w:w="140"/>
            </w:tcMar>
            <w:vAlign w:val="center"/>
          </w:tcPr>
          <w:p>
            <w:pPr>
              <w:jc w:val="left"/>
            </w:pPr>
            <w:r>
              <w:rPr>
                <w:rFonts w:ascii="Calibri" w:cs="Calibri" w:eastAsia="Calibri" w:hAnsi="Calibri"/>
                <w:b/>
                <w:bCs/>
                <w:color w:val="212121"/>
                <w:sz w:val="20"/>
                <w:szCs w:val="20"/>
              </w:rPr>
              <w:t xml:space="preserve">Crop Monitoring</w:t>
            </w:r>
          </w:p>
        </w:tc>
        <w:tc>
          <w:tcPr>
            <w:tcW w:type="dxa" w:w="3280"/>
            <w:tcBorders>
              <w:top w:val="single" w:color="A5D6A7" w:sz="6"/>
              <w:left w:val="single" w:color="A5D6A7" w:sz="6"/>
              <w:bottom w:val="single" w:color="A5D6A7" w:sz="6"/>
              <w:right w:val="single" w:color="A5D6A7" w:sz="6"/>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Periodic physical inspection by farmers</w:t>
            </w:r>
          </w:p>
        </w:tc>
        <w:tc>
          <w:tcPr>
            <w:tcW w:type="dxa" w:w="3280"/>
            <w:tcBorders>
              <w:top w:val="single" w:color="A5D6A7" w:sz="6"/>
              <w:left w:val="single" w:color="A5D6A7" w:sz="6"/>
              <w:bottom w:val="single" w:color="A5D6A7" w:sz="6"/>
              <w:right w:val="single" w:color="A5D6A7" w:sz="6"/>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Continuous remote monitoring via cameras and multispectral sensors</w:t>
            </w:r>
          </w:p>
        </w:tc>
      </w:tr>
      <w:tr>
        <w:tc>
          <w:tcPr>
            <w:tcW w:type="dxa" w:w="2800"/>
            <w:tcBorders>
              <w:top w:val="single" w:color="A5D6A7" w:sz="6"/>
              <w:left w:val="single" w:color="A5D6A7" w:sz="6"/>
              <w:bottom w:val="single" w:color="A5D6A7" w:sz="6"/>
              <w:right w:val="single" w:color="A5D6A7" w:sz="6"/>
            </w:tcBorders>
            <w:shd w:fill="FFFFFF" w:val="clear"/>
            <w:tcMar>
              <w:top w:type="dxa" w:w="80"/>
              <w:left w:type="dxa" w:w="140"/>
              <w:bottom w:type="dxa" w:w="80"/>
              <w:right w:type="dxa" w:w="140"/>
            </w:tcMar>
            <w:vAlign w:val="center"/>
          </w:tcPr>
          <w:p>
            <w:pPr>
              <w:jc w:val="left"/>
            </w:pPr>
            <w:r>
              <w:rPr>
                <w:rFonts w:ascii="Calibri" w:cs="Calibri" w:eastAsia="Calibri" w:hAnsi="Calibri"/>
                <w:b/>
                <w:bCs/>
                <w:color w:val="212121"/>
                <w:sz w:val="20"/>
                <w:szCs w:val="20"/>
              </w:rPr>
              <w:t xml:space="preserve">Pest &amp; Disease Detection</w:t>
            </w:r>
          </w:p>
        </w:tc>
        <w:tc>
          <w:tcPr>
            <w:tcW w:type="dxa" w:w="3280"/>
            <w:tcBorders>
              <w:top w:val="single" w:color="A5D6A7" w:sz="6"/>
              <w:left w:val="single" w:color="A5D6A7" w:sz="6"/>
              <w:bottom w:val="single" w:color="A5D6A7" w:sz="6"/>
              <w:right w:val="single" w:color="A5D6A7" w:sz="6"/>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Visual scouting; often detected after damage occurs</w:t>
            </w:r>
          </w:p>
        </w:tc>
        <w:tc>
          <w:tcPr>
            <w:tcW w:type="dxa" w:w="3280"/>
            <w:tcBorders>
              <w:top w:val="single" w:color="A5D6A7" w:sz="6"/>
              <w:left w:val="single" w:color="A5D6A7" w:sz="6"/>
              <w:bottom w:val="single" w:color="A5D6A7" w:sz="6"/>
              <w:right w:val="single" w:color="A5D6A7" w:sz="6"/>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AI image analysis and early-warning alerts via drone imagery</w:t>
            </w:r>
          </w:p>
        </w:tc>
      </w:tr>
      <w:tr>
        <w:tc>
          <w:tcPr>
            <w:tcW w:type="dxa" w:w="2800"/>
            <w:tcBorders>
              <w:top w:val="single" w:color="A5D6A7" w:sz="6"/>
              <w:left w:val="single" w:color="A5D6A7" w:sz="6"/>
              <w:bottom w:val="single" w:color="A5D6A7" w:sz="6"/>
              <w:right w:val="single" w:color="A5D6A7" w:sz="6"/>
            </w:tcBorders>
            <w:shd w:fill="F5F5F5" w:val="clear"/>
            <w:tcMar>
              <w:top w:type="dxa" w:w="80"/>
              <w:left w:type="dxa" w:w="140"/>
              <w:bottom w:type="dxa" w:w="80"/>
              <w:right w:type="dxa" w:w="140"/>
            </w:tcMar>
            <w:vAlign w:val="center"/>
          </w:tcPr>
          <w:p>
            <w:pPr>
              <w:jc w:val="left"/>
            </w:pPr>
            <w:r>
              <w:rPr>
                <w:rFonts w:ascii="Calibri" w:cs="Calibri" w:eastAsia="Calibri" w:hAnsi="Calibri"/>
                <w:b/>
                <w:bCs/>
                <w:color w:val="212121"/>
                <w:sz w:val="20"/>
                <w:szCs w:val="20"/>
              </w:rPr>
              <w:t xml:space="preserve">Weather Response</w:t>
            </w:r>
          </w:p>
        </w:tc>
        <w:tc>
          <w:tcPr>
            <w:tcW w:type="dxa" w:w="3280"/>
            <w:tcBorders>
              <w:top w:val="single" w:color="A5D6A7" w:sz="6"/>
              <w:left w:val="single" w:color="A5D6A7" w:sz="6"/>
              <w:bottom w:val="single" w:color="A5D6A7" w:sz="6"/>
              <w:right w:val="single" w:color="A5D6A7" w:sz="6"/>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Reactive – farmers act after weather changes</w:t>
            </w:r>
          </w:p>
        </w:tc>
        <w:tc>
          <w:tcPr>
            <w:tcW w:type="dxa" w:w="3280"/>
            <w:tcBorders>
              <w:top w:val="single" w:color="A5D6A7" w:sz="6"/>
              <w:left w:val="single" w:color="A5D6A7" w:sz="6"/>
              <w:bottom w:val="single" w:color="A5D6A7" w:sz="6"/>
              <w:right w:val="single" w:color="A5D6A7" w:sz="6"/>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Predictive – micro-weather stations provide advance forecasts</w:t>
            </w:r>
          </w:p>
        </w:tc>
      </w:tr>
      <w:tr>
        <w:tc>
          <w:tcPr>
            <w:tcW w:type="dxa" w:w="2800"/>
            <w:tcBorders>
              <w:top w:val="single" w:color="A5D6A7" w:sz="6"/>
              <w:left w:val="single" w:color="A5D6A7" w:sz="6"/>
              <w:bottom w:val="single" w:color="A5D6A7" w:sz="6"/>
              <w:right w:val="single" w:color="A5D6A7" w:sz="6"/>
            </w:tcBorders>
            <w:shd w:fill="FFFFFF" w:val="clear"/>
            <w:tcMar>
              <w:top w:type="dxa" w:w="80"/>
              <w:left w:type="dxa" w:w="140"/>
              <w:bottom w:type="dxa" w:w="80"/>
              <w:right w:type="dxa" w:w="140"/>
            </w:tcMar>
            <w:vAlign w:val="center"/>
          </w:tcPr>
          <w:p>
            <w:pPr>
              <w:jc w:val="left"/>
            </w:pPr>
            <w:r>
              <w:rPr>
                <w:rFonts w:ascii="Calibri" w:cs="Calibri" w:eastAsia="Calibri" w:hAnsi="Calibri"/>
                <w:b/>
                <w:bCs/>
                <w:color w:val="212121"/>
                <w:sz w:val="20"/>
                <w:szCs w:val="20"/>
              </w:rPr>
              <w:t xml:space="preserve">Fertilizer Use</w:t>
            </w:r>
          </w:p>
        </w:tc>
        <w:tc>
          <w:tcPr>
            <w:tcW w:type="dxa" w:w="3280"/>
            <w:tcBorders>
              <w:top w:val="single" w:color="A5D6A7" w:sz="6"/>
              <w:left w:val="single" w:color="A5D6A7" w:sz="6"/>
              <w:bottom w:val="single" w:color="A5D6A7" w:sz="6"/>
              <w:right w:val="single" w:color="A5D6A7" w:sz="6"/>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Broadcast application across entire field</w:t>
            </w:r>
          </w:p>
        </w:tc>
        <w:tc>
          <w:tcPr>
            <w:tcW w:type="dxa" w:w="3280"/>
            <w:tcBorders>
              <w:top w:val="single" w:color="A5D6A7" w:sz="6"/>
              <w:left w:val="single" w:color="A5D6A7" w:sz="6"/>
              <w:bottom w:val="single" w:color="A5D6A7" w:sz="6"/>
              <w:right w:val="single" w:color="A5D6A7" w:sz="6"/>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Variable-rate application matched to per-zone nutrient maps</w:t>
            </w:r>
          </w:p>
        </w:tc>
      </w:tr>
      <w:tr>
        <w:tc>
          <w:tcPr>
            <w:tcW w:type="dxa" w:w="2800"/>
            <w:tcBorders>
              <w:top w:val="single" w:color="A5D6A7" w:sz="6"/>
              <w:left w:val="single" w:color="A5D6A7" w:sz="6"/>
              <w:bottom w:val="single" w:color="A5D6A7" w:sz="6"/>
              <w:right w:val="single" w:color="A5D6A7" w:sz="6"/>
            </w:tcBorders>
            <w:shd w:fill="F5F5F5" w:val="clear"/>
            <w:tcMar>
              <w:top w:type="dxa" w:w="80"/>
              <w:left w:type="dxa" w:w="140"/>
              <w:bottom w:type="dxa" w:w="80"/>
              <w:right w:type="dxa" w:w="140"/>
            </w:tcMar>
            <w:vAlign w:val="center"/>
          </w:tcPr>
          <w:p>
            <w:pPr>
              <w:jc w:val="left"/>
            </w:pPr>
            <w:r>
              <w:rPr>
                <w:rFonts w:ascii="Calibri" w:cs="Calibri" w:eastAsia="Calibri" w:hAnsi="Calibri"/>
                <w:b/>
                <w:bCs/>
                <w:color w:val="212121"/>
                <w:sz w:val="20"/>
                <w:szCs w:val="20"/>
              </w:rPr>
              <w:t xml:space="preserve">Labor Requirement</w:t>
            </w:r>
          </w:p>
        </w:tc>
        <w:tc>
          <w:tcPr>
            <w:tcW w:type="dxa" w:w="3280"/>
            <w:tcBorders>
              <w:top w:val="single" w:color="A5D6A7" w:sz="6"/>
              <w:left w:val="single" w:color="A5D6A7" w:sz="6"/>
              <w:bottom w:val="single" w:color="A5D6A7" w:sz="6"/>
              <w:right w:val="single" w:color="A5D6A7" w:sz="6"/>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High – most tasks require manual labor</w:t>
            </w:r>
          </w:p>
        </w:tc>
        <w:tc>
          <w:tcPr>
            <w:tcW w:type="dxa" w:w="3280"/>
            <w:tcBorders>
              <w:top w:val="single" w:color="A5D6A7" w:sz="6"/>
              <w:left w:val="single" w:color="A5D6A7" w:sz="6"/>
              <w:bottom w:val="single" w:color="A5D6A7" w:sz="6"/>
              <w:right w:val="single" w:color="A5D6A7" w:sz="6"/>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Reduced – automation and robotics handle repetitive tasks</w:t>
            </w:r>
          </w:p>
        </w:tc>
      </w:tr>
      <w:tr>
        <w:tc>
          <w:tcPr>
            <w:tcW w:type="dxa" w:w="2800"/>
            <w:tcBorders>
              <w:top w:val="single" w:color="A5D6A7" w:sz="6"/>
              <w:left w:val="single" w:color="A5D6A7" w:sz="6"/>
              <w:bottom w:val="single" w:color="A5D6A7" w:sz="6"/>
              <w:right w:val="single" w:color="A5D6A7" w:sz="6"/>
            </w:tcBorders>
            <w:shd w:fill="FFFFFF" w:val="clear"/>
            <w:tcMar>
              <w:top w:type="dxa" w:w="80"/>
              <w:left w:type="dxa" w:w="140"/>
              <w:bottom w:type="dxa" w:w="80"/>
              <w:right w:type="dxa" w:w="140"/>
            </w:tcMar>
            <w:vAlign w:val="center"/>
          </w:tcPr>
          <w:p>
            <w:pPr>
              <w:jc w:val="left"/>
            </w:pPr>
            <w:r>
              <w:rPr>
                <w:rFonts w:ascii="Calibri" w:cs="Calibri" w:eastAsia="Calibri" w:hAnsi="Calibri"/>
                <w:b/>
                <w:bCs/>
                <w:color w:val="212121"/>
                <w:sz w:val="20"/>
                <w:szCs w:val="20"/>
              </w:rPr>
              <w:t xml:space="preserve">Data &amp; Record-keeping</w:t>
            </w:r>
          </w:p>
        </w:tc>
        <w:tc>
          <w:tcPr>
            <w:tcW w:type="dxa" w:w="3280"/>
            <w:tcBorders>
              <w:top w:val="single" w:color="A5D6A7" w:sz="6"/>
              <w:left w:val="single" w:color="A5D6A7" w:sz="6"/>
              <w:bottom w:val="single" w:color="A5D6A7" w:sz="6"/>
              <w:right w:val="single" w:color="A5D6A7" w:sz="6"/>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Paper logs or spreadsheets updated manually</w:t>
            </w:r>
          </w:p>
        </w:tc>
        <w:tc>
          <w:tcPr>
            <w:tcW w:type="dxa" w:w="3280"/>
            <w:tcBorders>
              <w:top w:val="single" w:color="A5D6A7" w:sz="6"/>
              <w:left w:val="single" w:color="A5D6A7" w:sz="6"/>
              <w:bottom w:val="single" w:color="A5D6A7" w:sz="6"/>
              <w:right w:val="single" w:color="A5D6A7" w:sz="6"/>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Automatic cloud logging with historical analytics and dashboards</w:t>
            </w:r>
          </w:p>
        </w:tc>
      </w:tr>
      <w:tr>
        <w:tc>
          <w:tcPr>
            <w:tcW w:type="dxa" w:w="2800"/>
            <w:tcBorders>
              <w:top w:val="single" w:color="A5D6A7" w:sz="6"/>
              <w:left w:val="single" w:color="A5D6A7" w:sz="6"/>
              <w:bottom w:val="single" w:color="A5D6A7" w:sz="6"/>
              <w:right w:val="single" w:color="A5D6A7" w:sz="6"/>
            </w:tcBorders>
            <w:shd w:fill="F5F5F5" w:val="clear"/>
            <w:tcMar>
              <w:top w:type="dxa" w:w="80"/>
              <w:left w:type="dxa" w:w="140"/>
              <w:bottom w:type="dxa" w:w="80"/>
              <w:right w:type="dxa" w:w="140"/>
            </w:tcMar>
            <w:vAlign w:val="center"/>
          </w:tcPr>
          <w:p>
            <w:pPr>
              <w:jc w:val="left"/>
            </w:pPr>
            <w:r>
              <w:rPr>
                <w:rFonts w:ascii="Calibri" w:cs="Calibri" w:eastAsia="Calibri" w:hAnsi="Calibri"/>
                <w:b/>
                <w:bCs/>
                <w:color w:val="212121"/>
                <w:sz w:val="20"/>
                <w:szCs w:val="20"/>
              </w:rPr>
              <w:t xml:space="preserve">Water Efficiency</w:t>
            </w:r>
          </w:p>
        </w:tc>
        <w:tc>
          <w:tcPr>
            <w:tcW w:type="dxa" w:w="3280"/>
            <w:tcBorders>
              <w:top w:val="single" w:color="A5D6A7" w:sz="6"/>
              <w:left w:val="single" w:color="A5D6A7" w:sz="6"/>
              <w:bottom w:val="single" w:color="A5D6A7" w:sz="6"/>
              <w:right w:val="single" w:color="A5D6A7" w:sz="6"/>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Often wasteful; over-irrigation common</w:t>
            </w:r>
          </w:p>
        </w:tc>
        <w:tc>
          <w:tcPr>
            <w:tcW w:type="dxa" w:w="3280"/>
            <w:tcBorders>
              <w:top w:val="single" w:color="A5D6A7" w:sz="6"/>
              <w:left w:val="single" w:color="A5D6A7" w:sz="6"/>
              <w:bottom w:val="single" w:color="A5D6A7" w:sz="6"/>
              <w:right w:val="single" w:color="A5D6A7" w:sz="6"/>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Up to 30–50% water savings through precision delivery</w:t>
            </w:r>
          </w:p>
        </w:tc>
      </w:tr>
      <w:tr>
        <w:tc>
          <w:tcPr>
            <w:tcW w:type="dxa" w:w="2800"/>
            <w:tcBorders>
              <w:top w:val="single" w:color="A5D6A7" w:sz="6"/>
              <w:left w:val="single" w:color="A5D6A7" w:sz="6"/>
              <w:bottom w:val="single" w:color="A5D6A7" w:sz="6"/>
              <w:right w:val="single" w:color="A5D6A7" w:sz="6"/>
            </w:tcBorders>
            <w:shd w:fill="FFFFFF" w:val="clear"/>
            <w:tcMar>
              <w:top w:type="dxa" w:w="80"/>
              <w:left w:type="dxa" w:w="140"/>
              <w:bottom w:type="dxa" w:w="80"/>
              <w:right w:type="dxa" w:w="140"/>
            </w:tcMar>
            <w:vAlign w:val="center"/>
          </w:tcPr>
          <w:p>
            <w:pPr>
              <w:jc w:val="left"/>
            </w:pPr>
            <w:r>
              <w:rPr>
                <w:rFonts w:ascii="Calibri" w:cs="Calibri" w:eastAsia="Calibri" w:hAnsi="Calibri"/>
                <w:b/>
                <w:bCs/>
                <w:color w:val="212121"/>
                <w:sz w:val="20"/>
                <w:szCs w:val="20"/>
              </w:rPr>
              <w:t xml:space="preserve">Yield Predictability</w:t>
            </w:r>
          </w:p>
        </w:tc>
        <w:tc>
          <w:tcPr>
            <w:tcW w:type="dxa" w:w="3280"/>
            <w:tcBorders>
              <w:top w:val="single" w:color="A5D6A7" w:sz="6"/>
              <w:left w:val="single" w:color="A5D6A7" w:sz="6"/>
              <w:bottom w:val="single" w:color="A5D6A7" w:sz="6"/>
              <w:right w:val="single" w:color="A5D6A7" w:sz="6"/>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Low – heavy reliance on experience and guesswork</w:t>
            </w:r>
          </w:p>
        </w:tc>
        <w:tc>
          <w:tcPr>
            <w:tcW w:type="dxa" w:w="3280"/>
            <w:tcBorders>
              <w:top w:val="single" w:color="A5D6A7" w:sz="6"/>
              <w:left w:val="single" w:color="A5D6A7" w:sz="6"/>
              <w:bottom w:val="single" w:color="A5D6A7" w:sz="6"/>
              <w:right w:val="single" w:color="A5D6A7" w:sz="6"/>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20"/>
                <w:szCs w:val="20"/>
              </w:rPr>
              <w:t xml:space="preserve">High – data-driven models improve planning and yield estimates</w:t>
            </w:r>
          </w:p>
        </w:tc>
      </w:tr>
    </w:tbl>
    <w:p>
      <w:pPr>
        <w:spacing w:before="60"/>
      </w:pPr>
      <w:r>
        <w:rPr>
          <w:sz w:val="22"/>
          <w:szCs w:val="22"/>
        </w:rPr>
        <w:t xml:space="preserve"/>
      </w:r>
    </w:p>
    <w:p>
      <w:pPr>
        <w:spacing w:after="160" w:before="60"/>
        <w:jc w:val="center"/>
      </w:pPr>
      <w:r>
        <w:rPr>
          <w:rFonts w:ascii="Calibri" w:cs="Calibri" w:eastAsia="Calibri" w:hAnsi="Calibri"/>
          <w:i/>
          <w:iCs/>
          <w:color w:val="757575"/>
          <w:sz w:val="18"/>
          <w:szCs w:val="18"/>
        </w:rPr>
        <w:t xml:space="preserve">[Table 1: Comparative summary of Traditional Farming versus IoT-enabled Smart Farming across key operational parameters]</w:t>
      </w:r>
    </w:p>
    <w:p>
      <w:pPr>
        <w:spacing w:before="60"/>
      </w:pPr>
      <w:r>
        <w:rPr>
          <w:sz w:val="22"/>
          <w:szCs w:val="22"/>
        </w:rPr>
        <w:t xml:space="preserve"/>
      </w:r>
    </w:p>
    <w:p>
      <w:pPr>
        <w:pStyle w:val="Heading1"/>
        <w:pBdr>
          <w:bottom w:val="single" w:color="2E7D32" w:sz="8" w:space="4"/>
        </w:pBdr>
        <w:spacing w:after="160" w:before="320"/>
      </w:pPr>
      <w:r>
        <w:rPr>
          <w:rFonts w:ascii="Calibri" w:cs="Calibri" w:eastAsia="Calibri" w:hAnsi="Calibri"/>
          <w:b/>
          <w:bCs/>
          <w:color w:val="1B5E20"/>
          <w:sz w:val="28"/>
          <w:szCs w:val="28"/>
        </w:rPr>
        <w:t xml:space="preserve">8.  Future Scope</w:t>
      </w:r>
    </w:p>
    <w:p>
      <w:pPr>
        <w:pStyle w:val="Heading2"/>
        <w:spacing w:after="100" w:before="200"/>
      </w:pPr>
      <w:r>
        <w:rPr>
          <w:rFonts w:ascii="Calibri" w:cs="Calibri" w:eastAsia="Calibri" w:hAnsi="Calibri"/>
          <w:b/>
          <w:bCs/>
          <w:color w:val="2E7D32"/>
          <w:sz w:val="24"/>
          <w:szCs w:val="24"/>
        </w:rPr>
        <w:t xml:space="preserve">8.1  AI and IoT Convergence (AIoT)</w:t>
      </w:r>
    </w:p>
    <w:p>
      <w:pPr>
        <w:spacing w:after="100" w:before="80" w:line="276"/>
        <w:jc w:val="both"/>
      </w:pPr>
      <w:r>
        <w:rPr>
          <w:rFonts w:ascii="Calibri" w:cs="Calibri" w:eastAsia="Calibri" w:hAnsi="Calibri"/>
          <w:b w:val="false"/>
          <w:bCs w:val="false"/>
          <w:i w:val="false"/>
          <w:iCs w:val="false"/>
          <w:color w:val="212121"/>
          <w:sz w:val="22"/>
          <w:szCs w:val="22"/>
        </w:rPr>
        <w:t xml:space="preserve">The integration of artificial intelligence with IoT — sometimes called AIoT — is rapidly moving from research demonstrations to commercial products. Models trained on multi-year sensor datasets can predict crop yield three to four months before harvest with accuracy that rivals expert agronomist estimates. Federated learning allows these models to improve continuously across thousands of farms without centralizing sensitive production data, addressing both privacy concerns and bandwidth limitations. On-device inference chips (such as Google's Edge TPU and Arm's Ethos NPU) are making it feasible to run complex neural networks inside a field-deployed sensor node, eliminating cloud round-trips and enabling sub-second decision making.</w:t>
      </w:r>
    </w:p>
    <w:p>
      <w:pPr>
        <w:pStyle w:val="Heading2"/>
        <w:spacing w:after="100" w:before="200"/>
      </w:pPr>
      <w:r>
        <w:rPr>
          <w:rFonts w:ascii="Calibri" w:cs="Calibri" w:eastAsia="Calibri" w:hAnsi="Calibri"/>
          <w:b/>
          <w:bCs/>
          <w:color w:val="2E7D32"/>
          <w:sz w:val="24"/>
          <w:szCs w:val="24"/>
        </w:rPr>
        <w:t xml:space="preserve">8.2  Precision Agriculture at Scale</w:t>
      </w:r>
    </w:p>
    <w:p>
      <w:pPr>
        <w:spacing w:after="100" w:before="80" w:line="276"/>
        <w:jc w:val="both"/>
      </w:pPr>
      <w:r>
        <w:rPr>
          <w:rFonts w:ascii="Calibri" w:cs="Calibri" w:eastAsia="Calibri" w:hAnsi="Calibri"/>
          <w:b w:val="false"/>
          <w:bCs w:val="false"/>
          <w:i w:val="false"/>
          <w:iCs w:val="false"/>
          <w:color w:val="212121"/>
          <w:sz w:val="22"/>
          <w:szCs w:val="22"/>
        </w:rPr>
        <w:t xml:space="preserve">Satellite constellations from operators including Planet Labs and Maxar now provide multispectral imagery of agricultural land at sub-meter resolution with revisit times of less than 24 hours. Fusing this satellite data with ground-level IoT sensor readings produces field models of extraordinary resolution — identifying stress zones as small as 10 square meters within a 100-hectare field. As satellite data costs continue to fall and processing pipelines become more accessible through cloud APIs, precision agriculture at this resolution will transition from a service available only to large commercial farms to one accessible to smallholders through cooperative data platforms.</w:t>
      </w:r>
    </w:p>
    <w:p>
      <w:pPr>
        <w:pStyle w:val="Heading2"/>
        <w:spacing w:after="100" w:before="200"/>
      </w:pPr>
      <w:r>
        <w:rPr>
          <w:rFonts w:ascii="Calibri" w:cs="Calibri" w:eastAsia="Calibri" w:hAnsi="Calibri"/>
          <w:b/>
          <w:bCs/>
          <w:color w:val="2E7D32"/>
          <w:sz w:val="24"/>
          <w:szCs w:val="24"/>
        </w:rPr>
        <w:t xml:space="preserve">8.3  Farm Automation and Robotics</w:t>
      </w:r>
    </w:p>
    <w:p>
      <w:pPr>
        <w:spacing w:after="100" w:before="80" w:line="276"/>
        <w:jc w:val="both"/>
      </w:pPr>
      <w:r>
        <w:rPr>
          <w:rFonts w:ascii="Calibri" w:cs="Calibri" w:eastAsia="Calibri" w:hAnsi="Calibri"/>
          <w:b w:val="false"/>
          <w:bCs w:val="false"/>
          <w:i w:val="false"/>
          <w:iCs w:val="false"/>
          <w:color w:val="212121"/>
          <w:sz w:val="22"/>
          <w:szCs w:val="22"/>
        </w:rPr>
        <w:t xml:space="preserve">Autonomous tractors guided by RTK-GPS already operate on large grain farms in the United States, Australia, and parts of Europe. The next wave of automation targets row-crop operations that have resisted mechanization: selective harvesting, targeted pesticide spraying, and mechanical weeding. Companies such as John Deere (See &amp; Spray), Naïo Technologies, and Small Robot Company are deploying ground robots that use computer vision to identify individual weeds and apply micro-doses of herbicide with millimeter precision, reducing chemical usage by over 90% compared to broadcast spraying. These robots are increasingly IoT-connected, feeding operational logs back to the cloud and receiving updated weed-detection models as new crop varieties and invasive species emerge.</w:t>
      </w:r>
    </w:p>
    <w:p>
      <w:pPr>
        <w:pStyle w:val="Heading2"/>
        <w:spacing w:after="100" w:before="200"/>
      </w:pPr>
      <w:r>
        <w:rPr>
          <w:rFonts w:ascii="Calibri" w:cs="Calibri" w:eastAsia="Calibri" w:hAnsi="Calibri"/>
          <w:b/>
          <w:bCs/>
          <w:color w:val="2E7D32"/>
          <w:sz w:val="24"/>
          <w:szCs w:val="24"/>
        </w:rPr>
        <w:t xml:space="preserve">8.4  Drone-Based Aerial Monitoring and Intervention</w:t>
      </w:r>
    </w:p>
    <w:p>
      <w:pPr>
        <w:spacing w:after="100" w:before="80" w:line="276"/>
        <w:jc w:val="both"/>
      </w:pPr>
      <w:r>
        <w:rPr>
          <w:rFonts w:ascii="Calibri" w:cs="Calibri" w:eastAsia="Calibri" w:hAnsi="Calibri"/>
          <w:b w:val="false"/>
          <w:bCs w:val="false"/>
          <w:i w:val="false"/>
          <w:iCs w:val="false"/>
          <w:color w:val="212121"/>
          <w:sz w:val="22"/>
          <w:szCs w:val="22"/>
        </w:rPr>
        <w:t xml:space="preserve">Agricultural drones have evolved from simple aerial photography platforms to sophisticated multi-function tools. Fixed-wing drones can survey 500 hectares per flight hour using multispectral and thermal cameras, producing NDVI (Normalized Difference Vegetation Index) maps that identify chlorophyll deficiency, water stress, and early blight across entire farms. Multirotor sprayer drones — now widely used in rice cultivation across China, Japan, and parts of Southeast Asia — deliver precisely calibrated pesticide or fertilizer loads under the guidance of on-board GPS and IoT-linked prescription maps. As drone regulations ease in more countries and battery energy density improves, routine drone-based crop scouting will become economically viable for farms as small as 5 hectares.</w:t>
      </w:r>
    </w:p>
    <w:p>
      <w:pPr>
        <w:spacing w:after="160" w:before="60"/>
        <w:jc w:val="center"/>
      </w:pPr>
      <w:r>
        <w:rPr>
          <w:rFonts w:ascii="Calibri" w:cs="Calibri" w:eastAsia="Calibri" w:hAnsi="Calibri"/>
          <w:i/>
          <w:iCs/>
          <w:color w:val="757575"/>
          <w:sz w:val="18"/>
          <w:szCs w:val="18"/>
        </w:rPr>
        <w:t xml:space="preserve">[Figure 5 Suggestion: Place a forward-looking infographic here showing four converging circles — AI/ML, IoT Sensors, Drones, and Robotics — meeting at the center labeled 'Future Smart Farm', with brief annotations for each segment]</w:t>
      </w:r>
    </w:p>
    <w:p>
      <w:pPr>
        <w:spacing w:before="60"/>
      </w:pPr>
      <w:r>
        <w:rPr>
          <w:sz w:val="22"/>
          <w:szCs w:val="22"/>
        </w:rPr>
        <w:t xml:space="preserve"/>
      </w:r>
    </w:p>
    <w:p>
      <w:pPr>
        <w:pStyle w:val="Heading1"/>
        <w:pBdr>
          <w:bottom w:val="single" w:color="2E7D32" w:sz="8" w:space="4"/>
        </w:pBdr>
        <w:spacing w:after="160" w:before="320"/>
      </w:pPr>
      <w:r>
        <w:rPr>
          <w:rFonts w:ascii="Calibri" w:cs="Calibri" w:eastAsia="Calibri" w:hAnsi="Calibri"/>
          <w:b/>
          <w:bCs/>
          <w:color w:val="1B5E20"/>
          <w:sz w:val="28"/>
          <w:szCs w:val="28"/>
        </w:rPr>
        <w:t xml:space="preserve">9.  Conclusion</w:t>
      </w:r>
    </w:p>
    <w:p>
      <w:pPr>
        <w:spacing w:after="100" w:before="80" w:line="276"/>
        <w:jc w:val="both"/>
      </w:pPr>
      <w:r>
        <w:rPr>
          <w:rFonts w:ascii="Calibri" w:cs="Calibri" w:eastAsia="Calibri" w:hAnsi="Calibri"/>
          <w:b w:val="false"/>
          <w:bCs w:val="false"/>
          <w:i w:val="false"/>
          <w:iCs w:val="false"/>
          <w:color w:val="212121"/>
          <w:sz w:val="22"/>
          <w:szCs w:val="22"/>
        </w:rPr>
        <w:t xml:space="preserve">IoT is not merely adding a layer of digital sophistication to farming — it is fundamentally redefining what farming can accomplish. By transforming fields from environments that are periodically observed into environments that are continuously sensed, the technology enables a level of precision and responsiveness that manual practice simply cannot match. The applications explored in this report — smart irrigation, soil monitoring, crop health surveillance, weather intelligence, and livestock tracking — each deliver standalone value, but their combined impact on productivity, resource efficiency, and sustainability is substantially greater than the sum of the parts.</w:t>
      </w:r>
    </w:p>
    <w:p>
      <w:pPr>
        <w:spacing w:after="100" w:before="80" w:line="276"/>
        <w:jc w:val="both"/>
      </w:pPr>
      <w:r>
        <w:rPr>
          <w:rFonts w:ascii="Calibri" w:cs="Calibri" w:eastAsia="Calibri" w:hAnsi="Calibri"/>
          <w:b w:val="false"/>
          <w:bCs w:val="false"/>
          <w:i w:val="false"/>
          <w:iCs w:val="false"/>
          <w:color w:val="212121"/>
          <w:sz w:val="22"/>
          <w:szCs w:val="22"/>
        </w:rPr>
        <w:t xml:space="preserve">The challenges are real. Rural connectivity gaps, security vulnerabilities, capital constraints, and training deficits are not minor inconveniences — they are structural barriers that have slowed adoption among the smallholder majority who need these tools most. Addressing them requires coordinated action: technology providers designing for low bandwidth and low cost, financial institutions developing credit products for IoT equipment, governments funding rural digital infrastructure, and extension services building training capacity at the village level.</w:t>
      </w:r>
    </w:p>
    <w:p>
      <w:pPr>
        <w:spacing w:after="100" w:before="80" w:line="276"/>
        <w:jc w:val="both"/>
      </w:pPr>
      <w:r>
        <w:rPr>
          <w:rFonts w:ascii="Calibri" w:cs="Calibri" w:eastAsia="Calibri" w:hAnsi="Calibri"/>
          <w:b w:val="false"/>
          <w:bCs w:val="false"/>
          <w:i w:val="false"/>
          <w:iCs w:val="false"/>
          <w:color w:val="212121"/>
          <w:sz w:val="22"/>
          <w:szCs w:val="22"/>
        </w:rPr>
        <w:t xml:space="preserve">As an ECE engineering student completing this internship with CodeAlpha, working through the technical architecture of smart agriculture systems has been clarifying in a way that classroom study alone could not provide. The stack of sensors, microcontrollers, wireless protocols, and cloud platforms is not an abstract syllabus topic — it is a system that is already improving the livelihoods of farmers in Maharashtra, the Netherlands, Kenya, and hundreds of other locations. The remaining challenge is scale. The technologies exist. The task now is deployment.</w:t>
      </w:r>
    </w:p>
    <w:p>
      <w:pPr>
        <w:spacing w:before="60"/>
      </w:pPr>
      <w:r>
        <w:rPr>
          <w:sz w:val="22"/>
          <w:szCs w:val="22"/>
        </w:rPr>
        <w:t xml:space="preserve"/>
      </w:r>
    </w:p>
    <w:p>
      <w:pPr>
        <w:pStyle w:val="Heading1"/>
        <w:pBdr>
          <w:bottom w:val="single" w:color="2E7D32" w:sz="8" w:space="4"/>
        </w:pBdr>
        <w:spacing w:after="160" w:before="320"/>
      </w:pPr>
      <w:r>
        <w:rPr>
          <w:rFonts w:ascii="Calibri" w:cs="Calibri" w:eastAsia="Calibri" w:hAnsi="Calibri"/>
          <w:b/>
          <w:bCs/>
          <w:color w:val="1B5E20"/>
          <w:sz w:val="28"/>
          <w:szCs w:val="28"/>
        </w:rPr>
        <w:t xml:space="preserve">References</w:t>
      </w:r>
    </w:p>
    <w:p>
      <w:pPr>
        <w:spacing w:after="100" w:before="80" w:line="276"/>
        <w:jc w:val="both"/>
      </w:pPr>
      <w:r>
        <w:rPr>
          <w:rFonts w:ascii="Calibri" w:cs="Calibri" w:eastAsia="Calibri" w:hAnsi="Calibri"/>
          <w:b w:val="false"/>
          <w:bCs w:val="false"/>
          <w:i w:val="false"/>
          <w:iCs w:val="false"/>
          <w:color w:val="424242"/>
          <w:sz w:val="22"/>
          <w:szCs w:val="22"/>
        </w:rPr>
        <w:t xml:space="preserve">[1]  S. R. Prathibha, A. Hongal, and M. P. Jyothi, "IOT Based Monitoring System in Smart Agriculture," in Proc. 2017 International Conference on Recent Advances in Electronics and Communication Technology (ICRAECT), Bangalore, India, Mar. 2017, pp. 81–84. doi: 10.1109/ICRAECT.2017.52</w:t>
      </w:r>
    </w:p>
    <w:p>
      <w:pPr>
        <w:spacing w:before="60"/>
      </w:pPr>
      <w:r>
        <w:rPr>
          <w:sz w:val="22"/>
          <w:szCs w:val="22"/>
        </w:rPr>
        <w:t xml:space="preserve"/>
      </w:r>
    </w:p>
    <w:p>
      <w:pPr>
        <w:spacing w:after="100" w:before="80" w:line="276"/>
        <w:jc w:val="both"/>
      </w:pPr>
      <w:r>
        <w:rPr>
          <w:rFonts w:ascii="Calibri" w:cs="Calibri" w:eastAsia="Calibri" w:hAnsi="Calibri"/>
          <w:b w:val="false"/>
          <w:bCs w:val="false"/>
          <w:i w:val="false"/>
          <w:iCs w:val="false"/>
          <w:color w:val="424242"/>
          <w:sz w:val="22"/>
          <w:szCs w:val="22"/>
        </w:rPr>
        <w:t xml:space="preserve">[2]  A. Tzounis, N. Katsoulas, T. Bartzanas, and C. Kittas, "Internet of Things in agriculture, recent advances and future challenges," Biosystems Engineering, vol. 164, pp. 31–48, Dec. 2017. doi: 10.1016/j.biosystemseng.2017.09.007</w:t>
      </w:r>
    </w:p>
    <w:p>
      <w:pPr>
        <w:spacing w:before="60"/>
      </w:pPr>
      <w:r>
        <w:rPr>
          <w:sz w:val="22"/>
          <w:szCs w:val="22"/>
        </w:rPr>
        <w:t xml:space="preserve"/>
      </w:r>
    </w:p>
    <w:p>
      <w:pPr>
        <w:spacing w:after="100" w:before="80" w:line="276"/>
        <w:jc w:val="both"/>
      </w:pPr>
      <w:r>
        <w:rPr>
          <w:rFonts w:ascii="Calibri" w:cs="Calibri" w:eastAsia="Calibri" w:hAnsi="Calibri"/>
          <w:b w:val="false"/>
          <w:bCs w:val="false"/>
          <w:i w:val="false"/>
          <w:iCs w:val="false"/>
          <w:color w:val="424242"/>
          <w:sz w:val="22"/>
          <w:szCs w:val="22"/>
        </w:rPr>
        <w:t xml:space="preserve">[3]  D. Pivoto, L. F. de Almeida, R. da Rosa Righi, C. A. da Costa, A. Rodrigues Antunes, and P. D. Banchero Siemsen, "Scientific development of smart farming technologies and their application in Brazil," Information Processing in Agriculture, vol. 5, no. 1, pp. 21–32, Mar. 2018. doi: 10.1016/j.inpa.2017.12.002</w:t>
      </w:r>
    </w:p>
    <w:p>
      <w:pPr>
        <w:spacing w:before="60"/>
      </w:pPr>
      <w:r>
        <w:rPr>
          <w:sz w:val="22"/>
          <w:szCs w:val="22"/>
        </w:rPr>
        <w:t xml:space="preserve"/>
      </w:r>
    </w:p>
    <w:p>
      <w:pPr>
        <w:spacing w:after="100" w:before="80" w:line="276"/>
        <w:jc w:val="both"/>
      </w:pPr>
      <w:r>
        <w:rPr>
          <w:rFonts w:ascii="Calibri" w:cs="Calibri" w:eastAsia="Calibri" w:hAnsi="Calibri"/>
          <w:b w:val="false"/>
          <w:bCs w:val="false"/>
          <w:i w:val="false"/>
          <w:iCs w:val="false"/>
          <w:color w:val="424242"/>
          <w:sz w:val="22"/>
          <w:szCs w:val="22"/>
        </w:rPr>
        <w:t xml:space="preserve">[4]  M. S. Farooq, S. Riaz, A. Abid, K. Abid, and M. A. Naeem, "A Survey on the Role of IoT in Agriculture for the Implementation of Smart Farming," IEEE Access, vol. 7, pp. 156 237–156 271, 2019. doi: 10.1109/ACCESS.2019.2949703</w:t>
      </w:r>
    </w:p>
    <w:p>
      <w:pPr>
        <w:spacing w:before="60"/>
      </w:pPr>
      <w:r>
        <w:rPr>
          <w:sz w:val="22"/>
          <w:szCs w:val="22"/>
        </w:rPr>
        <w:t xml:space="preserve"/>
      </w:r>
    </w:p>
    <w:p>
      <w:pPr>
        <w:spacing w:after="100" w:before="80" w:line="276"/>
        <w:jc w:val="both"/>
      </w:pPr>
      <w:r>
        <w:rPr>
          <w:rFonts w:ascii="Calibri" w:cs="Calibri" w:eastAsia="Calibri" w:hAnsi="Calibri"/>
          <w:b w:val="false"/>
          <w:bCs w:val="false"/>
          <w:i w:val="false"/>
          <w:iCs w:val="false"/>
          <w:color w:val="424242"/>
          <w:sz w:val="22"/>
          <w:szCs w:val="22"/>
        </w:rPr>
        <w:t xml:space="preserve">[5]  Food and Agriculture Organization of the United Nations, "The future of food and agriculture — Trends and challenges," Rome: FAO, 2017. [Online]. Available: https://www.fao.org/3/i6583e/i6583e.pdf</w:t>
      </w:r>
    </w:p>
    <w:p>
      <w:pPr>
        <w:spacing w:before="60"/>
      </w:pPr>
      <w:r>
        <w:rPr>
          <w:sz w:val="22"/>
          <w:szCs w:val="22"/>
        </w:rPr>
        <w:t xml:space="preserve"/>
      </w:r>
    </w:p>
    <w:p>
      <w:pPr>
        <w:spacing w:after="100" w:before="80" w:line="276"/>
        <w:jc w:val="both"/>
      </w:pPr>
      <w:r>
        <w:rPr>
          <w:rFonts w:ascii="Calibri" w:cs="Calibri" w:eastAsia="Calibri" w:hAnsi="Calibri"/>
          <w:b w:val="false"/>
          <w:bCs w:val="false"/>
          <w:i w:val="false"/>
          <w:iCs w:val="false"/>
          <w:color w:val="424242"/>
          <w:sz w:val="22"/>
          <w:szCs w:val="22"/>
        </w:rPr>
        <w:t xml:space="preserve">[6]  S. Wolfert, L. Ge, C. Verdouw, and M.-J. Bogaardt, "Big Data in Smart Farming — A review," Agricultural Systems, vol. 153, pp. 69–80, May 2017. doi: 10.1016/j.agsy.2017.01.023</w:t>
      </w:r>
    </w:p>
    <w:p>
      <w:pPr>
        <w:spacing w:before="60"/>
      </w:pPr>
      <w:r>
        <w:rPr>
          <w:sz w:val="22"/>
          <w:szCs w:val="22"/>
        </w:rPr>
        <w:t xml:space="preserve"/>
      </w:r>
    </w:p>
    <w:p>
      <w:pPr>
        <w:spacing w:after="100" w:before="80" w:line="276"/>
        <w:jc w:val="both"/>
      </w:pPr>
      <w:r>
        <w:rPr>
          <w:rFonts w:ascii="Calibri" w:cs="Calibri" w:eastAsia="Calibri" w:hAnsi="Calibri"/>
          <w:b w:val="false"/>
          <w:bCs w:val="false"/>
          <w:i w:val="false"/>
          <w:iCs w:val="false"/>
          <w:color w:val="424242"/>
          <w:sz w:val="22"/>
          <w:szCs w:val="22"/>
        </w:rPr>
        <w:t xml:space="preserve">[7]  A. Kamilaris and F. X. Prenafeta-Boldú, "Deep learning in agriculture: A survey," Computers and Electronics in Agriculture, vol. 147, pp. 70–90, Apr. 2018. doi: 10.1016/j.compag.2018.02.016</w:t>
      </w:r>
    </w:p>
    <w:p>
      <w:pPr>
        <w:spacing w:before="120"/>
      </w:pPr>
      <w:r>
        <w:rPr>
          <w:sz w:val="22"/>
          <w:szCs w:val="22"/>
        </w:rPr>
        <w:t xml:space="preserve"/>
      </w:r>
    </w:p>
    <w:p>
      <w:pPr>
        <w:pBdr>
          <w:top w:val="single" w:color="C8E6C9" w:sz="6" w:space="4"/>
        </w:pBdr>
        <w:spacing w:after="0" w:before="400"/>
        <w:jc w:val="center"/>
      </w:pPr>
      <w:r>
        <w:rPr>
          <w:rFonts w:ascii="Calibri" w:cs="Calibri" w:eastAsia="Calibri" w:hAnsi="Calibri"/>
          <w:i/>
          <w:iCs/>
          <w:color w:val="9E9E9E"/>
          <w:sz w:val="20"/>
          <w:szCs w:val="20"/>
        </w:rPr>
        <w:t xml:space="preserve">— End of Report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6" w:space="3"/>
      </w:pBdr>
      <w:spacing w:before="80"/>
      <w:jc w:val="center"/>
    </w:pPr>
    <w:r>
      <w:rPr>
        <w:rFonts w:ascii="Calibri" w:cs="Calibri" w:eastAsia="Calibri" w:hAnsi="Calibri"/>
        <w:color w:val="757575"/>
        <w:sz w:val="18"/>
        <w:szCs w:val="18"/>
      </w:rPr>
      <w:t xml:space="preserve">Tharun Kumar P  |  CodeAlpha IoT Internship  |  IoT in Smart Agriculture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space="3"/>
      </w:pBdr>
      <w:spacing w:after="100"/>
      <w:jc w:val="right"/>
    </w:pPr>
    <w:r>
      <w:rPr>
        <w:rFonts w:ascii="Calibri" w:cs="Calibri" w:eastAsia="Calibri" w:hAnsi="Calibri"/>
        <w:color w:val="757575"/>
        <w:sz w:val="18"/>
        <w:szCs w:val="18"/>
      </w:rPr>
      <w:t xml:space="preserve">IoT in Smart Agriculture  |  Tharun Kumar P  |  CodeAlpha IoT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B5E20"/>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2026-06-10T11:04:18.205Z</dcterms:created>
  <dcterms:modified xsi:type="dcterms:W3CDTF">2026-06-10T11:04:18.205Z</dcterms:modified>
</cp:coreProperties>
</file>

<file path=docProps/custom.xml><?xml version="1.0" encoding="utf-8"?>
<Properties xmlns="http://schemas.openxmlformats.org/officeDocument/2006/custom-properties" xmlns:vt="http://schemas.openxmlformats.org/officeDocument/2006/docPropsVTypes"/>
</file>