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hd w:val="clear" w:color="auto" w:fill="FFFFFF"/>
        <w:spacing w:line="330" w:lineRule="atLeast"/>
        <w:jc w:val="center"/>
        <w:rPr>
          <w:rFonts w:ascii="Arial" w:hAnsi="Arial" w:cs="Arial"/>
          <w:b/>
          <w:color w:val="000000"/>
          <w:sz w:val="28"/>
          <w:szCs w:val="28"/>
        </w:rPr>
      </w:pPr>
    </w:p>
    <w:p>
      <w:pPr>
        <w:shd w:val="clear" w:color="auto" w:fill="FFFFFF"/>
        <w:spacing w:line="330" w:lineRule="atLeast"/>
        <w:jc w:val="center"/>
        <w:rPr>
          <w:rFonts w:ascii="Arial" w:hAnsi="Arial" w:cs="Arial"/>
          <w:b/>
          <w:color w:val="000000"/>
          <w:sz w:val="28"/>
          <w:szCs w:val="28"/>
        </w:rPr>
      </w:pPr>
    </w:p>
    <w:p>
      <w:pPr>
        <w:shd w:val="clear" w:color="auto" w:fill="FFFFFF"/>
        <w:spacing w:line="330" w:lineRule="atLeast"/>
        <w:jc w:val="center"/>
        <w:rPr>
          <w:rFonts w:ascii="Arial" w:hAnsi="Arial" w:cs="Arial"/>
          <w:b/>
          <w:color w:val="000000"/>
          <w:sz w:val="28"/>
          <w:szCs w:val="28"/>
        </w:rPr>
      </w:pPr>
    </w:p>
    <w:p>
      <w:pPr>
        <w:shd w:val="clear" w:color="auto" w:fill="FFFFFF"/>
        <w:spacing w:line="330" w:lineRule="atLeast"/>
        <w:jc w:val="center"/>
        <w:rPr>
          <w:rFonts w:ascii="Arial" w:hAnsi="Arial" w:cs="Arial"/>
          <w:b/>
          <w:color w:val="000000"/>
          <w:sz w:val="28"/>
          <w:szCs w:val="28"/>
        </w:rPr>
      </w:pPr>
    </w:p>
    <w:p>
      <w:pPr>
        <w:shd w:val="clear" w:color="auto" w:fill="FFFFFF"/>
        <w:spacing w:line="330" w:lineRule="atLeast"/>
        <w:jc w:val="center"/>
        <w:rPr>
          <w:rFonts w:ascii="Arial" w:hAnsi="Arial" w:cs="Arial"/>
          <w:b/>
          <w:color w:val="000000"/>
          <w:sz w:val="28"/>
          <w:szCs w:val="28"/>
        </w:rPr>
      </w:pPr>
      <w:r>
        <w:rPr>
          <w:rFonts w:ascii="Arial" w:hAnsi="Arial" w:cs="Arial"/>
          <w:b/>
          <w:color w:val="000000"/>
          <w:sz w:val="28"/>
          <w:szCs w:val="28"/>
        </w:rPr>
        <w:t>LAW ABODE</w:t>
      </w:r>
    </w:p>
    <w:p>
      <w:pPr>
        <w:shd w:val="clear" w:color="auto" w:fill="FFFFFF"/>
        <w:spacing w:line="330" w:lineRule="atLeast"/>
        <w:rPr>
          <w:rFonts w:ascii="Arial" w:hAnsi="Arial" w:cs="Arial"/>
          <w:b/>
          <w:color w:val="000000"/>
          <w:sz w:val="24"/>
          <w:szCs w:val="24"/>
        </w:rPr>
      </w:pPr>
      <w:r>
        <w:rPr>
          <w:rFonts w:ascii="Arial" w:hAnsi="Arial" w:cs="Arial"/>
          <w:b/>
          <w:color w:val="000000"/>
          <w:sz w:val="24"/>
          <w:szCs w:val="24"/>
        </w:rPr>
        <w:t xml:space="preserve">                                          </w:t>
      </w:r>
      <w:bookmarkStart w:id="0" w:name="_GoBack"/>
      <w:bookmarkEnd w:id="0"/>
    </w:p>
    <w:p>
      <w:pPr>
        <w:shd w:val="clear" w:color="auto" w:fill="FFFFFF"/>
        <w:spacing w:line="330" w:lineRule="atLeast"/>
        <w:rPr>
          <w:rFonts w:ascii="Arial" w:hAnsi="Arial" w:cs="Arial"/>
          <w:b/>
          <w:color w:val="000000"/>
          <w:sz w:val="18"/>
          <w:szCs w:val="18"/>
        </w:rPr>
      </w:pPr>
      <w:r>
        <w:rPr>
          <w:rFonts w:ascii="Arial" w:hAnsi="Arial" w:cs="Arial"/>
          <w:b/>
          <w:color w:val="000000"/>
          <w:sz w:val="18"/>
          <w:szCs w:val="18"/>
        </w:rPr>
        <w:t>(We are a registered Law firm providing legal assistance to global clients, specially to the clients intending to trade with and invest in Bangladesh)</w:t>
      </w:r>
    </w:p>
    <w:tbl>
      <w:tblPr>
        <w:tblStyle w:val="TableGrid"/>
        <w:tblW w:w="11250" w:type="dxa"/>
        <w:tblLayout w:type="fixed"/>
        <w:tblLook w:val="04A0" w:firstRow="1" w:lastRow="0" w:firstColumn="1" w:lastColumn="0" w:noHBand="0" w:noVBand="1"/>
      </w:tblPr>
      <w:tblGrid>
        <w:gridCol w:w="900"/>
        <w:gridCol w:w="1440"/>
        <w:gridCol w:w="1260"/>
        <w:gridCol w:w="450"/>
        <w:gridCol w:w="1800"/>
        <w:gridCol w:w="2700"/>
        <w:gridCol w:w="1350"/>
        <w:gridCol w:w="1350"/>
      </w:tblGrid>
      <w:tr>
        <w:trPr>
          <w:trHeight w:val="909"/>
        </w:trPr>
        <w:tc>
          <w:tcPr>
            <w:tcW w:w="900" w:type="dxa"/>
            <w:shd w:val="clear" w:color="auto" w:fill="E7E6E6" w:themeFill="background2"/>
          </w:tcPr>
          <w:p>
            <w:pPr>
              <w:rPr>
                <w:b/>
                <w:sz w:val="18"/>
                <w:szCs w:val="18"/>
              </w:rPr>
            </w:pPr>
          </w:p>
          <w:p>
            <w:pPr>
              <w:rPr>
                <w:b/>
                <w:sz w:val="18"/>
                <w:szCs w:val="18"/>
              </w:rPr>
            </w:pPr>
            <w:r>
              <w:rPr>
                <w:b/>
                <w:sz w:val="18"/>
                <w:szCs w:val="18"/>
              </w:rPr>
              <w:t xml:space="preserve">About us </w:t>
            </w:r>
          </w:p>
        </w:tc>
        <w:tc>
          <w:tcPr>
            <w:tcW w:w="1440" w:type="dxa"/>
            <w:shd w:val="clear" w:color="auto" w:fill="FFE599" w:themeFill="accent4" w:themeFillTint="66"/>
          </w:tcPr>
          <w:p>
            <w:pPr>
              <w:rPr>
                <w:b/>
                <w:sz w:val="18"/>
                <w:szCs w:val="18"/>
              </w:rPr>
            </w:pPr>
          </w:p>
          <w:p>
            <w:pPr>
              <w:rPr>
                <w:b/>
                <w:sz w:val="18"/>
                <w:szCs w:val="18"/>
              </w:rPr>
            </w:pPr>
            <w:r>
              <w:rPr>
                <w:b/>
                <w:sz w:val="18"/>
                <w:szCs w:val="18"/>
              </w:rPr>
              <w:t xml:space="preserve">Professionals </w:t>
            </w:r>
          </w:p>
        </w:tc>
        <w:tc>
          <w:tcPr>
            <w:tcW w:w="1260" w:type="dxa"/>
            <w:shd w:val="clear" w:color="auto" w:fill="F4B083" w:themeFill="accent2" w:themeFillTint="99"/>
          </w:tcPr>
          <w:p>
            <w:pPr>
              <w:rPr>
                <w:b/>
                <w:sz w:val="18"/>
                <w:szCs w:val="18"/>
              </w:rPr>
            </w:pPr>
            <w:r>
              <w:rPr>
                <w:b/>
                <w:sz w:val="18"/>
                <w:szCs w:val="18"/>
              </w:rPr>
              <w:t xml:space="preserve">                   </w:t>
            </w:r>
          </w:p>
          <w:p>
            <w:pPr>
              <w:jc w:val="center"/>
              <w:rPr>
                <w:b/>
                <w:sz w:val="18"/>
                <w:szCs w:val="18"/>
              </w:rPr>
            </w:pPr>
            <w:r>
              <w:rPr>
                <w:b/>
                <w:sz w:val="18"/>
                <w:szCs w:val="18"/>
              </w:rPr>
              <w:t>Services</w:t>
            </w:r>
          </w:p>
        </w:tc>
        <w:tc>
          <w:tcPr>
            <w:tcW w:w="450" w:type="dxa"/>
            <w:shd w:val="clear" w:color="auto" w:fill="D9E2F3" w:themeFill="accent5" w:themeFillTint="33"/>
          </w:tcPr>
          <w:p>
            <w:pPr>
              <w:rPr>
                <w:b/>
                <w:sz w:val="18"/>
                <w:szCs w:val="18"/>
              </w:rPr>
            </w:pPr>
          </w:p>
        </w:tc>
        <w:tc>
          <w:tcPr>
            <w:tcW w:w="1800" w:type="dxa"/>
            <w:shd w:val="clear" w:color="auto" w:fill="D9E2F3" w:themeFill="accent5" w:themeFillTint="33"/>
          </w:tcPr>
          <w:p>
            <w:pPr>
              <w:rPr>
                <w:b/>
                <w:sz w:val="18"/>
                <w:szCs w:val="18"/>
              </w:rPr>
            </w:pPr>
          </w:p>
          <w:p>
            <w:pPr>
              <w:jc w:val="center"/>
              <w:rPr>
                <w:b/>
                <w:sz w:val="18"/>
                <w:szCs w:val="18"/>
              </w:rPr>
            </w:pPr>
            <w:r>
              <w:rPr>
                <w:b/>
                <w:sz w:val="18"/>
                <w:szCs w:val="18"/>
              </w:rPr>
              <w:t>Our achievements</w:t>
            </w:r>
          </w:p>
          <w:p>
            <w:pPr>
              <w:rPr>
                <w:b/>
                <w:sz w:val="18"/>
                <w:szCs w:val="18"/>
              </w:rPr>
            </w:pPr>
          </w:p>
          <w:p>
            <w:pPr>
              <w:rPr>
                <w:b/>
                <w:sz w:val="18"/>
                <w:szCs w:val="18"/>
              </w:rPr>
            </w:pPr>
          </w:p>
        </w:tc>
        <w:tc>
          <w:tcPr>
            <w:tcW w:w="2700" w:type="dxa"/>
            <w:shd w:val="clear" w:color="auto" w:fill="FBE4D5" w:themeFill="accent2" w:themeFillTint="33"/>
          </w:tcPr>
          <w:p>
            <w:pPr>
              <w:jc w:val="center"/>
              <w:rPr>
                <w:b/>
                <w:sz w:val="18"/>
                <w:szCs w:val="18"/>
              </w:rPr>
            </w:pPr>
          </w:p>
          <w:p>
            <w:pPr>
              <w:jc w:val="center"/>
              <w:rPr>
                <w:b/>
                <w:sz w:val="18"/>
                <w:szCs w:val="18"/>
              </w:rPr>
            </w:pPr>
            <w:r>
              <w:rPr>
                <w:b/>
                <w:sz w:val="18"/>
                <w:szCs w:val="18"/>
              </w:rPr>
              <w:t>News, insights and blogs</w:t>
            </w:r>
          </w:p>
        </w:tc>
        <w:tc>
          <w:tcPr>
            <w:tcW w:w="1350" w:type="dxa"/>
            <w:shd w:val="clear" w:color="auto" w:fill="B4C6E7" w:themeFill="accent5" w:themeFillTint="66"/>
          </w:tcPr>
          <w:p>
            <w:pPr>
              <w:jc w:val="center"/>
              <w:rPr>
                <w:b/>
                <w:sz w:val="18"/>
                <w:szCs w:val="18"/>
              </w:rPr>
            </w:pPr>
            <w:r>
              <w:rPr>
                <w:b/>
                <w:sz w:val="18"/>
                <w:szCs w:val="18"/>
              </w:rPr>
              <w:t>Videos</w:t>
            </w:r>
          </w:p>
          <w:p>
            <w:pPr>
              <w:jc w:val="center"/>
              <w:rPr>
                <w:b/>
                <w:sz w:val="18"/>
                <w:szCs w:val="18"/>
              </w:rPr>
            </w:pPr>
            <w:r>
              <w:rPr>
                <w:b/>
                <w:sz w:val="18"/>
                <w:szCs w:val="18"/>
              </w:rPr>
              <w:t>&amp;</w:t>
            </w:r>
          </w:p>
          <w:p>
            <w:pPr>
              <w:jc w:val="center"/>
              <w:rPr>
                <w:b/>
                <w:sz w:val="18"/>
                <w:szCs w:val="18"/>
              </w:rPr>
            </w:pPr>
            <w:r>
              <w:rPr>
                <w:b/>
                <w:sz w:val="18"/>
                <w:szCs w:val="18"/>
              </w:rPr>
              <w:t>Webcast &amp; Podcasts</w:t>
            </w:r>
          </w:p>
        </w:tc>
        <w:tc>
          <w:tcPr>
            <w:tcW w:w="1350" w:type="dxa"/>
            <w:shd w:val="clear" w:color="auto" w:fill="C5E0B3" w:themeFill="accent6" w:themeFillTint="66"/>
          </w:tcPr>
          <w:p>
            <w:pPr>
              <w:rPr>
                <w:b/>
                <w:sz w:val="18"/>
                <w:szCs w:val="18"/>
              </w:rPr>
            </w:pPr>
          </w:p>
          <w:p>
            <w:pPr>
              <w:rPr>
                <w:b/>
                <w:sz w:val="18"/>
                <w:szCs w:val="18"/>
              </w:rPr>
            </w:pPr>
            <w:r>
              <w:rPr>
                <w:b/>
                <w:sz w:val="18"/>
                <w:szCs w:val="18"/>
              </w:rPr>
              <w:t>Contact us</w:t>
            </w:r>
          </w:p>
          <w:p>
            <w:pPr>
              <w:rPr>
                <w:b/>
                <w:sz w:val="18"/>
                <w:szCs w:val="18"/>
              </w:rPr>
            </w:pPr>
          </w:p>
        </w:tc>
      </w:tr>
      <w:tr>
        <w:trPr>
          <w:trHeight w:val="279"/>
        </w:trPr>
        <w:tc>
          <w:tcPr>
            <w:tcW w:w="900" w:type="dxa"/>
            <w:shd w:val="clear" w:color="auto" w:fill="FFFFFF" w:themeFill="background1"/>
          </w:tcPr>
          <w:p>
            <w:pPr>
              <w:rPr>
                <w:b/>
                <w:sz w:val="18"/>
                <w:szCs w:val="18"/>
              </w:rPr>
            </w:pPr>
          </w:p>
        </w:tc>
        <w:tc>
          <w:tcPr>
            <w:tcW w:w="1440" w:type="dxa"/>
            <w:shd w:val="clear" w:color="auto" w:fill="FFFFFF" w:themeFill="background1"/>
          </w:tcPr>
          <w:p>
            <w:pPr>
              <w:rPr>
                <w:b/>
                <w:sz w:val="18"/>
                <w:szCs w:val="18"/>
              </w:rPr>
            </w:pPr>
          </w:p>
        </w:tc>
        <w:tc>
          <w:tcPr>
            <w:tcW w:w="1260" w:type="dxa"/>
            <w:shd w:val="clear" w:color="auto" w:fill="FFFFFF" w:themeFill="background1"/>
          </w:tcPr>
          <w:p>
            <w:pPr>
              <w:rPr>
                <w:b/>
                <w:sz w:val="18"/>
                <w:szCs w:val="18"/>
              </w:rPr>
            </w:pPr>
          </w:p>
        </w:tc>
        <w:tc>
          <w:tcPr>
            <w:tcW w:w="450" w:type="dxa"/>
            <w:shd w:val="clear" w:color="auto" w:fill="FFFFFF" w:themeFill="background1"/>
          </w:tcPr>
          <w:p>
            <w:pPr>
              <w:rPr>
                <w:b/>
                <w:sz w:val="18"/>
                <w:szCs w:val="18"/>
              </w:rPr>
            </w:pPr>
          </w:p>
        </w:tc>
        <w:tc>
          <w:tcPr>
            <w:tcW w:w="1800" w:type="dxa"/>
            <w:shd w:val="clear" w:color="auto" w:fill="FFFFFF" w:themeFill="background1"/>
          </w:tcPr>
          <w:p>
            <w:pPr>
              <w:rPr>
                <w:b/>
                <w:sz w:val="18"/>
                <w:szCs w:val="18"/>
              </w:rPr>
            </w:pPr>
          </w:p>
        </w:tc>
        <w:tc>
          <w:tcPr>
            <w:tcW w:w="2700" w:type="dxa"/>
            <w:shd w:val="clear" w:color="auto" w:fill="FFFFFF" w:themeFill="background1"/>
          </w:tcPr>
          <w:p>
            <w:pPr>
              <w:jc w:val="center"/>
              <w:rPr>
                <w:b/>
                <w:sz w:val="18"/>
                <w:szCs w:val="18"/>
              </w:rPr>
            </w:pPr>
          </w:p>
        </w:tc>
        <w:tc>
          <w:tcPr>
            <w:tcW w:w="1350" w:type="dxa"/>
            <w:shd w:val="clear" w:color="auto" w:fill="FFFFFF" w:themeFill="background1"/>
          </w:tcPr>
          <w:p>
            <w:pPr>
              <w:jc w:val="center"/>
              <w:rPr>
                <w:b/>
                <w:sz w:val="18"/>
                <w:szCs w:val="18"/>
              </w:rPr>
            </w:pPr>
          </w:p>
        </w:tc>
        <w:tc>
          <w:tcPr>
            <w:tcW w:w="1350" w:type="dxa"/>
            <w:shd w:val="clear" w:color="auto" w:fill="FFFFFF" w:themeFill="background1"/>
          </w:tcPr>
          <w:p>
            <w:pPr>
              <w:rPr>
                <w:b/>
                <w:sz w:val="18"/>
                <w:szCs w:val="18"/>
              </w:rPr>
            </w:pPr>
          </w:p>
        </w:tc>
      </w:tr>
      <w:tr>
        <w:trPr>
          <w:trHeight w:val="237"/>
        </w:trPr>
        <w:tc>
          <w:tcPr>
            <w:tcW w:w="900" w:type="dxa"/>
            <w:vMerge w:val="restart"/>
            <w:shd w:val="clear" w:color="auto" w:fill="E7E6E6" w:themeFill="background2"/>
          </w:tcPr>
          <w:p>
            <w:pPr>
              <w:rPr>
                <w:b/>
                <w:sz w:val="18"/>
                <w:szCs w:val="18"/>
              </w:rPr>
            </w:pPr>
          </w:p>
        </w:tc>
        <w:tc>
          <w:tcPr>
            <w:tcW w:w="1440" w:type="dxa"/>
            <w:vMerge w:val="restart"/>
            <w:shd w:val="clear" w:color="auto" w:fill="FFE599" w:themeFill="accent4" w:themeFillTint="66"/>
          </w:tcPr>
          <w:p>
            <w:pPr>
              <w:rPr>
                <w:b/>
                <w:sz w:val="18"/>
                <w:szCs w:val="18"/>
              </w:rPr>
            </w:pPr>
          </w:p>
        </w:tc>
        <w:tc>
          <w:tcPr>
            <w:tcW w:w="1260" w:type="dxa"/>
            <w:shd w:val="clear" w:color="auto" w:fill="F4B083" w:themeFill="accent2" w:themeFillTint="99"/>
          </w:tcPr>
          <w:p>
            <w:pPr>
              <w:rPr>
                <w:sz w:val="12"/>
                <w:szCs w:val="12"/>
              </w:rPr>
            </w:pPr>
            <w:r>
              <w:rPr>
                <w:sz w:val="12"/>
                <w:szCs w:val="12"/>
              </w:rPr>
              <w:t xml:space="preserve">Arbitration, Litigation and consultancy of the following services - </w:t>
            </w:r>
          </w:p>
        </w:tc>
        <w:tc>
          <w:tcPr>
            <w:tcW w:w="450" w:type="dxa"/>
            <w:vMerge w:val="restart"/>
            <w:shd w:val="clear" w:color="auto" w:fill="D9E2F3" w:themeFill="accent5" w:themeFillTint="33"/>
          </w:tcPr>
          <w:p>
            <w:pPr>
              <w:rPr>
                <w:b/>
                <w:sz w:val="18"/>
                <w:szCs w:val="18"/>
              </w:rPr>
            </w:pPr>
          </w:p>
        </w:tc>
        <w:tc>
          <w:tcPr>
            <w:tcW w:w="1800" w:type="dxa"/>
            <w:vMerge w:val="restart"/>
            <w:shd w:val="clear" w:color="auto" w:fill="D9E2F3" w:themeFill="accent5" w:themeFillTint="33"/>
          </w:tcPr>
          <w:p>
            <w:pPr>
              <w:rPr>
                <w:b/>
                <w:sz w:val="18"/>
                <w:szCs w:val="18"/>
              </w:rPr>
            </w:pPr>
          </w:p>
        </w:tc>
        <w:tc>
          <w:tcPr>
            <w:tcW w:w="2700" w:type="dxa"/>
            <w:vMerge w:val="restart"/>
            <w:shd w:val="clear" w:color="auto" w:fill="FBE4D5" w:themeFill="accent2" w:themeFillTint="33"/>
          </w:tcPr>
          <w:p>
            <w:pPr>
              <w:jc w:val="center"/>
              <w:rPr>
                <w:b/>
                <w:sz w:val="18"/>
                <w:szCs w:val="18"/>
              </w:rPr>
            </w:pPr>
          </w:p>
        </w:tc>
        <w:tc>
          <w:tcPr>
            <w:tcW w:w="1350" w:type="dxa"/>
            <w:vMerge w:val="restart"/>
            <w:shd w:val="clear" w:color="auto" w:fill="B4C6E7" w:themeFill="accent5" w:themeFillTint="66"/>
          </w:tcPr>
          <w:p>
            <w:pPr>
              <w:jc w:val="center"/>
              <w:rPr>
                <w:b/>
                <w:sz w:val="18"/>
                <w:szCs w:val="18"/>
              </w:rPr>
            </w:pPr>
          </w:p>
        </w:tc>
        <w:tc>
          <w:tcPr>
            <w:tcW w:w="1350" w:type="dxa"/>
            <w:vMerge w:val="restart"/>
            <w:shd w:val="clear" w:color="auto" w:fill="C5E0B3" w:themeFill="accent6" w:themeFillTint="66"/>
          </w:tcPr>
          <w:p>
            <w:pPr>
              <w:rPr>
                <w:b/>
                <w:sz w:val="18"/>
                <w:szCs w:val="18"/>
              </w:rPr>
            </w:pPr>
          </w:p>
        </w:tc>
      </w:tr>
      <w:tr>
        <w:trPr>
          <w:trHeight w:val="236"/>
        </w:trPr>
        <w:tc>
          <w:tcPr>
            <w:tcW w:w="900" w:type="dxa"/>
            <w:vMerge/>
            <w:shd w:val="clear" w:color="auto" w:fill="E7E6E6" w:themeFill="background2"/>
          </w:tcPr>
          <w:p>
            <w:pPr>
              <w:rPr>
                <w:b/>
                <w:sz w:val="18"/>
                <w:szCs w:val="18"/>
              </w:rPr>
            </w:pPr>
          </w:p>
        </w:tc>
        <w:tc>
          <w:tcPr>
            <w:tcW w:w="1440" w:type="dxa"/>
            <w:vMerge/>
            <w:shd w:val="clear" w:color="auto" w:fill="FFE599" w:themeFill="accent4" w:themeFillTint="66"/>
          </w:tcPr>
          <w:p>
            <w:pPr>
              <w:rPr>
                <w:b/>
                <w:sz w:val="18"/>
                <w:szCs w:val="18"/>
              </w:rPr>
            </w:pPr>
          </w:p>
        </w:tc>
        <w:tc>
          <w:tcPr>
            <w:tcW w:w="1260" w:type="dxa"/>
            <w:shd w:val="clear" w:color="auto" w:fill="F4B083" w:themeFill="accent2" w:themeFillTint="99"/>
          </w:tcPr>
          <w:p>
            <w:pPr>
              <w:rPr>
                <w:sz w:val="12"/>
                <w:szCs w:val="12"/>
              </w:rPr>
            </w:pPr>
          </w:p>
          <w:p>
            <w:pPr>
              <w:rPr>
                <w:sz w:val="12"/>
                <w:szCs w:val="12"/>
              </w:rPr>
            </w:pPr>
            <w:r>
              <w:rPr>
                <w:sz w:val="12"/>
                <w:szCs w:val="12"/>
              </w:rPr>
              <w:t>Pro-bono assistance</w:t>
            </w:r>
          </w:p>
        </w:tc>
        <w:tc>
          <w:tcPr>
            <w:tcW w:w="450" w:type="dxa"/>
            <w:vMerge/>
            <w:shd w:val="clear" w:color="auto" w:fill="D9E2F3" w:themeFill="accent5" w:themeFillTint="33"/>
          </w:tcPr>
          <w:p>
            <w:pPr>
              <w:rPr>
                <w:b/>
                <w:sz w:val="18"/>
                <w:szCs w:val="18"/>
              </w:rPr>
            </w:pPr>
          </w:p>
        </w:tc>
        <w:tc>
          <w:tcPr>
            <w:tcW w:w="1800" w:type="dxa"/>
            <w:vMerge/>
            <w:shd w:val="clear" w:color="auto" w:fill="D9E2F3" w:themeFill="accent5" w:themeFillTint="33"/>
          </w:tcPr>
          <w:p>
            <w:pPr>
              <w:rPr>
                <w:b/>
                <w:sz w:val="18"/>
                <w:szCs w:val="18"/>
              </w:rPr>
            </w:pPr>
          </w:p>
        </w:tc>
        <w:tc>
          <w:tcPr>
            <w:tcW w:w="2700" w:type="dxa"/>
            <w:vMerge/>
            <w:shd w:val="clear" w:color="auto" w:fill="FBE4D5" w:themeFill="accent2" w:themeFillTint="33"/>
          </w:tcPr>
          <w:p>
            <w:pPr>
              <w:jc w:val="center"/>
              <w:rPr>
                <w:sz w:val="12"/>
                <w:szCs w:val="12"/>
              </w:rPr>
            </w:pPr>
          </w:p>
        </w:tc>
        <w:tc>
          <w:tcPr>
            <w:tcW w:w="1350" w:type="dxa"/>
            <w:vMerge/>
            <w:shd w:val="clear" w:color="auto" w:fill="B4C6E7" w:themeFill="accent5" w:themeFillTint="66"/>
          </w:tcPr>
          <w:p>
            <w:pPr>
              <w:jc w:val="center"/>
              <w:rPr>
                <w:b/>
                <w:sz w:val="18"/>
                <w:szCs w:val="18"/>
              </w:rPr>
            </w:pPr>
          </w:p>
        </w:tc>
        <w:tc>
          <w:tcPr>
            <w:tcW w:w="1350" w:type="dxa"/>
            <w:vMerge/>
            <w:shd w:val="clear" w:color="auto" w:fill="C5E0B3" w:themeFill="accent6" w:themeFillTint="66"/>
          </w:tcPr>
          <w:p>
            <w:pPr>
              <w:rPr>
                <w:b/>
                <w:sz w:val="18"/>
                <w:szCs w:val="18"/>
              </w:rPr>
            </w:pPr>
          </w:p>
        </w:tc>
      </w:tr>
    </w:tb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6"/>
        <w:gridCol w:w="4689"/>
      </w:tblGrid>
      <w:tr>
        <w:trPr>
          <w:trHeight w:val="1880"/>
        </w:trPr>
        <w:tc>
          <w:tcPr>
            <w:tcW w:w="6556" w:type="dxa"/>
          </w:tcPr>
          <w:p>
            <w:r>
              <w:rPr>
                <w:b/>
                <w:noProof/>
                <w:sz w:val="18"/>
                <w:szCs w:val="18"/>
              </w:rPr>
              <mc:AlternateContent>
                <mc:Choice Requires="wps">
                  <w:drawing>
                    <wp:anchor distT="0" distB="0" distL="114300" distR="114300" simplePos="0" relativeHeight="251679744" behindDoc="0" locked="0" layoutInCell="1" allowOverlap="1">
                      <wp:simplePos x="0" y="0"/>
                      <wp:positionH relativeFrom="column">
                        <wp:posOffset>1029818</wp:posOffset>
                      </wp:positionH>
                      <wp:positionV relativeFrom="paragraph">
                        <wp:posOffset>-726620</wp:posOffset>
                      </wp:positionV>
                      <wp:extent cx="376679" cy="1084997"/>
                      <wp:effectExtent l="0" t="0" r="42545" b="20320"/>
                      <wp:wrapNone/>
                      <wp:docPr id="2" name="Curved Right Arrow 2"/>
                      <wp:cNvGraphicFramePr/>
                      <a:graphic xmlns:a="http://schemas.openxmlformats.org/drawingml/2006/main">
                        <a:graphicData uri="http://schemas.microsoft.com/office/word/2010/wordprocessingShape">
                          <wps:wsp>
                            <wps:cNvSpPr/>
                            <wps:spPr>
                              <a:xfrm>
                                <a:off x="0" y="0"/>
                                <a:ext cx="376679" cy="1084997"/>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 o:spid="_x0000_s1026" type="#_x0000_t102" style="position:absolute;margin-left:81.1pt;margin-top:-57.2pt;width:29.65pt;height:8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" adj="17851,20663,16200" fillcolor="#5b9bd5 [3204]" strokecolor="#1f4d78 [1604]" strokeweight="1pt"/>
                  </w:pict>
                </mc:Fallback>
              </mc:AlternateContent>
            </w:r>
          </w:p>
          <w:tbl>
            <w:tblPr>
              <w:tblStyle w:val="TableGrid"/>
              <w:tblW w:w="0" w:type="auto"/>
              <w:tblLook w:val="04A0" w:firstRow="1" w:lastRow="0" w:firstColumn="1" w:lastColumn="0" w:noHBand="0" w:noVBand="1"/>
            </w:tblPr>
            <w:tblGrid>
              <w:gridCol w:w="942"/>
              <w:gridCol w:w="897"/>
              <w:gridCol w:w="897"/>
              <w:gridCol w:w="898"/>
              <w:gridCol w:w="898"/>
              <w:gridCol w:w="899"/>
              <w:gridCol w:w="899"/>
            </w:tblGrid>
            <w:tr>
              <w:tc>
                <w:tcPr>
                  <w:tcW w:w="6330" w:type="dxa"/>
                  <w:gridSpan w:val="7"/>
                </w:tcPr>
                <w:p>
                  <w:pPr>
                    <w:jc w:val="center"/>
                  </w:pPr>
                  <w:r>
                    <w:t>Services</w:t>
                  </w:r>
                </w:p>
              </w:tc>
            </w:tr>
            <w:tr>
              <w:tc>
                <w:tcPr>
                  <w:tcW w:w="942" w:type="dxa"/>
                </w:tcPr>
                <w:p/>
              </w:tc>
              <w:tc>
                <w:tcPr>
                  <w:tcW w:w="897" w:type="dxa"/>
                </w:tcPr>
                <w:p/>
              </w:tc>
              <w:tc>
                <w:tcPr>
                  <w:tcW w:w="897" w:type="dxa"/>
                </w:tcPr>
                <w:p/>
              </w:tc>
              <w:tc>
                <w:tcPr>
                  <w:tcW w:w="898" w:type="dxa"/>
                </w:tcPr>
                <w:p/>
              </w:tc>
              <w:tc>
                <w:tcPr>
                  <w:tcW w:w="898" w:type="dxa"/>
                </w:tcPr>
                <w:p/>
              </w:tc>
              <w:tc>
                <w:tcPr>
                  <w:tcW w:w="899" w:type="dxa"/>
                </w:tcPr>
                <w:p/>
              </w:tc>
              <w:tc>
                <w:tcPr>
                  <w:tcW w:w="899" w:type="dxa"/>
                </w:tcPr>
                <w:p/>
              </w:tc>
            </w:tr>
            <w:tr>
              <w:tc>
                <w:tcPr>
                  <w:tcW w:w="942" w:type="dxa"/>
                </w:tcPr>
                <w:p/>
              </w:tc>
              <w:tc>
                <w:tcPr>
                  <w:tcW w:w="897" w:type="dxa"/>
                </w:tcPr>
                <w:p/>
              </w:tc>
              <w:tc>
                <w:tcPr>
                  <w:tcW w:w="897" w:type="dxa"/>
                </w:tcPr>
                <w:p/>
              </w:tc>
              <w:tc>
                <w:tcPr>
                  <w:tcW w:w="898" w:type="dxa"/>
                </w:tcPr>
                <w:p/>
              </w:tc>
              <w:tc>
                <w:tcPr>
                  <w:tcW w:w="898" w:type="dxa"/>
                </w:tcPr>
                <w:p/>
              </w:tc>
              <w:tc>
                <w:tcPr>
                  <w:tcW w:w="899" w:type="dxa"/>
                </w:tcPr>
                <w:p/>
              </w:tc>
              <w:tc>
                <w:tcPr>
                  <w:tcW w:w="899" w:type="dxa"/>
                </w:tcPr>
                <w:p/>
              </w:tc>
            </w:tr>
            <w:tr>
              <w:tc>
                <w:tcPr>
                  <w:tcW w:w="942" w:type="dxa"/>
                </w:tcPr>
                <w:p/>
              </w:tc>
              <w:tc>
                <w:tcPr>
                  <w:tcW w:w="897" w:type="dxa"/>
                </w:tcPr>
                <w:p/>
              </w:tc>
              <w:tc>
                <w:tcPr>
                  <w:tcW w:w="897" w:type="dxa"/>
                </w:tcPr>
                <w:p/>
              </w:tc>
              <w:tc>
                <w:tcPr>
                  <w:tcW w:w="898" w:type="dxa"/>
                </w:tcPr>
                <w:p/>
              </w:tc>
              <w:tc>
                <w:tcPr>
                  <w:tcW w:w="898" w:type="dxa"/>
                </w:tcPr>
                <w:p/>
              </w:tc>
              <w:tc>
                <w:tcPr>
                  <w:tcW w:w="899" w:type="dxa"/>
                </w:tcPr>
                <w:p/>
              </w:tc>
              <w:tc>
                <w:tcPr>
                  <w:tcW w:w="899" w:type="dxa"/>
                </w:tcPr>
                <w:p/>
              </w:tc>
            </w:tr>
            <w:tr>
              <w:tc>
                <w:tcPr>
                  <w:tcW w:w="942" w:type="dxa"/>
                </w:tcPr>
                <w:p/>
              </w:tc>
              <w:tc>
                <w:tcPr>
                  <w:tcW w:w="897" w:type="dxa"/>
                </w:tcPr>
                <w:p/>
              </w:tc>
              <w:tc>
                <w:tcPr>
                  <w:tcW w:w="897" w:type="dxa"/>
                </w:tcPr>
                <w:p/>
              </w:tc>
              <w:tc>
                <w:tcPr>
                  <w:tcW w:w="898" w:type="dxa"/>
                </w:tcPr>
                <w:p/>
              </w:tc>
              <w:tc>
                <w:tcPr>
                  <w:tcW w:w="898" w:type="dxa"/>
                </w:tcPr>
                <w:p/>
              </w:tc>
              <w:tc>
                <w:tcPr>
                  <w:tcW w:w="899" w:type="dxa"/>
                </w:tcPr>
                <w:p/>
              </w:tc>
              <w:tc>
                <w:tcPr>
                  <w:tcW w:w="899" w:type="dxa"/>
                </w:tcPr>
                <w:p/>
              </w:tc>
            </w:tr>
            <w:tr>
              <w:tc>
                <w:tcPr>
                  <w:tcW w:w="942" w:type="dxa"/>
                </w:tcPr>
                <w:p/>
              </w:tc>
              <w:tc>
                <w:tcPr>
                  <w:tcW w:w="897" w:type="dxa"/>
                </w:tcPr>
                <w:p/>
              </w:tc>
              <w:tc>
                <w:tcPr>
                  <w:tcW w:w="897" w:type="dxa"/>
                </w:tcPr>
                <w:p/>
              </w:tc>
              <w:tc>
                <w:tcPr>
                  <w:tcW w:w="898" w:type="dxa"/>
                </w:tcPr>
                <w:p/>
              </w:tc>
              <w:tc>
                <w:tcPr>
                  <w:tcW w:w="898" w:type="dxa"/>
                </w:tcPr>
                <w:p/>
              </w:tc>
              <w:tc>
                <w:tcPr>
                  <w:tcW w:w="899" w:type="dxa"/>
                </w:tcPr>
                <w:p/>
              </w:tc>
              <w:tc>
                <w:tcPr>
                  <w:tcW w:w="899" w:type="dxa"/>
                </w:tcPr>
                <w:p/>
              </w:tc>
            </w:tr>
          </w:tbl>
          <w:p/>
          <w:p/>
          <w:p/>
          <w:p/>
          <w:p/>
          <w:p/>
          <w:p/>
          <w:p/>
          <w:p/>
          <w:p/>
          <w:p/>
          <w:p/>
          <w:p>
            <w:r>
              <w:t xml:space="preserve">More SLIDES will be coming one after another at the front page of the website. </w:t>
            </w:r>
          </w:p>
          <w:p/>
          <w:p>
            <w:r>
              <w:rPr>
                <w:noProof/>
              </w:rPr>
              <mc:AlternateContent>
                <mc:Choice Requires="wps">
                  <w:drawing>
                    <wp:anchor distT="0" distB="0" distL="114300" distR="114300" simplePos="0" relativeHeight="251678720" behindDoc="0" locked="0" layoutInCell="1" allowOverlap="1">
                      <wp:simplePos x="0" y="0"/>
                      <wp:positionH relativeFrom="margin">
                        <wp:posOffset>1494904</wp:posOffset>
                      </wp:positionH>
                      <wp:positionV relativeFrom="paragraph">
                        <wp:posOffset>768284</wp:posOffset>
                      </wp:positionV>
                      <wp:extent cx="914400" cy="3048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91440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pPr>
                                  <w:r>
                                    <w:t>Read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2" o:spid="_x0000_s1026" style="position:absolute;margin-left:117.7pt;margin-top:60.5pt;width:1in;height:2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" fillcolor="white [3201]" strokecolor="#70ad47 [3209]" strokeweight="1pt">
                      <v:stroke joinstyle="miter"/>
                      <v:textbox>
                        <w:txbxContent>
                          <w:p>
                            <w:pPr>
                              <w:jc w:val="center"/>
                            </w:pPr>
                            <w:r>
                              <w:t>Read more</w:t>
                            </w:r>
                          </w:p>
                        </w:txbxContent>
                      </v:textbox>
                      <w10:wrap anchorx="margin"/>
                    </v:round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362140</wp:posOffset>
                      </wp:positionH>
                      <wp:positionV relativeFrom="paragraph">
                        <wp:posOffset>161375</wp:posOffset>
                      </wp:positionV>
                      <wp:extent cx="3248025" cy="1019175"/>
                      <wp:effectExtent l="0" t="0" r="28575" b="28575"/>
                      <wp:wrapNone/>
                      <wp:docPr id="21" name="Flowchart: Process 21"/>
                      <wp:cNvGraphicFramePr/>
                      <a:graphic xmlns:a="http://schemas.openxmlformats.org/drawingml/2006/main">
                        <a:graphicData uri="http://schemas.microsoft.com/office/word/2010/wordprocessingShape">
                          <wps:wsp>
                            <wps:cNvSpPr/>
                            <wps:spPr>
                              <a:xfrm>
                                <a:off x="0" y="0"/>
                                <a:ext cx="3248025" cy="10191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pPr>
                                    <w:jc w:val="center"/>
                                  </w:pPr>
                                  <w:r>
                                    <w:t>WTO laws and Bangladesh perspective: incentives to trade with Bangladesh…</w:t>
                                  </w:r>
                                </w:p>
                                <w:p>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1" o:spid="_x0000_s1027" type="#_x0000_t109" style="position:absolute;margin-left:28.5pt;margin-top:12.7pt;width:255.75pt;height:8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" fillcolor="white [3201]" strokecolor="#70ad47 [3209]" strokeweight="1pt">
                      <v:textbox>
                        <w:txbxContent>
                          <w:p>
                            <w:pPr>
                              <w:jc w:val="center"/>
                            </w:pPr>
                            <w:r>
                              <w:t>WTO laws and Bangladesh perspective: incentives to trade with Bangladesh…</w:t>
                            </w:r>
                          </w:p>
                          <w:p>
                            <w:pPr>
                              <w:jc w:val="center"/>
                            </w:pPr>
                          </w:p>
                        </w:txbxContent>
                      </v:textbox>
                    </v:shape>
                  </w:pict>
                </mc:Fallback>
              </mc:AlternateContent>
            </w:r>
            <w:r>
              <w:rPr>
                <w:noProof/>
              </w:rPr>
              <w:drawing>
                <wp:inline distT="0" distB="0" distL="0" distR="0">
                  <wp:extent cx="4025900" cy="2549858"/>
                  <wp:effectExtent l="0" t="0" r="0" b="3175"/>
                  <wp:docPr id="17" name="Picture 17" descr="SAVANNAH, GA-10 DEC 2016- A container ship and stacked containers from cargo line Hapag-Lloyd on the Savannah River in Georgia. The Port of Savannah is a major seaport for the south of th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ANNAH, GA-10 DEC 2016- A container ship and stacked containers from cargo line Hapag-Lloyd on the Savannah River in Georgia. The Port of Savannah is a major seaport for the south of the U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8367" cy="2557754"/>
                          </a:xfrm>
                          <a:prstGeom prst="rect">
                            <a:avLst/>
                          </a:prstGeom>
                          <a:noFill/>
                          <a:ln>
                            <a:noFill/>
                          </a:ln>
                        </pic:spPr>
                      </pic:pic>
                    </a:graphicData>
                  </a:graphic>
                </wp:inline>
              </w:drawing>
            </w:r>
          </w:p>
        </w:tc>
        <w:tc>
          <w:tcPr>
            <w:tcW w:w="4689" w:type="dxa"/>
          </w:tcPr>
          <w:p>
            <w:pPr>
              <w:jc w:val="center"/>
              <w:rPr>
                <w:b/>
                <w:sz w:val="28"/>
                <w:szCs w:val="28"/>
              </w:rPr>
            </w:pPr>
            <w:r>
              <w:rPr>
                <w:b/>
                <w:sz w:val="28"/>
                <w:szCs w:val="28"/>
              </w:rPr>
              <w:lastRenderedPageBreak/>
              <w:t>News:</w:t>
            </w: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CEO was the Lead trainer to the high officials of the biggest joint venture project in Bangladesh. </w:t>
            </w:r>
          </w:p>
          <w:p>
            <w:pPr>
              <w:pStyle w:val="ListParagraph"/>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provided that training on the skill of ‘Negotiation’ as a mechanism of ADR.</w:t>
            </w:r>
          </w:p>
          <w:p>
            <w:pPr>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presented in a two day high profile Large group workshop on ‘IPEC Bangladesh Non-Tariff Barriers Action planning Workshop’.</w:t>
            </w:r>
          </w:p>
          <w:p>
            <w:pPr>
              <w:pStyle w:val="ListParagraph"/>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 </w:t>
            </w: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CEO is at the preparation stage before presenting on ‘Anti-dumping, Countervailing duties and para-tariffs’ (International Trade and Commerce issues) </w:t>
            </w:r>
            <w:r>
              <w:rPr>
                <w:rFonts w:ascii="Times New Roman" w:hAnsi="Times New Roman" w:cs="Times New Roman"/>
                <w:color w:val="1D2129"/>
                <w:sz w:val="18"/>
                <w:szCs w:val="18"/>
                <w:u w:val="single"/>
                <w:shd w:val="clear" w:color="auto" w:fill="FFFFFF"/>
              </w:rPr>
              <w:lastRenderedPageBreak/>
              <w:t>in the ‘IPEC Bangladesh NTB Action planning Workshop’.</w:t>
            </w:r>
          </w:p>
          <w:p>
            <w:pPr>
              <w:pStyle w:val="ListParagraph"/>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is contributing in the FGD on the Textile Sustainability Platform (TSP).</w:t>
            </w:r>
          </w:p>
          <w:p>
            <w:pPr>
              <w:pStyle w:val="ListParagraph"/>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CEO Presented the Key Note in the seminar entitled  “Media laws of Bangladesh: Problems and Prospects”.</w:t>
            </w:r>
          </w:p>
          <w:p>
            <w:pPr>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Law analysis of CEO on reduction of congestion of cases in courts.</w:t>
            </w:r>
          </w:p>
          <w:p>
            <w:pPr>
              <w:pStyle w:val="ListParagraph"/>
              <w:rPr>
                <w:rFonts w:ascii="Times New Roman" w:hAnsi="Times New Roman" w:cs="Times New Roman"/>
                <w:color w:val="1D2129"/>
                <w:sz w:val="24"/>
                <w:szCs w:val="24"/>
                <w:shd w:val="clear" w:color="auto" w:fill="FFFFFF"/>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CEO attended in the seminar on "ADR: International best practice &amp; success factors" organized by BIAC in DCCI Building dated 17</w:t>
            </w:r>
            <w:r>
              <w:rPr>
                <w:rFonts w:ascii="Times New Roman" w:hAnsi="Times New Roman" w:cs="Times New Roman"/>
                <w:color w:val="1D2129"/>
                <w:sz w:val="18"/>
                <w:szCs w:val="18"/>
                <w:u w:val="single"/>
                <w:shd w:val="clear" w:color="auto" w:fill="FFFFFF"/>
                <w:vertAlign w:val="superscript"/>
              </w:rPr>
              <w:t>th</w:t>
            </w:r>
            <w:r>
              <w:rPr>
                <w:rFonts w:ascii="Times New Roman" w:hAnsi="Times New Roman" w:cs="Times New Roman"/>
                <w:color w:val="1D2129"/>
                <w:sz w:val="18"/>
                <w:szCs w:val="18"/>
                <w:u w:val="single"/>
                <w:shd w:val="clear" w:color="auto" w:fill="FFFFFF"/>
              </w:rPr>
              <w:t xml:space="preserve"> December 2016.</w:t>
            </w:r>
          </w:p>
          <w:p>
            <w:pPr>
              <w:pStyle w:val="ListParagraph"/>
              <w:rPr>
                <w:rFonts w:ascii="Times New Roman" w:hAnsi="Times New Roman" w:cs="Times New Roman"/>
                <w:color w:val="1D2129"/>
                <w:sz w:val="18"/>
                <w:szCs w:val="18"/>
                <w:u w:val="single"/>
                <w:shd w:val="clear" w:color="auto" w:fill="FFFFFF"/>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color w:val="1D2129"/>
                <w:sz w:val="18"/>
                <w:szCs w:val="18"/>
                <w:u w:val="single"/>
                <w:shd w:val="clear" w:color="auto" w:fill="FFFFFF"/>
              </w:rPr>
              <w:t xml:space="preserve">CEO attended in the </w:t>
            </w:r>
            <w:r>
              <w:rPr>
                <w:rFonts w:ascii="Times New Roman" w:hAnsi="Times New Roman" w:cs="Times New Roman"/>
                <w:sz w:val="18"/>
                <w:szCs w:val="18"/>
                <w:u w:val="single"/>
              </w:rPr>
              <w:t>‘Workshop on Commercial Mediation’ organized by BIAC and DCCI dated 11</w:t>
            </w:r>
            <w:r>
              <w:rPr>
                <w:rFonts w:ascii="Times New Roman" w:hAnsi="Times New Roman" w:cs="Times New Roman"/>
                <w:sz w:val="18"/>
                <w:szCs w:val="18"/>
                <w:u w:val="single"/>
                <w:vertAlign w:val="superscript"/>
              </w:rPr>
              <w:t>th</w:t>
            </w:r>
            <w:r>
              <w:rPr>
                <w:rFonts w:ascii="Times New Roman" w:hAnsi="Times New Roman" w:cs="Times New Roman"/>
                <w:sz w:val="18"/>
                <w:szCs w:val="18"/>
                <w:u w:val="single"/>
              </w:rPr>
              <w:t xml:space="preserve"> March 2016.</w:t>
            </w:r>
          </w:p>
          <w:p>
            <w:pPr>
              <w:jc w:val="bot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CEO was an invited guest in the ‘Asia-Pacific Business Forum’ organized by ICC Bangladesh, Ministry of Commerce of Bangladesh and United Nations ESCAP held on 8-9</w:t>
            </w:r>
            <w:r>
              <w:rPr>
                <w:rFonts w:ascii="Times New Roman" w:hAnsi="Times New Roman" w:cs="Times New Roman"/>
                <w:sz w:val="18"/>
                <w:szCs w:val="18"/>
                <w:u w:val="single"/>
                <w:vertAlign w:val="superscript"/>
              </w:rPr>
              <w:t>th</w:t>
            </w:r>
            <w:r>
              <w:rPr>
                <w:rFonts w:ascii="Times New Roman" w:hAnsi="Times New Roman" w:cs="Times New Roman"/>
                <w:sz w:val="18"/>
                <w:szCs w:val="18"/>
                <w:u w:val="single"/>
              </w:rPr>
              <w:t xml:space="preserve"> February 2017.</w:t>
            </w:r>
          </w:p>
          <w:p>
            <w:pPr>
              <w:pStyle w:val="ListParagraph"/>
              <w:rPr>
                <w:rFonts w:ascii="Times New Roman" w:hAnsi="Times New Roman" w:cs="Times New Roman"/>
                <w:sz w:val="18"/>
                <w:szCs w:val="18"/>
                <w:u w:val="single"/>
              </w:rPr>
            </w:pPr>
          </w:p>
          <w:p>
            <w:pPr>
              <w:pStyle w:val="ListParagraph"/>
              <w:numPr>
                <w:ilvl w:val="0"/>
                <w:numId w:val="2"/>
              </w:numPr>
              <w:jc w:val="both"/>
              <w:rPr>
                <w:rFonts w:ascii="Times New Roman" w:hAnsi="Times New Roman" w:cs="Times New Roman"/>
                <w:sz w:val="18"/>
                <w:szCs w:val="18"/>
                <w:u w:val="single"/>
              </w:rPr>
            </w:pPr>
            <w:r>
              <w:rPr>
                <w:rFonts w:ascii="Times New Roman" w:hAnsi="Times New Roman" w:cs="Times New Roman"/>
                <w:sz w:val="18"/>
                <w:szCs w:val="18"/>
                <w:u w:val="single"/>
              </w:rPr>
              <w:t>CEO was an invited guest in the ‘Investment Summit’ organized by Board of Investment of Bangladesh, DCCI, BUILD.</w:t>
            </w:r>
          </w:p>
          <w:p/>
        </w:tc>
      </w:tr>
    </w:tbl>
    <w:p/>
    <w:p/>
    <w:p/>
    <w:p/>
    <w:p/>
    <w:p/>
    <w:p/>
    <w:p/>
    <w:p/>
    <w:p/>
    <w:p/>
    <w:p/>
    <w:p/>
    <w:p/>
    <w:p/>
    <w:p/>
    <w:tbl>
      <w:tblPr>
        <w:tblStyle w:val="TableGrid"/>
        <w:tblW w:w="0" w:type="auto"/>
        <w:tblLook w:val="04A0" w:firstRow="1" w:lastRow="0" w:firstColumn="1" w:lastColumn="0" w:noHBand="0" w:noVBand="1"/>
      </w:tblPr>
      <w:tblGrid>
        <w:gridCol w:w="12950"/>
      </w:tblGrid>
      <w:tr>
        <w:tc>
          <w:tcPr>
            <w:tcW w:w="12950" w:type="dxa"/>
          </w:tcPr>
          <w:p/>
          <w:p>
            <w:pPr>
              <w:pStyle w:val="ListParagraph"/>
              <w:numPr>
                <w:ilvl w:val="0"/>
                <w:numId w:val="3"/>
              </w:numPr>
              <w:rPr>
                <w:b/>
                <w:u w:val="single"/>
              </w:rPr>
            </w:pPr>
            <w:r>
              <w:rPr>
                <w:rFonts w:ascii="Helvetica" w:hAnsi="Helvetica" w:cs="Helvetica"/>
                <w:b/>
                <w:color w:val="1D2129"/>
                <w:sz w:val="18"/>
                <w:szCs w:val="18"/>
                <w:u w:val="single"/>
                <w:shd w:val="clear" w:color="auto" w:fill="FFFFFF"/>
              </w:rPr>
              <w:t xml:space="preserve">CEO was the Lead trainer to the high officials of the biggest joint venture project in Bangladesh: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8"/>
              <w:gridCol w:w="2474"/>
            </w:tblGrid>
            <w:tr>
              <w:tc>
                <w:tcPr>
                  <w:tcW w:w="6876" w:type="dxa"/>
                </w:tcPr>
                <w:p/>
              </w:tc>
              <w:tc>
                <w:tcPr>
                  <w:tcW w:w="2474" w:type="dxa"/>
                </w:tcPr>
                <w:p/>
              </w:tc>
            </w:tr>
            <w:tr>
              <w:tc>
                <w:tcPr>
                  <w:tcW w:w="6876" w:type="dxa"/>
                </w:tcPr>
                <w:p>
                  <w:r>
                    <w:rPr>
                      <w:noProof/>
                    </w:rPr>
                    <w:lastRenderedPageBreak/>
                    <w:drawing>
                      <wp:inline distT="0" distB="0" distL="0" distR="0">
                        <wp:extent cx="4094801" cy="2905125"/>
                        <wp:effectExtent l="0" t="0" r="1270" b="0"/>
                        <wp:docPr id="3" name="Picture 3" descr="C:\Users\Qium\Desktop\BIAC\BIAC-KAFCO\17352620_10211166152203112_5437218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um\Desktop\BIAC\BIAC-KAFCO\17352620_10211166152203112_543721874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56021" cy="2948558"/>
                                </a:xfrm>
                                <a:prstGeom prst="rect">
                                  <a:avLst/>
                                </a:prstGeom>
                                <a:noFill/>
                                <a:ln>
                                  <a:noFill/>
                                </a:ln>
                              </pic:spPr>
                            </pic:pic>
                          </a:graphicData>
                        </a:graphic>
                      </wp:inline>
                    </w:drawing>
                  </w:r>
                </w:p>
              </w:tc>
              <w:tc>
                <w:tcPr>
                  <w:tcW w:w="2474" w:type="dxa"/>
                </w:tcPr>
                <w:p/>
              </w:tc>
            </w:tr>
            <w:tr>
              <w:tc>
                <w:tcPr>
                  <w:tcW w:w="6876" w:type="dxa"/>
                </w:tcPr>
                <w:p>
                  <w:pPr>
                    <w:jc w:val="both"/>
                    <w:rPr>
                      <w:sz w:val="18"/>
                      <w:szCs w:val="18"/>
                    </w:rPr>
                  </w:pPr>
                  <w:r>
                    <w:rPr>
                      <w:rFonts w:ascii="Helvetica" w:hAnsi="Helvetica" w:cs="Helvetica"/>
                      <w:color w:val="1D2129"/>
                      <w:sz w:val="18"/>
                      <w:szCs w:val="18"/>
                      <w:shd w:val="clear" w:color="auto" w:fill="FFFFFF"/>
                    </w:rPr>
                    <w:t>CEO of Law  Abode (sitting second from left) was the Lead trainer on behalf of Bangladesh International Arbitration Centre (BIAC) to provide training to Karnaphuli Fertilizer Company LTD (KAFCO), the biggest joint venture project in Bangladesh ventured with Bangladesh, Japan, Denmark and Netherlands, having its premises in about 100 acres beside the Karnaphuli river in Chittagong. Participants in the training were 22 High officials including COO, GM, a number of DGMs and executives.</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p/>
                <w:p/>
                <w:p/>
                <w:p/>
                <w:p/>
                <w:p/>
                <w:p>
                  <w:pPr>
                    <w:pStyle w:val="ListParagraph"/>
                    <w:numPr>
                      <w:ilvl w:val="0"/>
                      <w:numId w:val="3"/>
                    </w:numPr>
                    <w:rPr>
                      <w:b/>
                      <w:u w:val="single"/>
                    </w:rPr>
                  </w:pPr>
                  <w:r>
                    <w:rPr>
                      <w:rFonts w:ascii="Helvetica" w:hAnsi="Helvetica" w:cs="Helvetica"/>
                      <w:b/>
                      <w:color w:val="1D2129"/>
                      <w:sz w:val="18"/>
                      <w:szCs w:val="18"/>
                      <w:u w:val="single"/>
                      <w:shd w:val="clear" w:color="auto" w:fill="FFFFFF"/>
                    </w:rPr>
                    <w:t xml:space="preserve">CEO provided that training on the skill of ’ Negotiation’ as a mechanism of ADR: </w:t>
                  </w:r>
                </w:p>
                <w:p/>
                <w:p>
                  <w:r>
                    <w:rPr>
                      <w:noProof/>
                    </w:rPr>
                    <w:lastRenderedPageBreak/>
                    <w:drawing>
                      <wp:inline distT="0" distB="0" distL="0" distR="0">
                        <wp:extent cx="3895424" cy="3019425"/>
                        <wp:effectExtent l="0" t="0" r="0" b="0"/>
                        <wp:docPr id="4" name="Picture 4" descr="C:\Users\Qium\Desktop\BIAC\BIAC-KAFCO\17355016_10211166152243113_9911647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um\Desktop\BIAC\BIAC-KAFCO\17355016_10211166152243113_991164741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8374" cy="3044965"/>
                                </a:xfrm>
                                <a:prstGeom prst="rect">
                                  <a:avLst/>
                                </a:prstGeom>
                                <a:noFill/>
                                <a:ln>
                                  <a:noFill/>
                                </a:ln>
                              </pic:spPr>
                            </pic:pic>
                          </a:graphicData>
                        </a:graphic>
                      </wp:inline>
                    </w:drawing>
                  </w:r>
                </w:p>
              </w:tc>
              <w:tc>
                <w:tcPr>
                  <w:tcW w:w="2474" w:type="dxa"/>
                </w:tcPr>
                <w:p/>
              </w:tc>
            </w:tr>
            <w:tr>
              <w:tc>
                <w:tcPr>
                  <w:tcW w:w="6876" w:type="dxa"/>
                </w:tcPr>
                <w:p>
                  <w:pPr>
                    <w:rPr>
                      <w:sz w:val="18"/>
                      <w:szCs w:val="18"/>
                    </w:rPr>
                  </w:pPr>
                  <w:r>
                    <w:rPr>
                      <w:rFonts w:ascii="Helvetica" w:hAnsi="Helvetica" w:cs="Helvetica"/>
                      <w:color w:val="1D2129"/>
                      <w:sz w:val="18"/>
                      <w:szCs w:val="18"/>
                      <w:shd w:val="clear" w:color="auto" w:fill="FFFFFF"/>
                    </w:rPr>
                    <w:lastRenderedPageBreak/>
                    <w:t xml:space="preserve">CEO of Law Abode is providing training in ’ Negotiation’ on behalf of BIAC to high officials of KAFCO including COO, GM, a number of DGMs and executives, the biggest joint venture project in Bangladesh.  </w:t>
                  </w:r>
                </w:p>
              </w:tc>
              <w:tc>
                <w:tcPr>
                  <w:tcW w:w="2474" w:type="dxa"/>
                </w:tcPr>
                <w:p/>
              </w:tc>
            </w:tr>
            <w:tr>
              <w:tc>
                <w:tcPr>
                  <w:tcW w:w="6876" w:type="dxa"/>
                </w:tcPr>
                <w:p/>
              </w:tc>
              <w:tc>
                <w:tcPr>
                  <w:tcW w:w="2474" w:type="dxa"/>
                </w:tcPr>
                <w:p/>
              </w:tc>
            </w:tr>
            <w:tr>
              <w:tc>
                <w:tcPr>
                  <w:tcW w:w="6876" w:type="dxa"/>
                </w:tcPr>
                <w:p/>
                <w:p/>
                <w:p/>
                <w:p/>
                <w:p/>
                <w:p/>
                <w:p/>
                <w:p/>
                <w:p/>
                <w:p>
                  <w:pPr>
                    <w:pStyle w:val="ListParagraph"/>
                    <w:numPr>
                      <w:ilvl w:val="0"/>
                      <w:numId w:val="3"/>
                    </w:numPr>
                  </w:pPr>
                  <w:r>
                    <w:rPr>
                      <w:rFonts w:ascii="Helvetica" w:hAnsi="Helvetica" w:cs="Helvetica"/>
                      <w:b/>
                      <w:color w:val="1D2129"/>
                      <w:sz w:val="18"/>
                      <w:szCs w:val="18"/>
                      <w:u w:val="single"/>
                      <w:shd w:val="clear" w:color="auto" w:fill="FFFFFF"/>
                    </w:rPr>
                    <w:t>CEO presented in a two day high profile Large group</w:t>
                  </w:r>
                  <w:r>
                    <w:rPr>
                      <w:rFonts w:ascii="Helvetica" w:hAnsi="Helvetica" w:cs="Helvetica"/>
                      <w:color w:val="1D2129"/>
                      <w:sz w:val="18"/>
                      <w:szCs w:val="18"/>
                      <w:shd w:val="clear" w:color="auto" w:fill="FFFFFF"/>
                    </w:rPr>
                    <w:t xml:space="preserve"> </w:t>
                  </w:r>
                  <w:r>
                    <w:rPr>
                      <w:rFonts w:ascii="Helvetica" w:hAnsi="Helvetica" w:cs="Helvetica"/>
                      <w:b/>
                      <w:color w:val="1D2129"/>
                      <w:sz w:val="18"/>
                      <w:szCs w:val="18"/>
                      <w:u w:val="single"/>
                      <w:shd w:val="clear" w:color="auto" w:fill="FFFFFF"/>
                    </w:rPr>
                    <w:t>workshop on ‘IPEC Bangladesh Non-Tariff Barriers Action planning Workshop’</w:t>
                  </w:r>
                  <w:r>
                    <w:rPr>
                      <w:rFonts w:ascii="Helvetica" w:hAnsi="Helvetica" w:cs="Helvetica"/>
                      <w:color w:val="1D2129"/>
                      <w:sz w:val="18"/>
                      <w:szCs w:val="18"/>
                      <w:shd w:val="clear" w:color="auto" w:fill="FFFFFF"/>
                    </w:rPr>
                    <w:t xml:space="preserve">: </w:t>
                  </w:r>
                </w:p>
                <w:p/>
              </w:tc>
              <w:tc>
                <w:tcPr>
                  <w:tcW w:w="2474" w:type="dxa"/>
                </w:tcPr>
                <w:p/>
              </w:tc>
            </w:tr>
            <w:tr>
              <w:tc>
                <w:tcPr>
                  <w:tcW w:w="6876" w:type="dxa"/>
                </w:tcPr>
                <w:p>
                  <w:r>
                    <w:rPr>
                      <w:noProof/>
                    </w:rPr>
                    <w:lastRenderedPageBreak/>
                    <w:drawing>
                      <wp:inline distT="0" distB="0" distL="0" distR="0">
                        <wp:extent cx="4105275" cy="1355725"/>
                        <wp:effectExtent l="0" t="0" r="9525" b="0"/>
                        <wp:docPr id="5" name="Picture 5" descr="C:\Users\Qium\Desktop\BUILD Photos\IMG_2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um\Desktop\BUILD Photos\IMG_21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8762" cy="1360179"/>
                                </a:xfrm>
                                <a:prstGeom prst="rect">
                                  <a:avLst/>
                                </a:prstGeom>
                                <a:noFill/>
                                <a:ln>
                                  <a:noFill/>
                                </a:ln>
                              </pic:spPr>
                            </pic:pic>
                          </a:graphicData>
                        </a:graphic>
                      </wp:inline>
                    </w:drawing>
                  </w:r>
                </w:p>
              </w:tc>
              <w:tc>
                <w:tcPr>
                  <w:tcW w:w="2474" w:type="dxa"/>
                </w:tcPr>
                <w:p/>
              </w:tc>
            </w:tr>
            <w:tr>
              <w:tc>
                <w:tcPr>
                  <w:tcW w:w="6876" w:type="dxa"/>
                </w:tcPr>
                <w:p>
                  <w:pPr>
                    <w:jc w:val="both"/>
                    <w:rPr>
                      <w:sz w:val="18"/>
                      <w:szCs w:val="18"/>
                    </w:rPr>
                  </w:pPr>
                  <w:r>
                    <w:rPr>
                      <w:rFonts w:ascii="Helvetica" w:hAnsi="Helvetica" w:cs="Helvetica"/>
                      <w:color w:val="1D2129"/>
                      <w:sz w:val="18"/>
                      <w:szCs w:val="18"/>
                      <w:shd w:val="clear" w:color="auto" w:fill="FFFFFF"/>
                    </w:rPr>
                    <w:t>CEO of Law  Abode was one of the four presenters presenting on behalf of their four small groups in a high profile Large group workshop in Westin in the issues ‘Anti-dumping, Countervailing duties and para-tariffs’  in the two day workshop organized by USAID and BUILD on the topic ‘IPEC Bangladesh Non-Tariff Barriers Action planning Workshop’ where one former minister, a number of secretaries of the Government of Bangladesh as well as High officials of NBR, BoI, Export promotion Bureau, Tariff Commission of Bangladesh and the leaders from different chambers of commerce in Bangladesh were participants.</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tc>
              <w:tc>
                <w:tcPr>
                  <w:tcW w:w="2474" w:type="dxa"/>
                </w:tcPr>
                <w:p/>
              </w:tc>
            </w:tr>
            <w:tr>
              <w:tc>
                <w:tcPr>
                  <w:tcW w:w="6876" w:type="dxa"/>
                </w:tcPr>
                <w:p>
                  <w:pPr>
                    <w:rPr>
                      <w:rFonts w:ascii="Helvetica" w:hAnsi="Helvetica" w:cs="Helvetica"/>
                      <w:b/>
                      <w:color w:val="1D2129"/>
                      <w:sz w:val="18"/>
                      <w:szCs w:val="18"/>
                      <w:u w:val="single"/>
                      <w:shd w:val="clear" w:color="auto" w:fill="FFFFFF"/>
                    </w:rPr>
                  </w:pPr>
                </w:p>
              </w:tc>
              <w:tc>
                <w:tcPr>
                  <w:tcW w:w="2474" w:type="dxa"/>
                </w:tcPr>
                <w:p/>
              </w:tc>
            </w:tr>
            <w:tr>
              <w:tc>
                <w:tcPr>
                  <w:tcW w:w="6876" w:type="dxa"/>
                </w:tcPr>
                <w:p>
                  <w:pPr>
                    <w:pStyle w:val="ListParagraph"/>
                    <w:numPr>
                      <w:ilvl w:val="0"/>
                      <w:numId w:val="3"/>
                    </w:numPr>
                    <w:rPr>
                      <w:b/>
                      <w:u w:val="single"/>
                    </w:rPr>
                  </w:pPr>
                  <w:r>
                    <w:rPr>
                      <w:rFonts w:ascii="Helvetica" w:hAnsi="Helvetica" w:cs="Helvetica"/>
                      <w:b/>
                      <w:color w:val="1D2129"/>
                      <w:sz w:val="18"/>
                      <w:szCs w:val="18"/>
                      <w:u w:val="single"/>
                      <w:shd w:val="clear" w:color="auto" w:fill="FFFFFF"/>
                    </w:rPr>
                    <w:t xml:space="preserve">CEO is at the preparation stage before presenting on ‘Anti-dumping, Countervailing duties and para-tariffs’ (International Trade and Commerce issues) in the ‘IPEC Bangladesh NTB Action planning Workshop’, </w:t>
                  </w: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3971925" cy="2057400"/>
                        <wp:effectExtent l="0" t="0" r="9525" b="0"/>
                        <wp:docPr id="7" name="Picture 7" descr="C:\Users\Qium\Desktop\BUILD Photos\IMG_2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um\Desktop\BUILD Photos\IMG_215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10" cy="2063297"/>
                                </a:xfrm>
                                <a:prstGeom prst="rect">
                                  <a:avLst/>
                                </a:prstGeom>
                                <a:noFill/>
                                <a:ln>
                                  <a:noFill/>
                                </a:ln>
                              </pic:spPr>
                            </pic:pic>
                          </a:graphicData>
                        </a:graphic>
                      </wp:inline>
                    </w:drawing>
                  </w:r>
                </w:p>
              </w:tc>
              <w:tc>
                <w:tcPr>
                  <w:tcW w:w="2474" w:type="dxa"/>
                </w:tcPr>
                <w:p/>
              </w:tc>
            </w:tr>
            <w:tr>
              <w:tc>
                <w:tcPr>
                  <w:tcW w:w="6876" w:type="dxa"/>
                </w:tcPr>
                <w:p>
                  <w:pPr>
                    <w:rPr>
                      <w:rFonts w:ascii="Helvetica" w:hAnsi="Helvetica" w:cs="Helvetica"/>
                      <w:color w:val="1D2129"/>
                      <w:sz w:val="18"/>
                      <w:szCs w:val="18"/>
                      <w:shd w:val="clear" w:color="auto" w:fill="FFFFFF"/>
                    </w:rPr>
                  </w:pPr>
                  <w:r>
                    <w:rPr>
                      <w:rFonts w:ascii="Helvetica" w:hAnsi="Helvetica" w:cs="Helvetica"/>
                      <w:color w:val="1D2129"/>
                      <w:sz w:val="18"/>
                      <w:szCs w:val="18"/>
                      <w:shd w:val="clear" w:color="auto" w:fill="FFFFFF"/>
                    </w:rPr>
                    <w:t xml:space="preserve">CEO of Law Abode (third from the left) is at the preparation stage before presenting on behalf of their small group in ‘IPEC Bangladesh NTB Action planning Workshop’. He presented in the issues ‘Anti-dumping, Countervailing duties and para-tariffs’ (International Trade and Commerce issues).  </w:t>
                  </w: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rFonts w:ascii="Helvetica" w:hAnsi="Helvetica" w:cs="Helvetica"/>
                      <w:color w:val="1D2129"/>
                      <w:sz w:val="18"/>
                      <w:szCs w:val="18"/>
                      <w:shd w:val="clear" w:color="auto" w:fill="FFFFFF"/>
                    </w:rPr>
                  </w:pPr>
                </w:p>
                <w:p>
                  <w:pPr>
                    <w:rPr>
                      <w:sz w:val="18"/>
                      <w:szCs w:val="18"/>
                    </w:rPr>
                  </w:pPr>
                </w:p>
                <w:p>
                  <w:pPr>
                    <w:rPr>
                      <w:sz w:val="18"/>
                      <w:szCs w:val="18"/>
                    </w:rPr>
                  </w:pPr>
                </w:p>
                <w:p>
                  <w:pPr>
                    <w:rPr>
                      <w:sz w:val="18"/>
                      <w:szCs w:val="18"/>
                    </w:rPr>
                  </w:pPr>
                </w:p>
              </w:tc>
              <w:tc>
                <w:tcPr>
                  <w:tcW w:w="2474" w:type="dxa"/>
                </w:tcPr>
                <w:p/>
              </w:tc>
            </w:tr>
            <w:tr>
              <w:tc>
                <w:tcPr>
                  <w:tcW w:w="6876" w:type="dxa"/>
                </w:tcPr>
                <w:p/>
              </w:tc>
              <w:tc>
                <w:tcPr>
                  <w:tcW w:w="2474" w:type="dxa"/>
                </w:tcPr>
                <w:p/>
              </w:tc>
            </w:tr>
            <w:tr>
              <w:tc>
                <w:tcPr>
                  <w:tcW w:w="6876" w:type="dxa"/>
                </w:tcPr>
                <w:p/>
                <w:p>
                  <w:pPr>
                    <w:pStyle w:val="ListParagraph"/>
                    <w:numPr>
                      <w:ilvl w:val="0"/>
                      <w:numId w:val="3"/>
                    </w:numPr>
                    <w:rPr>
                      <w:b/>
                      <w:u w:val="single"/>
                    </w:rPr>
                  </w:pPr>
                  <w:r>
                    <w:rPr>
                      <w:rFonts w:ascii="Helvetica" w:hAnsi="Helvetica" w:cs="Helvetica"/>
                      <w:b/>
                      <w:color w:val="1D2129"/>
                      <w:sz w:val="16"/>
                      <w:szCs w:val="16"/>
                      <w:u w:val="single"/>
                      <w:shd w:val="clear" w:color="auto" w:fill="FFFFFF"/>
                    </w:rPr>
                    <w:t xml:space="preserve">CEO is contributing in the FGD on the Textile Sustainability Platform (TSP): </w:t>
                  </w: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3369797" cy="2527348"/>
                        <wp:effectExtent l="0" t="0" r="2540" b="6350"/>
                        <wp:docPr id="10" name="Picture 10" descr="C:\Users\Qium\Desktop\BUILD Photos\BUILD &amp; TSP\20614213_1607349485983571_1915530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ium\Desktop\BUILD Photos\BUILD &amp; TSP\20614213_1607349485983571_191553042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8476" cy="2541357"/>
                                </a:xfrm>
                                <a:prstGeom prst="rect">
                                  <a:avLst/>
                                </a:prstGeom>
                                <a:noFill/>
                                <a:ln>
                                  <a:noFill/>
                                </a:ln>
                              </pic:spPr>
                            </pic:pic>
                          </a:graphicData>
                        </a:graphic>
                      </wp:inline>
                    </w:drawing>
                  </w:r>
                </w:p>
              </w:tc>
              <w:tc>
                <w:tcPr>
                  <w:tcW w:w="2474" w:type="dxa"/>
                </w:tcPr>
                <w:p/>
              </w:tc>
            </w:tr>
            <w:tr>
              <w:tc>
                <w:tcPr>
                  <w:tcW w:w="6876" w:type="dxa"/>
                </w:tcPr>
                <w:p>
                  <w:pPr>
                    <w:jc w:val="both"/>
                    <w:rPr>
                      <w:sz w:val="16"/>
                      <w:szCs w:val="16"/>
                    </w:rPr>
                  </w:pPr>
                  <w:r>
                    <w:rPr>
                      <w:rFonts w:ascii="Helvetica" w:hAnsi="Helvetica" w:cs="Helvetica"/>
                      <w:color w:val="1D2129"/>
                      <w:sz w:val="18"/>
                      <w:szCs w:val="18"/>
                      <w:shd w:val="clear" w:color="auto" w:fill="FFFFFF"/>
                    </w:rPr>
                    <w:t>CEO participated in a Focus Group Discussion (FGD) on the Textile Sustainability Platform (TSP) implemented by IFC-WBG and BUILD in the to-be-demolished BGMEA Bhaban</w:t>
                  </w:r>
                  <w:r>
                    <w:rPr>
                      <w:rFonts w:ascii="Helvetica" w:hAnsi="Helvetica" w:cs="Helvetica"/>
                      <w:color w:val="1D2129"/>
                      <w:sz w:val="16"/>
                      <w:szCs w:val="16"/>
                      <w:shd w:val="clear" w:color="auto" w:fill="FFFFFF"/>
                    </w:rPr>
                    <w:t xml:space="preserve">.  </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912917" cy="2367886"/>
                        <wp:effectExtent l="0" t="0" r="0" b="0"/>
                        <wp:docPr id="11" name="Picture 11" descr="C:\Users\Qium\Desktop\BUILD Photos\BUILD &amp; TSP\BUILD &amp; T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um\Desktop\BUILD Photos\BUILD &amp; TSP\BUILD &amp; TS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3685" cy="2416763"/>
                                </a:xfrm>
                                <a:prstGeom prst="rect">
                                  <a:avLst/>
                                </a:prstGeom>
                                <a:noFill/>
                                <a:ln>
                                  <a:noFill/>
                                </a:ln>
                              </pic:spPr>
                            </pic:pic>
                          </a:graphicData>
                        </a:graphic>
                      </wp:inline>
                    </w:drawing>
                  </w:r>
                </w:p>
              </w:tc>
              <w:tc>
                <w:tcPr>
                  <w:tcW w:w="2474" w:type="dxa"/>
                </w:tcPr>
                <w:p/>
              </w:tc>
            </w:tr>
            <w:tr>
              <w:tc>
                <w:tcPr>
                  <w:tcW w:w="6876" w:type="dxa"/>
                </w:tcPr>
                <w:p>
                  <w:pPr>
                    <w:jc w:val="both"/>
                    <w:rPr>
                      <w:sz w:val="16"/>
                      <w:szCs w:val="16"/>
                    </w:rPr>
                  </w:pPr>
                  <w:r>
                    <w:rPr>
                      <w:rFonts w:ascii="Helvetica" w:hAnsi="Helvetica" w:cs="Helvetica"/>
                      <w:color w:val="1D2129"/>
                      <w:sz w:val="16"/>
                      <w:szCs w:val="16"/>
                      <w:shd w:val="clear" w:color="auto" w:fill="FFFFFF"/>
                    </w:rPr>
                    <w:t>CEO is contributing in the FGD on the Textile Sustainability Platform (TSP) giving a good insight about the uses of natural resources, specially water, in textile industries and their legal requirements.</w:t>
                  </w:r>
                </w:p>
              </w:tc>
              <w:tc>
                <w:tcPr>
                  <w:tcW w:w="2474" w:type="dxa"/>
                </w:tcPr>
                <w:p/>
              </w:tc>
            </w:tr>
            <w:tr>
              <w:tc>
                <w:tcPr>
                  <w:tcW w:w="6876" w:type="dxa"/>
                </w:tcPr>
                <w:p/>
              </w:tc>
              <w:tc>
                <w:tcPr>
                  <w:tcW w:w="2474" w:type="dxa"/>
                </w:tcPr>
                <w:p/>
              </w:tc>
            </w:tr>
            <w:tr>
              <w:tc>
                <w:tcPr>
                  <w:tcW w:w="6876" w:type="dxa"/>
                </w:tcPr>
                <w:p/>
                <w:p/>
                <w:p/>
                <w:p/>
                <w:p/>
                <w:p/>
                <w:p/>
                <w:p/>
                <w:p/>
                <w:p/>
                <w:p/>
                <w:p/>
                <w:p/>
                <w:p/>
                <w:p/>
                <w:p/>
                <w:p/>
                <w:p/>
                <w:p/>
                <w:p/>
                <w:p/>
                <w:p/>
                <w:p/>
                <w:p/>
                <w:p/>
                <w:p/>
                <w:p/>
                <w:p/>
                <w:p/>
                <w:p/>
                <w:p/>
                <w:p/>
                <w:p/>
                <w:p/>
                <w:p/>
                <w:p/>
                <w:p/>
                <w:p/>
                <w:p/>
                <w:p/>
                <w:p/>
                <w:p/>
                <w:p/>
                <w:p/>
                <w:p/>
                <w:p/>
                <w:p/>
                <w:p/>
                <w:p/>
                <w:p/>
                <w:p/>
                <w:p/>
                <w:p>
                  <w:pPr>
                    <w:pStyle w:val="ListParagraph"/>
                    <w:numPr>
                      <w:ilvl w:val="0"/>
                      <w:numId w:val="3"/>
                    </w:numPr>
                    <w:rPr>
                      <w:b/>
                      <w:u w:val="single"/>
                    </w:rPr>
                  </w:pPr>
                  <w:r>
                    <w:rPr>
                      <w:b/>
                      <w:u w:val="single"/>
                    </w:rPr>
                    <w:t>Law analysis of CEO on reduction of congestion of cases in courts:</w:t>
                  </w:r>
                </w:p>
                <w:p>
                  <w:pPr>
                    <w:rPr>
                      <w:b/>
                      <w:u w:val="single"/>
                    </w:rPr>
                  </w:pPr>
                </w:p>
                <w:p>
                  <w:pPr>
                    <w:rPr>
                      <w:b/>
                      <w:u w:val="single"/>
                    </w:rPr>
                  </w:pPr>
                </w:p>
              </w:tc>
              <w:tc>
                <w:tcPr>
                  <w:tcW w:w="2474" w:type="dxa"/>
                </w:tcPr>
                <w:p/>
              </w:tc>
            </w:tr>
            <w:tr>
              <w:tc>
                <w:tcPr>
                  <w:tcW w:w="6876" w:type="dxa"/>
                </w:tcPr>
                <w:p>
                  <w:r>
                    <w:rPr>
                      <w:noProof/>
                    </w:rPr>
                    <w:lastRenderedPageBreak/>
                    <w:drawing>
                      <wp:inline distT="0" distB="0" distL="0" distR="0">
                        <wp:extent cx="3814445" cy="8577618"/>
                        <wp:effectExtent l="0" t="0" r="0" b="0"/>
                        <wp:docPr id="12" name="Picture 12" descr="C:\Users\Qium\Desktop\Reducing congestion\2016_04_26_12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um\Desktop\Reducing congestion\2016_04_26_12_1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650" cy="8605063"/>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4688006" cy="3806190"/>
                        <wp:effectExtent l="0" t="0" r="0" b="3810"/>
                        <wp:docPr id="1" name="Picture 1" descr="C:\Users\Qium\Desktop\15232318_10212119916499724_321594491950898226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um\Desktop\15232318_10212119916499724_3215944919508982267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9445" cy="3823596"/>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3510915" cy="2524836"/>
                        <wp:effectExtent l="0" t="0" r="0" b="8890"/>
                        <wp:docPr id="15" name="Picture 15" descr="C:\Users\Qium\Desktop\15326502_10212119923939910_82158642631941721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um\Desktop\15326502_10212119923939910_8215864263194172168_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6780" cy="2543437"/>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drawing>
                      <wp:inline distT="0" distB="0" distL="0" distR="0">
                        <wp:extent cx="3541357" cy="1994643"/>
                        <wp:effectExtent l="0" t="0" r="2540" b="5715"/>
                        <wp:docPr id="23" name="Picture 23" descr="G:\Photographs of seminar\most important\DSC01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hotographs of seminar\most important\DSC0127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161" cy="2006360"/>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p/>
                <w:p/>
                <w:p/>
                <w:p/>
                <w:p/>
                <w:p/>
                <w:p/>
                <w:p/>
                <w:p/>
                <w:p/>
                <w:p/>
                <w:p/>
                <w:p/>
                <w:p/>
                <w:p/>
                <w:p/>
                <w:p/>
                <w:p/>
                <w:p>
                  <w:pPr>
                    <w:pStyle w:val="ListParagraph"/>
                    <w:numPr>
                      <w:ilvl w:val="0"/>
                      <w:numId w:val="3"/>
                    </w:numPr>
                    <w:rPr>
                      <w:b/>
                      <w:u w:val="single"/>
                    </w:rPr>
                  </w:pPr>
                  <w:r>
                    <w:rPr>
                      <w:b/>
                      <w:sz w:val="18"/>
                      <w:szCs w:val="18"/>
                      <w:u w:val="single"/>
                    </w:rPr>
                    <w:t xml:space="preserve">CEO Presented the Key Note in the seminar entitled  “Media laws of Bangladesh: Problems and Prospects” : </w:t>
                  </w:r>
                </w:p>
                <w:p/>
              </w:tc>
              <w:tc>
                <w:tcPr>
                  <w:tcW w:w="2474" w:type="dxa"/>
                </w:tcPr>
                <w:p/>
              </w:tc>
            </w:tr>
            <w:tr>
              <w:tc>
                <w:tcPr>
                  <w:tcW w:w="6876" w:type="dxa"/>
                </w:tcPr>
                <w:p/>
              </w:tc>
              <w:tc>
                <w:tcPr>
                  <w:tcW w:w="2474" w:type="dxa"/>
                </w:tcPr>
                <w:p/>
              </w:tc>
            </w:tr>
            <w:tr>
              <w:tc>
                <w:tcPr>
                  <w:tcW w:w="6876" w:type="dxa"/>
                </w:tcPr>
                <w:p>
                  <w:r>
                    <w:rPr>
                      <w:noProof/>
                    </w:rPr>
                    <w:drawing>
                      <wp:inline distT="0" distB="0" distL="0" distR="0">
                        <wp:extent cx="3980403" cy="2047875"/>
                        <wp:effectExtent l="0" t="0" r="1270" b="0"/>
                        <wp:docPr id="18" name="Picture 18" descr="G:\Photographs of seminar\most important\DSC0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hotographs of seminar\most important\DSC013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3237" cy="2075058"/>
                                </a:xfrm>
                                <a:prstGeom prst="rect">
                                  <a:avLst/>
                                </a:prstGeom>
                                <a:noFill/>
                                <a:ln>
                                  <a:noFill/>
                                </a:ln>
                              </pic:spPr>
                            </pic:pic>
                          </a:graphicData>
                        </a:graphic>
                      </wp:inline>
                    </w:drawing>
                  </w:r>
                </w:p>
              </w:tc>
              <w:tc>
                <w:tcPr>
                  <w:tcW w:w="2474" w:type="dxa"/>
                </w:tcPr>
                <w:p/>
              </w:tc>
            </w:tr>
            <w:tr>
              <w:tc>
                <w:tcPr>
                  <w:tcW w:w="6876" w:type="dxa"/>
                </w:tcPr>
                <w:p>
                  <w:pPr>
                    <w:jc w:val="both"/>
                  </w:pPr>
                  <w:r>
                    <w:rPr>
                      <w:sz w:val="18"/>
                      <w:szCs w:val="18"/>
                    </w:rPr>
                    <w:t>CEO Presenting the Key Note in the seminar entitled  “Media laws of Bangladesh: Problems and Prospects”  arranged by the Northern University of Bangladesh (NUB) in Hotel pan Pacific Sonargaon on 26</w:t>
                  </w:r>
                  <w:r>
                    <w:rPr>
                      <w:sz w:val="18"/>
                      <w:szCs w:val="18"/>
                      <w:vertAlign w:val="superscript"/>
                    </w:rPr>
                    <w:t xml:space="preserve">th </w:t>
                  </w:r>
                  <w:r>
                    <w:rPr>
                      <w:sz w:val="18"/>
                      <w:szCs w:val="18"/>
                    </w:rPr>
                    <w:t xml:space="preserve">February 2011.  </w:t>
                  </w:r>
                </w:p>
              </w:tc>
              <w:tc>
                <w:tcPr>
                  <w:tcW w:w="2474" w:type="dxa"/>
                </w:tcPr>
                <w:p/>
              </w:tc>
            </w:tr>
            <w:tr>
              <w:tc>
                <w:tcPr>
                  <w:tcW w:w="6876" w:type="dxa"/>
                </w:tcPr>
                <w:p/>
                <w:p/>
                <w:p/>
                <w:p/>
                <w:p/>
                <w:p/>
              </w:tc>
              <w:tc>
                <w:tcPr>
                  <w:tcW w:w="2474" w:type="dxa"/>
                </w:tcPr>
                <w:p/>
              </w:tc>
            </w:tr>
            <w:tr>
              <w:tc>
                <w:tcPr>
                  <w:tcW w:w="6876" w:type="dxa"/>
                </w:tcPr>
                <w:p>
                  <w:r>
                    <w:rPr>
                      <w:noProof/>
                    </w:rPr>
                    <w:drawing>
                      <wp:inline distT="0" distB="0" distL="0" distR="0">
                        <wp:extent cx="4066097" cy="2162175"/>
                        <wp:effectExtent l="0" t="0" r="0" b="0"/>
                        <wp:docPr id="19" name="Picture 19" descr="G:\Photographs of seminar\most important\DSC0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hotographs of seminar\most important\DSC013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1865" cy="2207783"/>
                                </a:xfrm>
                                <a:prstGeom prst="rect">
                                  <a:avLst/>
                                </a:prstGeom>
                                <a:noFill/>
                                <a:ln>
                                  <a:noFill/>
                                </a:ln>
                              </pic:spPr>
                            </pic:pic>
                          </a:graphicData>
                        </a:graphic>
                      </wp:inline>
                    </w:drawing>
                  </w:r>
                </w:p>
              </w:tc>
              <w:tc>
                <w:tcPr>
                  <w:tcW w:w="2474" w:type="dxa"/>
                </w:tcPr>
                <w:p/>
              </w:tc>
            </w:tr>
            <w:tr>
              <w:tc>
                <w:tcPr>
                  <w:tcW w:w="6876" w:type="dxa"/>
                </w:tcPr>
                <w:p>
                  <w:pPr>
                    <w:jc w:val="both"/>
                  </w:pPr>
                  <w:r>
                    <w:rPr>
                      <w:sz w:val="18"/>
                      <w:szCs w:val="18"/>
                    </w:rPr>
                    <w:t>Guest review session in the seminar “Media laws of Bangladesh: Problems and Prospects ”  arranged by the Northern University of Bangladesh (NUB) where delegates are (from left) Law coordinator, CEO of Law Abode, Treasurer of NUB, Registrar of NUB, Hon’ble Law Minister of Bangladesh Barrister Shafiq Ahmed, Vice Chancellor of NUB, Dean of Department of Law and Editor of The New nation. Also a number of delegates and around 64 journalists were present.</w:t>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r>
                    <w:rPr>
                      <w:noProof/>
                    </w:rPr>
                    <w:lastRenderedPageBreak/>
                    <w:drawing>
                      <wp:inline distT="0" distB="0" distL="0" distR="0">
                        <wp:extent cx="3159125" cy="1821976"/>
                        <wp:effectExtent l="0" t="0" r="3175" b="6985"/>
                        <wp:docPr id="16" name="Picture 16" descr="G:\Photographs of seminar\most important\DSC01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hotographs of seminar\most important\DSC0135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567" cy="1873561"/>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r>
                    <w:rPr>
                      <w:noProof/>
                    </w:rPr>
                    <w:drawing>
                      <wp:inline distT="0" distB="0" distL="0" distR="0">
                        <wp:extent cx="4229100" cy="2914650"/>
                        <wp:effectExtent l="0" t="0" r="0" b="0"/>
                        <wp:docPr id="20" name="Picture 20" descr="Image may contain: 1 person, standing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may contain: 1 person, standing and indo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5148" cy="2918818"/>
                                </a:xfrm>
                                <a:prstGeom prst="rect">
                                  <a:avLst/>
                                </a:prstGeom>
                                <a:noFill/>
                                <a:ln>
                                  <a:noFill/>
                                </a:ln>
                              </pic:spPr>
                            </pic:pic>
                          </a:graphicData>
                        </a:graphic>
                      </wp:inline>
                    </w:drawing>
                  </w:r>
                </w:p>
              </w:tc>
              <w:tc>
                <w:tcPr>
                  <w:tcW w:w="2474" w:type="dxa"/>
                </w:tcPr>
                <w:p/>
              </w:tc>
            </w:tr>
            <w:tr>
              <w:tc>
                <w:tcPr>
                  <w:tcW w:w="6876" w:type="dxa"/>
                </w:tcPr>
                <w:p/>
              </w:tc>
              <w:tc>
                <w:tcPr>
                  <w:tcW w:w="2474" w:type="dxa"/>
                </w:tcPr>
                <w:p/>
              </w:tc>
            </w:tr>
            <w:tr>
              <w:tc>
                <w:tcPr>
                  <w:tcW w:w="6876" w:type="dxa"/>
                </w:tcPr>
                <w:p/>
              </w:tc>
              <w:tc>
                <w:tcPr>
                  <w:tcW w:w="2474" w:type="dxa"/>
                </w:tcPr>
                <w:p/>
              </w:tc>
            </w:tr>
            <w:tr>
              <w:tc>
                <w:tcPr>
                  <w:tcW w:w="6876" w:type="dxa"/>
                </w:tcPr>
                <w:p/>
              </w:tc>
              <w:tc>
                <w:tcPr>
                  <w:tcW w:w="2474" w:type="dxa"/>
                </w:tcPr>
                <w:p/>
              </w:tc>
            </w:tr>
          </w:tbl>
          <w:p>
            <w:r>
              <w:rPr>
                <w:noProof/>
              </w:rPr>
              <w:lastRenderedPageBreak/>
              <w:drawing>
                <wp:inline distT="0" distB="0" distL="0" distR="0">
                  <wp:extent cx="3548790" cy="1999398"/>
                  <wp:effectExtent l="0" t="0" r="0" b="1270"/>
                  <wp:docPr id="14" name="Picture 14" descr="C:\Users\Qium\Desktop\Talk show photos\14633037_864818550315379_1109020996980658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ium\Desktop\Talk show photos\14633037_864818550315379_1109020996980658074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3775" cy="2030376"/>
                          </a:xfrm>
                          <a:prstGeom prst="rect">
                            <a:avLst/>
                          </a:prstGeom>
                          <a:noFill/>
                          <a:ln>
                            <a:noFill/>
                          </a:ln>
                        </pic:spPr>
                      </pic:pic>
                    </a:graphicData>
                  </a:graphic>
                </wp:inline>
              </w:drawing>
            </w:r>
          </w:p>
          <w:p/>
          <w:p/>
          <w:p/>
        </w:tc>
      </w:tr>
    </w:tbl>
    <w:p/>
    <w:sectPr>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auto"/>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96365"/>
    <w:multiLevelType w:val="hybridMultilevel"/>
    <w:tmpl w:val="01242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FF6637"/>
    <w:multiLevelType w:val="multilevel"/>
    <w:tmpl w:val="17DC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4A944BB7"/>
    <w:multiLevelType w:val="hybridMultilevel"/>
    <w:tmpl w:val="94C24208"/>
    <w:lvl w:ilvl="0" w:tplc="1BB8BDEC">
      <w:start w:val="1"/>
      <w:numFmt w:val="decimal"/>
      <w:lvlText w:val="%1."/>
      <w:lvlJc w:val="left"/>
      <w:pPr>
        <w:ind w:left="720" w:hanging="360"/>
      </w:pPr>
      <w:rPr>
        <w:rFonts w:ascii="Helvetica" w:hAnsi="Helvetica" w:cs="Helvetica" w:hint="default"/>
        <w:color w:val="1D2129"/>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EE69E1-3720-446B-816A-2D60665F9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customStyle="1" w:styleId="multilanguage">
    <w:name w:val="multilanguage"/>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8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17</Pages>
  <Words>850</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Qium</dc:creator>
  <cp:keywords/>
  <dc:description/>
  <cp:lastModifiedBy>Qium</cp:lastModifiedBy>
  <cp:revision>100</cp:revision>
  <dcterms:created xsi:type="dcterms:W3CDTF">2017-07-31T15:38:00Z</dcterms:created>
  <dcterms:modified xsi:type="dcterms:W3CDTF">2017-09-29T20:50:00Z</dcterms:modified>
</cp:coreProperties>
</file>