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t xml:space="preserve">We have diverse professionals in our firm. We have an adviser’s panel among whom we have professor of Finance and banking, retired highest tax official and VAT policy maker of National Board of Revenue, we have ACII holder Insurance expert, CDCS holder retired experienced banker, we have CAMS holder Anti </w:t>
      </w:r>
      <w:bookmarkStart w:id="0" w:name="_GoBack"/>
      <w:bookmarkEnd w:id="0"/>
      <w:r>
        <w:t xml:space="preserve">money laundering expert.  </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49500-0D0C-487E-AF4D-C9484BD6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49</Words>
  <Characters>284</Characters>
  <Application>Microsoft Office Word</Application>
  <DocSecurity>0</DocSecurity>
  <Lines>2</Lines>
  <Paragraphs>1</Paragraphs>
  <ScaleCrop>false</ScaleCrop>
  <Company/>
  <LinksUpToDate>false</LinksUpToDate>
  <CharactersWithSpaces>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Qium</dc:creator>
  <cp:keywords/>
  <dc:description/>
  <cp:lastModifiedBy>Qium</cp:lastModifiedBy>
  <cp:revision>4</cp:revision>
  <dcterms:created xsi:type="dcterms:W3CDTF">2017-09-25T13:55:00Z</dcterms:created>
  <dcterms:modified xsi:type="dcterms:W3CDTF">2017-09-29T21:57:00Z</dcterms:modified>
</cp:coreProperties>
</file>