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98" w:rsidRDefault="003068FC">
      <w:r>
        <w:t xml:space="preserve">            </w:t>
      </w:r>
    </w:p>
    <w:p w:rsidR="00606098" w:rsidRDefault="00606098"/>
    <w:p w:rsidR="00606098" w:rsidRDefault="00606098" w:rsidP="00606098">
      <w:pPr>
        <w:jc w:val="center"/>
      </w:pPr>
      <w:r>
        <w:rPr>
          <w:rFonts w:ascii="Arial" w:hAnsi="Arial" w:cs="Arial"/>
          <w:b/>
          <w:bCs/>
          <w:caps/>
          <w:color w:val="333333"/>
          <w:sz w:val="45"/>
          <w:szCs w:val="45"/>
          <w:shd w:val="clear" w:color="auto" w:fill="FFFFFF"/>
        </w:rPr>
        <w:t>WE PROVIDE YOU WITH!</w:t>
      </w:r>
    </w:p>
    <w:p w:rsidR="002E3303" w:rsidRDefault="003068FC">
      <w:r>
        <w:t xml:space="preserve">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228"/>
        <w:gridCol w:w="1609"/>
        <w:gridCol w:w="235"/>
        <w:gridCol w:w="1641"/>
        <w:gridCol w:w="241"/>
        <w:gridCol w:w="1936"/>
        <w:gridCol w:w="241"/>
        <w:gridCol w:w="1601"/>
        <w:gridCol w:w="248"/>
      </w:tblGrid>
      <w:tr w:rsidR="00CE5B8C" w:rsidRPr="007060D5" w:rsidTr="00CE5B8C">
        <w:tc>
          <w:tcPr>
            <w:tcW w:w="1596" w:type="dxa"/>
            <w:shd w:val="clear" w:color="auto" w:fill="000000" w:themeFill="text1"/>
          </w:tcPr>
          <w:p w:rsidR="007C7B13" w:rsidRPr="00B56F4F" w:rsidRDefault="007C7B13" w:rsidP="00707B20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Litigation</w:t>
            </w:r>
          </w:p>
        </w:tc>
        <w:tc>
          <w:tcPr>
            <w:tcW w:w="228" w:type="dxa"/>
            <w:shd w:val="clear" w:color="auto" w:fill="FFFFFF" w:themeFill="background1"/>
          </w:tcPr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09" w:type="dxa"/>
            <w:shd w:val="clear" w:color="auto" w:fill="000000" w:themeFill="text1"/>
          </w:tcPr>
          <w:p w:rsidR="007C7B13" w:rsidRPr="00B56F4F" w:rsidRDefault="007C7B13" w:rsidP="00707B20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 xml:space="preserve">Consultancy </w:t>
            </w:r>
          </w:p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2"/>
                <w:szCs w:val="12"/>
              </w:rPr>
              <w:t>(International and National Trade and Investment)</w:t>
            </w:r>
          </w:p>
        </w:tc>
        <w:tc>
          <w:tcPr>
            <w:tcW w:w="235" w:type="dxa"/>
            <w:shd w:val="clear" w:color="auto" w:fill="FFFFFF" w:themeFill="background1"/>
          </w:tcPr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000000" w:themeFill="text1"/>
          </w:tcPr>
          <w:p w:rsidR="007C7B13" w:rsidRPr="00B56F4F" w:rsidRDefault="007C7B13" w:rsidP="00707B20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 xml:space="preserve">Arbitration </w:t>
            </w:r>
          </w:p>
          <w:p w:rsidR="007C7B13" w:rsidRPr="00B56F4F" w:rsidRDefault="007C7B13" w:rsidP="00707B20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 xml:space="preserve">&amp; </w:t>
            </w:r>
          </w:p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Mediation</w:t>
            </w:r>
          </w:p>
        </w:tc>
        <w:tc>
          <w:tcPr>
            <w:tcW w:w="241" w:type="dxa"/>
            <w:shd w:val="clear" w:color="auto" w:fill="FFFFFF" w:themeFill="background1"/>
          </w:tcPr>
          <w:p w:rsidR="007C7B13" w:rsidRPr="007060D5" w:rsidRDefault="007C7B13" w:rsidP="007060D5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936" w:type="dxa"/>
            <w:shd w:val="clear" w:color="auto" w:fill="000000" w:themeFill="text1"/>
          </w:tcPr>
          <w:p w:rsidR="007C7B13" w:rsidRPr="00B56F4F" w:rsidRDefault="007C7B13" w:rsidP="007060D5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Business</w:t>
            </w:r>
          </w:p>
          <w:p w:rsidR="007C7B13" w:rsidRPr="007060D5" w:rsidRDefault="007C7B13" w:rsidP="007060D5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 xml:space="preserve"> Negotiation</w:t>
            </w:r>
          </w:p>
        </w:tc>
        <w:tc>
          <w:tcPr>
            <w:tcW w:w="241" w:type="dxa"/>
            <w:shd w:val="clear" w:color="auto" w:fill="FFFFFF" w:themeFill="background1"/>
          </w:tcPr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000000" w:themeFill="text1"/>
          </w:tcPr>
          <w:p w:rsidR="007C7B13" w:rsidRPr="00B56F4F" w:rsidRDefault="007C7B13" w:rsidP="00707B20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</w:pPr>
            <w:r w:rsidRPr="00B56F4F">
              <w:rPr>
                <w:rFonts w:asciiTheme="majorHAnsi" w:hAnsiTheme="majorHAnsi" w:cs="Times New Roman"/>
                <w:b/>
                <w:color w:val="FFFFFF" w:themeColor="background1"/>
                <w:sz w:val="18"/>
                <w:szCs w:val="18"/>
              </w:rPr>
              <w:t>Client Conferencing</w:t>
            </w:r>
          </w:p>
          <w:p w:rsidR="007C7B13" w:rsidRPr="007060D5" w:rsidRDefault="007C7B13" w:rsidP="007C7B13">
            <w:pPr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48" w:type="dxa"/>
            <w:shd w:val="clear" w:color="auto" w:fill="000000" w:themeFill="text1"/>
          </w:tcPr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085569" w:rsidRPr="007060D5" w:rsidTr="00CE5B8C">
        <w:tc>
          <w:tcPr>
            <w:tcW w:w="1596" w:type="dxa"/>
          </w:tcPr>
          <w:p w:rsidR="007C7B13" w:rsidRPr="007060D5" w:rsidRDefault="00AC58BA" w:rsidP="00BB36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AC58BA">
              <w:rPr>
                <w:rFonts w:asciiTheme="majorHAnsi" w:hAnsiTheme="majorHAnsi" w:cs="Times New Roman"/>
                <w:sz w:val="18"/>
                <w:szCs w:val="18"/>
              </w:rPr>
              <w:drawing>
                <wp:inline distT="0" distB="0" distL="0" distR="0">
                  <wp:extent cx="806378" cy="668741"/>
                  <wp:effectExtent l="19050" t="0" r="0" b="0"/>
                  <wp:docPr id="1" name="Picture 1" descr="Image result for high resolution images of business negoti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igh resolution images of business negoti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220" cy="669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" w:type="dxa"/>
          </w:tcPr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p w:rsidR="007C7B13" w:rsidRPr="007060D5" w:rsidRDefault="00AC58BA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AC58BA">
              <w:rPr>
                <w:rFonts w:asciiTheme="majorHAnsi" w:hAnsiTheme="majorHAnsi" w:cs="Times New Roman"/>
                <w:sz w:val="18"/>
                <w:szCs w:val="18"/>
              </w:rPr>
              <w:drawing>
                <wp:inline distT="0" distB="0" distL="0" distR="0">
                  <wp:extent cx="847583" cy="668741"/>
                  <wp:effectExtent l="19050" t="0" r="0" b="0"/>
                  <wp:docPr id="2" name="Picture 7" descr="Image result for high resolution images of legal consult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high resolution images of legal consult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02" cy="671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" w:type="dxa"/>
          </w:tcPr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p w:rsidR="007C7B13" w:rsidRPr="007060D5" w:rsidRDefault="00AC58BA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AC58BA">
              <w:rPr>
                <w:rFonts w:asciiTheme="majorHAnsi" w:hAnsiTheme="majorHAnsi" w:cs="Times New Roman"/>
                <w:sz w:val="18"/>
                <w:szCs w:val="18"/>
              </w:rPr>
              <w:drawing>
                <wp:inline distT="0" distB="0" distL="0" distR="0">
                  <wp:extent cx="811976" cy="668741"/>
                  <wp:effectExtent l="19050" t="0" r="7174" b="0"/>
                  <wp:docPr id="5" name="Picture 16" descr="Image result for high resolution images of consult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 result for high resolution images of consult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517" cy="669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</w:tcPr>
          <w:p w:rsidR="007C7B13" w:rsidRPr="007060D5" w:rsidRDefault="007C7B13" w:rsidP="007060D5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936" w:type="dxa"/>
          </w:tcPr>
          <w:p w:rsidR="007C7B13" w:rsidRPr="007060D5" w:rsidRDefault="00AC58BA" w:rsidP="007060D5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AC58BA">
              <w:rPr>
                <w:rFonts w:asciiTheme="majorHAnsi" w:hAnsiTheme="majorHAnsi" w:cs="Times New Roman"/>
                <w:sz w:val="18"/>
                <w:szCs w:val="18"/>
              </w:rPr>
              <w:drawing>
                <wp:inline distT="0" distB="0" distL="0" distR="0">
                  <wp:extent cx="1072771" cy="712235"/>
                  <wp:effectExtent l="19050" t="0" r="0" b="0"/>
                  <wp:docPr id="6" name="Picture 4" descr="Image result for high resolution images of business negoti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high resolution images of business negoti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995" cy="712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</w:tcPr>
          <w:p w:rsidR="007C7B13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p w:rsidR="007C7B13" w:rsidRPr="007060D5" w:rsidRDefault="00AC58BA" w:rsidP="00BB360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AC58BA">
              <w:rPr>
                <w:rFonts w:asciiTheme="majorHAnsi" w:hAnsiTheme="majorHAnsi" w:cs="Times New Roman"/>
                <w:sz w:val="18"/>
                <w:szCs w:val="18"/>
              </w:rPr>
              <w:drawing>
                <wp:inline distT="0" distB="0" distL="0" distR="0">
                  <wp:extent cx="813464" cy="709684"/>
                  <wp:effectExtent l="19050" t="0" r="5686" b="0"/>
                  <wp:docPr id="8" name="Picture 10" descr="Image result for high resolution images of consult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high resolution images of consult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515" cy="707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" w:type="dxa"/>
          </w:tcPr>
          <w:p w:rsidR="007C7B13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  <w:tr w:rsidR="00085569" w:rsidRPr="007060D5" w:rsidTr="00CE5B8C">
        <w:tc>
          <w:tcPr>
            <w:tcW w:w="159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69"/>
            </w:tblGrid>
            <w:tr w:rsidR="007C7B13" w:rsidTr="007C7B13">
              <w:tc>
                <w:tcPr>
                  <w:tcW w:w="1265" w:type="dxa"/>
                </w:tcPr>
                <w:p w:rsidR="007C7B13" w:rsidRDefault="007C7B13" w:rsidP="004140DD">
                  <w:pPr>
                    <w:jc w:val="center"/>
                    <w:rPr>
                      <w:rFonts w:asciiTheme="majorHAnsi" w:hAnsiTheme="majorHAnsi" w:cs="Times New Roman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(We provide Litigation support In Supreme Court of Bangladesh, District Courts and Tribunals. We are in process of making network in all districts of Bangladesh. We provide litigation support in </w:t>
                  </w:r>
                  <w:proofErr w:type="spellStart"/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>Labour</w:t>
                  </w:r>
                  <w:proofErr w:type="spellEnd"/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Tribunal, VAT, Customs Tribunal, Administrative Tribunal and other tribunals.)</w:t>
                  </w:r>
                </w:p>
              </w:tc>
            </w:tr>
          </w:tbl>
          <w:p w:rsidR="007C7B13" w:rsidRPr="007060D5" w:rsidRDefault="007C7B13" w:rsidP="004140DD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28" w:type="dxa"/>
          </w:tcPr>
          <w:p w:rsidR="007C7B13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0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1"/>
            </w:tblGrid>
            <w:tr w:rsidR="007C7B13" w:rsidTr="007C7B13">
              <w:tc>
                <w:tcPr>
                  <w:tcW w:w="1381" w:type="dxa"/>
                </w:tcPr>
                <w:p w:rsidR="007C7B13" w:rsidRDefault="007C7B13" w:rsidP="00707B20">
                  <w:pPr>
                    <w:jc w:val="center"/>
                    <w:rPr>
                      <w:rFonts w:asciiTheme="majorHAnsi" w:hAnsiTheme="majorHAnsi" w:cs="Times New Roman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(We provide consultancy to FDI and other International Trade and Investments. We also provide consultancy to trade and investment to the national organizations).  </w:t>
                  </w:r>
                </w:p>
              </w:tc>
            </w:tr>
          </w:tbl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35" w:type="dxa"/>
          </w:tcPr>
          <w:p w:rsidR="007C7B13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4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415"/>
            </w:tblGrid>
            <w:tr w:rsidR="007C7B13" w:rsidTr="007C7B13">
              <w:tc>
                <w:tcPr>
                  <w:tcW w:w="1542" w:type="dxa"/>
                </w:tcPr>
                <w:p w:rsidR="007C7B13" w:rsidRDefault="007C7B13" w:rsidP="00707B20">
                  <w:pPr>
                    <w:jc w:val="center"/>
                    <w:rPr>
                      <w:rFonts w:asciiTheme="majorHAnsi" w:hAnsiTheme="majorHAnsi" w:cs="Times New Roman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(We advice mediation first, then Arbitration for any dispute resolution. We provide Arbitration support and help in arrangement of ad hoc or institutional arbitration.)  </w:t>
                  </w:r>
                </w:p>
              </w:tc>
            </w:tr>
          </w:tbl>
          <w:p w:rsidR="007C7B13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C7B13" w:rsidRPr="007060D5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41" w:type="dxa"/>
          </w:tcPr>
          <w:p w:rsidR="007C7B13" w:rsidRDefault="007C7B13" w:rsidP="004669FF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93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64"/>
            </w:tblGrid>
            <w:tr w:rsidR="007C7B13" w:rsidTr="007C7B13">
              <w:tc>
                <w:tcPr>
                  <w:tcW w:w="1364" w:type="dxa"/>
                </w:tcPr>
                <w:p w:rsidR="007C7B13" w:rsidRDefault="007C7B13" w:rsidP="004669FF">
                  <w:pPr>
                    <w:jc w:val="center"/>
                    <w:rPr>
                      <w:rFonts w:asciiTheme="majorHAnsi" w:hAnsiTheme="majorHAnsi" w:cs="Times New Roman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>(A good negotiation skill helps your business expansion. We provide training as well as</w:t>
                  </w:r>
                  <w:r w:rsidR="00A0280F"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we</w:t>
                  </w:r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participate in business negotiations, such as, in International and National Procurement, Sales and in CBA issues etc).</w:t>
                  </w:r>
                </w:p>
              </w:tc>
            </w:tr>
          </w:tbl>
          <w:p w:rsidR="007C7B13" w:rsidRDefault="007C7B13" w:rsidP="004669FF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C7B13" w:rsidRDefault="007C7B13" w:rsidP="004669FF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C7B13" w:rsidRPr="007060D5" w:rsidRDefault="007C7B13" w:rsidP="004669FF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41" w:type="dxa"/>
          </w:tcPr>
          <w:p w:rsidR="007C7B13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60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75"/>
            </w:tblGrid>
            <w:tr w:rsidR="00BB360F" w:rsidTr="00BB360F">
              <w:tc>
                <w:tcPr>
                  <w:tcW w:w="1440" w:type="dxa"/>
                </w:tcPr>
                <w:p w:rsidR="00BB360F" w:rsidRDefault="00BB360F" w:rsidP="007C7B13">
                  <w:pPr>
                    <w:jc w:val="center"/>
                    <w:rPr>
                      <w:rFonts w:asciiTheme="majorHAnsi" w:hAnsiTheme="majorHAnsi" w:cs="Times New Roman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>(To give a perfect advice to our client, we arrange client conferencing to find out real merit of the case</w:t>
                  </w:r>
                  <w:r w:rsidR="00E41366">
                    <w:rPr>
                      <w:rFonts w:asciiTheme="majorHAnsi" w:hAnsiTheme="majorHAnsi" w:cs="Times New Roman"/>
                      <w:sz w:val="18"/>
                      <w:szCs w:val="18"/>
                    </w:rPr>
                    <w:t>. Then give advice accordingly.</w:t>
                  </w:r>
                  <w:r>
                    <w:rPr>
                      <w:rFonts w:asciiTheme="majorHAnsi" w:hAnsiTheme="majorHAnsi" w:cs="Times New Roman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BB360F" w:rsidRDefault="00BB360F" w:rsidP="007C7B13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BB360F" w:rsidRDefault="00BB360F" w:rsidP="007C7B13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  <w:p w:rsidR="007C7B13" w:rsidRPr="007060D5" w:rsidRDefault="007C7B13" w:rsidP="007C7B13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248" w:type="dxa"/>
          </w:tcPr>
          <w:p w:rsidR="007C7B13" w:rsidRDefault="007C7B13" w:rsidP="00707B20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</w:tr>
    </w:tbl>
    <w:p w:rsidR="002E3303" w:rsidRDefault="002E3303"/>
    <w:sectPr w:rsidR="002E3303" w:rsidSect="007B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7124D"/>
    <w:rsid w:val="00026472"/>
    <w:rsid w:val="00085569"/>
    <w:rsid w:val="00146E06"/>
    <w:rsid w:val="002E3303"/>
    <w:rsid w:val="003068FC"/>
    <w:rsid w:val="0037600E"/>
    <w:rsid w:val="004140DD"/>
    <w:rsid w:val="00431AD5"/>
    <w:rsid w:val="004669FF"/>
    <w:rsid w:val="005B2D52"/>
    <w:rsid w:val="005C7580"/>
    <w:rsid w:val="00606098"/>
    <w:rsid w:val="0067124D"/>
    <w:rsid w:val="007060D5"/>
    <w:rsid w:val="00707B20"/>
    <w:rsid w:val="00715F90"/>
    <w:rsid w:val="007522E0"/>
    <w:rsid w:val="007B295D"/>
    <w:rsid w:val="007C7B13"/>
    <w:rsid w:val="008A09BF"/>
    <w:rsid w:val="008C350D"/>
    <w:rsid w:val="008F2146"/>
    <w:rsid w:val="00912B66"/>
    <w:rsid w:val="009A1027"/>
    <w:rsid w:val="00A0280F"/>
    <w:rsid w:val="00A43428"/>
    <w:rsid w:val="00AA1208"/>
    <w:rsid w:val="00AA4794"/>
    <w:rsid w:val="00AC58BA"/>
    <w:rsid w:val="00B56F4F"/>
    <w:rsid w:val="00BB360F"/>
    <w:rsid w:val="00C402CA"/>
    <w:rsid w:val="00CA5AD5"/>
    <w:rsid w:val="00CE5B8C"/>
    <w:rsid w:val="00E12540"/>
    <w:rsid w:val="00E41366"/>
    <w:rsid w:val="00E6636C"/>
    <w:rsid w:val="00F8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5D"/>
  </w:style>
  <w:style w:type="paragraph" w:styleId="Heading1">
    <w:name w:val="heading 1"/>
    <w:basedOn w:val="Normal"/>
    <w:next w:val="Normal"/>
    <w:link w:val="Heading1Char"/>
    <w:uiPriority w:val="9"/>
    <w:qFormat/>
    <w:rsid w:val="00376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1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712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24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12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7124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6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E3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2017-12-18T17:08:00Z</dcterms:created>
  <dcterms:modified xsi:type="dcterms:W3CDTF">2017-12-19T13:35:00Z</dcterms:modified>
</cp:coreProperties>
</file>