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Egypt University of Informatics</w:t>
        <w:br/>
        <w:t>Computer and Information Systems</w:t>
        <w:br/>
        <w:t>Data Analysis Course</w:t>
      </w:r>
    </w:p>
    <w:p>
      <w:r>
        <w:br/>
        <w:t>The Analysis of Greater Cairo Real Estate Prices</w:t>
        <w:br/>
        <w:t>Submitted by: Ahmed Hasaan &amp; Team</w:t>
        <w:br/>
        <w:br/>
      </w:r>
    </w:p>
    <w:p>
      <w:pPr>
        <w:pStyle w:val="Heading1"/>
      </w:pPr>
      <w:r>
        <w:t>Introduction</w:t>
      </w:r>
    </w:p>
    <w:p>
      <w:r>
        <w:t>Understanding real estate pricing is crucial for buyers, investors, and developers. This report analyzes apartment prices in Greater Cairo to identify the key factors affecting price per square meter. The study aims to provide insights into market behavior and detect pricing inefficiencies such as overpriced or underpriced properties.</w:t>
      </w:r>
    </w:p>
    <w:p>
      <w:pPr>
        <w:pStyle w:val="Heading1"/>
      </w:pPr>
      <w:r>
        <w:t>Research Question</w:t>
      </w:r>
    </w:p>
    <w:p>
      <w:r>
        <w:t>What factors significantly affect the price per square meter of apartments in Greater Cairo, and can pricing inefficiencies be identified?</w:t>
      </w:r>
    </w:p>
    <w:p>
      <w:pPr>
        <w:pStyle w:val="Heading1"/>
      </w:pPr>
      <w:r>
        <w:t>Hypothesis</w:t>
      </w:r>
    </w:p>
    <w:p>
      <w:r>
        <w:t>H0: There is no statistically significant relationship between apartment features and price per square meter.</w:t>
        <w:br/>
        <w:t>H1: There is a statistically significant relationship between apartment features and price per square meter, especially location.</w:t>
      </w:r>
    </w:p>
    <w:p>
      <w:r>
        <w:t>Population of Interest:</w:t>
        <w:br/>
        <w:t>All apartments listed in Greater Cairo.</w:t>
      </w:r>
    </w:p>
    <w:p>
      <w:r>
        <w:t>Sampling Method:</w:t>
        <w:br/>
        <w:t>Dataset collected from Kaggle representing real listings across multiple locations.</w:t>
      </w:r>
    </w:p>
    <w:p>
      <w:r>
        <w:t>Bias Identification:</w:t>
        <w:br/>
        <w:t>Potential bias includes overrepresentation of premium areas. Mitigated by using diverse listings.</w:t>
      </w:r>
    </w:p>
    <w:p>
      <w:r>
        <w:t>Survey Questions / Dataset:</w:t>
        <w:br/>
        <w:t>The dataset contains 4,784 listings including features such as area, rooms, location, view, and price.</w:t>
      </w:r>
    </w:p>
    <w:p>
      <w:r>
        <w:t>Number of samples used: 4784</w:t>
      </w:r>
    </w:p>
    <w:p>
      <w:pPr>
        <w:pStyle w:val="Heading1"/>
      </w:pPr>
      <w:r>
        <w:t>Analysis</w:t>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price_distributions.png"/>
                    <pic:cNvPicPr/>
                  </pic:nvPicPr>
                  <pic:blipFill>
                    <a:blip r:embed="rId9"/>
                    <a:stretch>
                      <a:fillRect/>
                    </a:stretch>
                  </pic:blipFill>
                  <pic:spPr>
                    <a:xfrm>
                      <a:off x="0" y="0"/>
                      <a:ext cx="5486400" cy="1959429"/>
                    </a:xfrm>
                    <a:prstGeom prst="rect"/>
                  </pic:spPr>
                </pic:pic>
              </a:graphicData>
            </a:graphic>
          </wp:inline>
        </w:drawing>
      </w:r>
    </w:p>
    <w:p>
      <w:r>
        <w:t>Figure 1: Price distributions show most properties are below 10M EGP, indicating a right-skewed market.</w:t>
      </w:r>
    </w:p>
    <w:p>
      <w:r>
        <w:drawing>
          <wp:inline xmlns:a="http://schemas.openxmlformats.org/drawingml/2006/main" xmlns:pic="http://schemas.openxmlformats.org/drawingml/2006/picture">
            <wp:extent cx="5486400" cy="2532185"/>
            <wp:docPr id="2" name="Picture 2"/>
            <wp:cNvGraphicFramePr>
              <a:graphicFrameLocks noChangeAspect="1"/>
            </wp:cNvGraphicFramePr>
            <a:graphic>
              <a:graphicData uri="http://schemas.openxmlformats.org/drawingml/2006/picture">
                <pic:pic>
                  <pic:nvPicPr>
                    <pic:cNvPr id="0" name="top_locations_price_per_sqm.png"/>
                    <pic:cNvPicPr/>
                  </pic:nvPicPr>
                  <pic:blipFill>
                    <a:blip r:embed="rId10"/>
                    <a:stretch>
                      <a:fillRect/>
                    </a:stretch>
                  </pic:blipFill>
                  <pic:spPr>
                    <a:xfrm>
                      <a:off x="0" y="0"/>
                      <a:ext cx="5486400" cy="2532185"/>
                    </a:xfrm>
                    <a:prstGeom prst="rect"/>
                  </pic:spPr>
                </pic:pic>
              </a:graphicData>
            </a:graphic>
          </wp:inline>
        </w:drawing>
      </w:r>
    </w:p>
    <w:p>
      <w:r>
        <w:t>Figure 2: Location strongly affects price per m², with premium compounds significantly higher.</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rice_per_sqm_by_rooms.png"/>
                    <pic:cNvPicPr/>
                  </pic:nvPicPr>
                  <pic:blipFill>
                    <a:blip r:embed="rId11"/>
                    <a:stretch>
                      <a:fillRect/>
                    </a:stretch>
                  </pic:blipFill>
                  <pic:spPr>
                    <a:xfrm>
                      <a:off x="0" y="0"/>
                      <a:ext cx="5486400" cy="2743200"/>
                    </a:xfrm>
                    <a:prstGeom prst="rect"/>
                  </pic:spPr>
                </pic:pic>
              </a:graphicData>
            </a:graphic>
          </wp:inline>
        </w:drawing>
      </w:r>
    </w:p>
    <w:p>
      <w:r>
        <w:t>Figure 3: More rooms generally reduce price per m², indicating economies of scale.</w:t>
      </w:r>
    </w:p>
    <w:p>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median_price_by_view_type.png"/>
                    <pic:cNvPicPr/>
                  </pic:nvPicPr>
                  <pic:blipFill>
                    <a:blip r:embed="rId12"/>
                    <a:stretch>
                      <a:fillRect/>
                    </a:stretch>
                  </pic:blipFill>
                  <pic:spPr>
                    <a:xfrm>
                      <a:off x="0" y="0"/>
                      <a:ext cx="5486400" cy="2286000"/>
                    </a:xfrm>
                    <a:prstGeom prst="rect"/>
                  </pic:spPr>
                </pic:pic>
              </a:graphicData>
            </a:graphic>
          </wp:inline>
        </w:drawing>
      </w:r>
    </w:p>
    <w:p>
      <w:r>
        <w:t>Figure 4: Premium views increase price per m² significantly.</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median_price_by_floor_level.png"/>
                    <pic:cNvPicPr/>
                  </pic:nvPicPr>
                  <pic:blipFill>
                    <a:blip r:embed="rId13"/>
                    <a:stretch>
                      <a:fillRect/>
                    </a:stretch>
                  </pic:blipFill>
                  <pic:spPr>
                    <a:xfrm>
                      <a:off x="0" y="0"/>
                      <a:ext cx="5486400" cy="2743200"/>
                    </a:xfrm>
                    <a:prstGeom prst="rect"/>
                  </pic:spPr>
                </pic:pic>
              </a:graphicData>
            </a:graphic>
          </wp:inline>
        </w:drawing>
      </w:r>
    </w:p>
    <w:p>
      <w:r>
        <w:t>Figure 5: Floor level impacts pricing, with certain levels more desirable.</w:t>
      </w:r>
    </w:p>
    <w:p>
      <w:r>
        <w:drawing>
          <wp:inline xmlns:a="http://schemas.openxmlformats.org/drawingml/2006/main" xmlns:pic="http://schemas.openxmlformats.org/drawingml/2006/picture">
            <wp:extent cx="5486400" cy="4267200"/>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486400" cy="4267200"/>
                    </a:xfrm>
                    <a:prstGeom prst="rect"/>
                  </pic:spPr>
                </pic:pic>
              </a:graphicData>
            </a:graphic>
          </wp:inline>
        </w:drawing>
      </w:r>
    </w:p>
    <w:p>
      <w:r>
        <w:t>Figure 6: Strong correlation between area and rooms, and negative relation with price per m².</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area_vs_price_scatter.png"/>
                    <pic:cNvPicPr/>
                  </pic:nvPicPr>
                  <pic:blipFill>
                    <a:blip r:embed="rId15"/>
                    <a:stretch>
                      <a:fillRect/>
                    </a:stretch>
                  </pic:blipFill>
                  <pic:spPr>
                    <a:xfrm>
                      <a:off x="0" y="0"/>
                      <a:ext cx="5486400" cy="3291840"/>
                    </a:xfrm>
                    <a:prstGeom prst="rect"/>
                  </pic:spPr>
                </pic:pic>
              </a:graphicData>
            </a:graphic>
          </wp:inline>
        </w:drawing>
      </w:r>
    </w:p>
    <w:p>
      <w:r>
        <w:t>Figure 7: Larger apartments have higher total price but not necessarily higher price per m².</w:t>
      </w:r>
    </w:p>
    <w:p>
      <w:pPr>
        <w:pStyle w:val="Heading1"/>
      </w:pPr>
      <w:r>
        <w:t>Hypothesis Testing Steps</w:t>
      </w:r>
    </w:p>
    <w:p>
      <w:r>
        <w:t>Step 1: Define H0 and H1.</w:t>
      </w:r>
    </w:p>
    <w:p>
      <w:r>
        <w:t>Step 2: Choose significance level α = 0.05.</w:t>
      </w:r>
    </w:p>
    <w:p>
      <w:r>
        <w:t>Step 3: Perform ANOVA and T-tests.</w:t>
      </w:r>
    </w:p>
    <w:p>
      <w:r>
        <w:t>Step 4: Compare p-values and reject H0 (all p-values &lt; 0.05).</w:t>
      </w:r>
    </w:p>
    <w:p>
      <w:r>
        <w:drawing>
          <wp:inline xmlns:a="http://schemas.openxmlformats.org/drawingml/2006/main" xmlns:pic="http://schemas.openxmlformats.org/drawingml/2006/picture">
            <wp:extent cx="5486400" cy="2743200"/>
            <wp:docPr id="8" name="Picture 8"/>
            <wp:cNvGraphicFramePr>
              <a:graphicFrameLocks noChangeAspect="1"/>
            </wp:cNvGraphicFramePr>
            <a:graphic>
              <a:graphicData uri="http://schemas.openxmlformats.org/drawingml/2006/picture">
                <pic:pic>
                  <pic:nvPicPr>
                    <pic:cNvPr id="0" name="hypothesis_test_p_values.png"/>
                    <pic:cNvPicPr/>
                  </pic:nvPicPr>
                  <pic:blipFill>
                    <a:blip r:embed="rId16"/>
                    <a:stretch>
                      <a:fillRect/>
                    </a:stretch>
                  </pic:blipFill>
                  <pic:spPr>
                    <a:xfrm>
                      <a:off x="0" y="0"/>
                      <a:ext cx="5486400" cy="2743200"/>
                    </a:xfrm>
                    <a:prstGeom prst="rect"/>
                  </pic:spPr>
                </pic:pic>
              </a:graphicData>
            </a:graphic>
          </wp:inline>
        </w:drawing>
      </w:r>
    </w:p>
    <w:p>
      <w:r>
        <w:t>Figure 8: All tests are significant, confirming strong relationships.</w:t>
      </w:r>
    </w:p>
    <w:p>
      <w:pPr>
        <w:pStyle w:val="Heading1"/>
      </w:pPr>
      <w:r>
        <w:t>Regression Model</w:t>
      </w:r>
    </w:p>
    <w:p>
      <w:r>
        <w:drawing>
          <wp:inline xmlns:a="http://schemas.openxmlformats.org/drawingml/2006/main" xmlns:pic="http://schemas.openxmlformats.org/drawingml/2006/picture">
            <wp:extent cx="5486400" cy="1959429"/>
            <wp:docPr id="9" name="Picture 9"/>
            <wp:cNvGraphicFramePr>
              <a:graphicFrameLocks noChangeAspect="1"/>
            </wp:cNvGraphicFramePr>
            <a:graphic>
              <a:graphicData uri="http://schemas.openxmlformats.org/drawingml/2006/picture">
                <pic:pic>
                  <pic:nvPicPr>
                    <pic:cNvPr id="0" name="regression_model_performance.png"/>
                    <pic:cNvPicPr/>
                  </pic:nvPicPr>
                  <pic:blipFill>
                    <a:blip r:embed="rId17"/>
                    <a:stretch>
                      <a:fillRect/>
                    </a:stretch>
                  </pic:blipFill>
                  <pic:spPr>
                    <a:xfrm>
                      <a:off x="0" y="0"/>
                      <a:ext cx="5486400" cy="1959429"/>
                    </a:xfrm>
                    <a:prstGeom prst="rect"/>
                  </pic:spPr>
                </pic:pic>
              </a:graphicData>
            </a:graphic>
          </wp:inline>
        </w:drawing>
      </w:r>
    </w:p>
    <w:p>
      <w:r>
        <w:t>Figure 9: Model shows moderate prediction power (R² = 0.277).</w:t>
      </w:r>
    </w:p>
    <w:p>
      <w:pPr>
        <w:pStyle w:val="Heading1"/>
      </w:pPr>
      <w:r>
        <w:t>Segmentation</w:t>
      </w:r>
    </w:p>
    <w:p>
      <w:r>
        <w:drawing>
          <wp:inline xmlns:a="http://schemas.openxmlformats.org/drawingml/2006/main" xmlns:pic="http://schemas.openxmlformats.org/drawingml/2006/picture">
            <wp:extent cx="5486400" cy="2110154"/>
            <wp:docPr id="10" name="Picture 10"/>
            <wp:cNvGraphicFramePr>
              <a:graphicFrameLocks noChangeAspect="1"/>
            </wp:cNvGraphicFramePr>
            <a:graphic>
              <a:graphicData uri="http://schemas.openxmlformats.org/drawingml/2006/picture">
                <pic:pic>
                  <pic:nvPicPr>
                    <pic:cNvPr id="0" name="apartment_segmentation.png"/>
                    <pic:cNvPicPr/>
                  </pic:nvPicPr>
                  <pic:blipFill>
                    <a:blip r:embed="rId18"/>
                    <a:stretch>
                      <a:fillRect/>
                    </a:stretch>
                  </pic:blipFill>
                  <pic:spPr>
                    <a:xfrm>
                      <a:off x="0" y="0"/>
                      <a:ext cx="5486400" cy="2110154"/>
                    </a:xfrm>
                    <a:prstGeom prst="rect"/>
                  </pic:spPr>
                </pic:pic>
              </a:graphicData>
            </a:graphic>
          </wp:inline>
        </w:drawing>
      </w:r>
    </w:p>
    <w:p>
      <w:r>
        <w:t>Figure 10: Majority are fairly priced, but overpriced and underpriced units exist.</w:t>
      </w:r>
    </w:p>
    <w:p>
      <w:pPr>
        <w:pStyle w:val="Heading1"/>
      </w:pPr>
      <w:r>
        <w:t>Conclusion</w:t>
      </w:r>
    </w:p>
    <w:p>
      <w:r>
        <w:t>The hypothesis testing results reject the null hypothesis, proving that apartment features significantly influence price per square meter. This indicates that real estate pricing is structured and predictable, especially driven by location.</w:t>
      </w:r>
    </w:p>
    <w:p>
      <w:pPr>
        <w:pStyle w:val="Heading1"/>
      </w:pPr>
      <w:r>
        <w:t>Any Potential Issues</w:t>
      </w:r>
    </w:p>
    <w:p>
      <w:r>
        <w:t>Limitations include lack of economic factors and moderate model accuracy. Dataset bias toward premium listings may affect generalization.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