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RP1 — Research Project Phase 1</w:t>
      </w:r>
    </w:p>
    <w:p>
      <w:pPr>
        <w:jc w:val="center"/>
      </w:pPr>
      <w:r>
        <w:rPr>
          <w:i/>
          <w:sz w:val="20"/>
        </w:rPr>
        <w:t>Paper Study, Research Gaps and Objective Formulation</w:t>
        <w:br/>
        <w:t>Area: Tool use and MCP  |  Primary paper: MCPToolBench++ (2025)</w:t>
      </w:r>
    </w:p>
    <w:p>
      <w:pPr>
        <w:pStyle w:val="Heading1"/>
      </w:pPr>
      <w:r>
        <w:rPr>
          <w:color w:val="1F3B73"/>
        </w:rPr>
        <w:t>1. Full citations of the papers read</w:t>
      </w:r>
    </w:p>
    <w:p>
      <w:r>
        <w:rPr>
          <w:b/>
        </w:rPr>
        <w:t xml:space="preserve">Primary paper: </w:t>
      </w:r>
      <w:r>
        <w:t>Shiqing Fan, Xichen Ding, Liang Zhang, and Linjian Mo. 2025. MCPToolBench++: A Large Scale AI Agent Model Context Protocol MCP Tool Use Benchmark. arXiv:2508.07575 [cs.AI]. https://arxiv.org/abs/2508.07575</w:t>
      </w:r>
    </w:p>
    <w:p>
      <w:r>
        <w:rPr>
          <w:b/>
        </w:rPr>
        <w:t xml:space="preserve">Context paper 1: </w:t>
      </w:r>
      <w:r>
        <w:t>Xuanqi Gao, Siyi Xie, Juan Zhai, Shiqing Ma, and Chao Shen. 2025. MCP-RADAR: A Multi-Dimensional Benchmark for Evaluating Tool Use Capabilities in Large Language Models. arXiv:2505.16700</w:t>
      </w:r>
    </w:p>
    <w:p>
      <w:r>
        <w:rPr>
          <w:b/>
        </w:rPr>
        <w:t xml:space="preserve">Context paper 2: </w:t>
      </w:r>
      <w:r>
        <w:t>Zhiling Luo, Xiaorong Shi, Xuanrui Lin, and Jinyang Gao. 2025. MCP-Universe: Benchmarking Large Language Models with Real-World Model Context Protocol Servers. arXiv:2508.14704</w:t>
      </w:r>
    </w:p>
    <w:p>
      <w:pPr>
        <w:pStyle w:val="Heading1"/>
      </w:pPr>
      <w:r>
        <w:rPr>
          <w:color w:val="1F3B73"/>
        </w:rPr>
        <w:t>2. The primary paper's problem and method (in my own words)</w:t>
      </w:r>
    </w:p>
    <w:p>
      <w:r>
        <w:t>The paper starts from a practical evaluation problem: the Model Context Protocol (MCP) is becoming the standard way for LLM agents to discover and call external tools, but there is no large-scale benchmark that measures whether an agent can actually select the right MCP tool, fill in the right parameters, and execute a multi-step tool chain against real MCP servers. Existing tool-use benchmarks mostly cover programming or math functions, where the success rate of the underlying API is essentially guaranteed. Real MCP servers are different: their success rates vary, their response formats are heterogeneous, and a single user query can require a chain of up to ten dependent tool calls.</w:t>
      </w:r>
    </w:p>
    <w:p>
      <w:r>
        <w:t>MCPToolBench++ addresses this by building a benchmark from over 4,000 MCP servers across more than 40 categories, then sampling tools from that index to generate 1,509 question–answer pairs covering six domains: browser use, file system, search, maps, finance, and payment. The generation pipeline uses an LLM to create prompt templates from tool schemas, fill in slot values, rewrite the queries, and then filter out low-quality or counterfactual items. The benchmark includes both single-step calls and multi-step chains, with a maximum chain length of ten tools, and it supports multilingual queries.</w:t>
      </w:r>
    </w:p>
    <w:p>
      <w:r>
        <w:t>The evaluation is run against a range of frontier and open models including OpenAI, Claude, Qwen, and Kimi. The primary accuracy metric is AST-based: it checks whether the predicted function name, parameter names, parameter types, and parameter values match the ground-truth tool call. For multi-step tasks, the paper introduces AST DAG Accuracy, which evaluates the directed acyclic graph of the predicted execution plan against the ground-truth plan, because tool calls in a chain have dependencies on earlier results. A second metric, Pass@K, checks whether the actual execution of the MCP tool returns a result that aligns with the expected output, which is a stricter criterion than AST because a syntactically correct call can still fail at the server.</w:t>
      </w:r>
    </w:p>
    <w:p>
      <w:r>
        <w:t>The headline finding is that AST accuracy does not predict execution success: models can score well on AST while failing Pass@K because of parameter errors, API errors, or domain-specific issues such as invalid map coordinates.</w:t>
      </w:r>
    </w:p>
    <w:p>
      <w:pPr>
        <w:pStyle w:val="Heading1"/>
      </w:pPr>
      <w:r>
        <w:rPr>
          <w:color w:val="1F3B73"/>
        </w:rPr>
        <w:t>3. Research gaps</w:t>
      </w:r>
    </w:p>
    <w:p>
      <w:pPr>
        <w:pStyle w:val="ListNumber"/>
      </w:pPr>
      <w:r>
        <w:rPr>
          <w:b/>
        </w:rPr>
        <w:t xml:space="preserve">Gap 1 — Cost and latency are never reported (Cost and latency gap). </w:t>
      </w:r>
      <w:r>
        <w:t>The paper reports accuracy metrics (AST and Pass@K) across models, but it never reports how many model calls, how many tokens, or how much wall-clock latency a single task consumes. For a multi-step task that can invoke up to ten tools, this is a material omission: the paper's own complexity analysis shows that the token cost of processing tool schemas alone ranges from 0.1K to 0.6K tokens per tool, and the total schema token footprint across the six domains is 25K tokens. Without a per-task call count, token count, or latency figure, a reader cannot judge whether the reported accuracy gain of one model over another is worth the operational cost. This gap is visible in Section 4, which lists the metrics used and contains no cost or latency column.</w:t>
      </w:r>
    </w:p>
    <w:p>
      <w:pPr>
        <w:pStyle w:val="ListNumber"/>
      </w:pPr>
      <w:r>
        <w:rPr>
          <w:b/>
        </w:rPr>
        <w:t xml:space="preserve">Gap 2 — No variance is reported across repeated runs (Evaluation gap). </w:t>
      </w:r>
      <w:r>
        <w:t>The evaluation appears to report a single number per model per metric. There is no indication that each configuration was run multiple times, and there is no standard deviation, confidence interval, or seed information. Real MCP servers are explicitly described in the paper as having variable success rates: "the success rate of real-world MCP tool is not guaranteed and varies across different MCP servers". If the servers themselves are non-deterministic, then a single run per configuration cannot separate the model's reliability from the server's noise. A model that happens to hit a reliable server more often in one run could appear better than a model that hit an unreliable server, even if the underlying tool-selection ability is the same. This gap is visible in the evaluation section, which does not mention repetitions, seeds, or variance.</w:t>
      </w:r>
    </w:p>
    <w:p>
      <w:pPr>
        <w:pStyle w:val="ListNumber"/>
      </w:pPr>
      <w:r>
        <w:rPr>
          <w:b/>
        </w:rPr>
        <w:t xml:space="preserve">Gap 3 — Failure modes are not analyzed or categorized (Reliability gap). </w:t>
      </w:r>
      <w:r>
        <w:t>The paper notes that AST accuracy and Pass@K diverge, and it gives examples of failure causes — parameter errors, API errors, invalid map coordinates — but it does not provide a systematic taxonomy of failures. There is no breakdown of what fraction of failures come from wrong tool selection, wrong parameter values, wrong parameter types, server-side failures, or timeout. This matters because the appropriate fix depends on the failure type: a wrong tool selection suggests a retrieval or routing problem, while a server-side failure suggests a retry or fallback mechanism. Without this breakdown, the benchmark tells you that models fail but not why they fail, which limits its usefulness for guiding agent architecture decisions. The failure discussion is anecdotal rather than systematic, appearing in secondary commentary rather than in the paper's own analysis.</w:t>
      </w:r>
    </w:p>
    <w:p>
      <w:pPr>
        <w:pStyle w:val="ListNumber"/>
      </w:pPr>
      <w:r>
        <w:rPr>
          <w:b/>
        </w:rPr>
        <w:t xml:space="preserve">Gap 4 — Only one benchmark family is used, with no cross-benchmark generalization test (Generality gap). </w:t>
      </w:r>
      <w:r>
        <w:t>The paper evaluates exclusively on MCPToolBench++ itself. It does not test whether the relative ranking of models is stable when the same models are evaluated on an independently constructed MCP benchmark such as MCP-RADAR or MCP-Universe. Since MCPToolBench++ and these other benchmarks were built with different sampling and generation pipelines, a model that ranks first on MCPToolBench++ might rank differently on a benchmark with different tool distributions. Without this cross-benchmark check, it is unknown whether the reported rankings reflect genuine tool-use ability or artifacts of the MCPToolBench++ generation process. The paper's evaluation section lists only MCPToolBench++ as the evaluation set.</w:t>
      </w:r>
    </w:p>
    <w:p>
      <w:pPr>
        <w:pStyle w:val="Heading1"/>
      </w:pPr>
      <w:r>
        <w:rPr>
          <w:color w:val="1F3B73"/>
        </w:rPr>
        <w:t>4. Objective sentence</w:t>
      </w:r>
    </w:p>
    <w:p>
      <w:r>
        <w:rPr>
          <w:i/>
        </w:rPr>
        <w:t>To evaluate the effect of tool-count context on MCP tool selection accuracy and failure composition for single-step and multi-step MCP tool-calling tasks on a 200-task stratified subset of MCPToolBench++ (100 single-step, 100 multi-step, across search, map, and finance domains), compared against the same model at a matched tool-count budget (5 tools vs. 20 tools vs. 50 tools presented in the context window), measured by AST accuracy and AST DAG accuracy and by average input tokens per task, number of model calls per task, and wall-clock latency per task.</w:t>
      </w:r>
    </w:p>
    <w:p>
      <w:r>
        <w:t>This objective is traceable to Gap 1 (cost and latency) and Gap 2 (variance), because the matched-budget comparison requires reporting tokens and calls, and the failure-composition analysis addresses Gap 3. It is feasible because MCPToolBench++ is public, the subset is 200 tasks, and the tool-count manipulation can be implemented by truncating the tool list in the prompt without training or fine-tuning any model.</w:t>
      </w:r>
    </w:p>
    <w:p>
      <w:pPr>
        <w:pStyle w:val="Heading1"/>
      </w:pPr>
      <w:r>
        <w:rPr>
          <w:color w:val="1F3B73"/>
        </w:rPr>
        <w:t>5. Disclosure</w:t>
      </w:r>
    </w:p>
    <w:p>
      <w:r>
        <w:rPr>
          <w:i/>
        </w:rPr>
        <w:t>I used a language model to help locate the primary and context papers, to extract the evaluation details from the primary paper, and to draft this summary. Every sentence has been checked against the cited paper sections, and I can explain any sentence during the presentation.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