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65D"/>
          <w:sz w:val="30"/>
        </w:rPr>
        <w:t>Effect of Tool-Count Context on MCP Tool Selection</w:t>
      </w:r>
    </w:p>
    <w:p>
      <w:pPr>
        <w:spacing w:after="120"/>
        <w:jc w:val="center"/>
      </w:pPr>
      <w:r>
        <w:rPr>
          <w:color w:val="2D3748"/>
          <w:sz w:val="18"/>
        </w:rPr>
        <w:t>Course: AI465 Agentic AI  |  Phase 2 Final Report  |  SVNIT Surat  |  Author: U23AI052 (Individual Work)</w:t>
      </w:r>
    </w:p>
    <w:p>
      <w:pPr>
        <w:spacing w:before="120" w:after="60"/>
      </w:pPr>
      <w:r>
        <w:rPr>
          <w:b/>
          <w:color w:val="1A365D"/>
          <w:sz w:val="22"/>
        </w:rPr>
        <w:t>1. Objective and Declared Deviations</w:t>
      </w:r>
    </w:p>
    <w:p>
      <w:pPr>
        <w:spacing w:after="60" w:line="252" w:lineRule="auto"/>
      </w:pPr>
      <w:r>
        <w:rPr>
          <w:b/>
          <w:color w:val="2D3748"/>
          <w:sz w:val="17"/>
        </w:rPr>
        <w:t>Approved Objective:</w:t>
      </w:r>
      <w:r>
        <w:rPr>
          <w:color w:val="2D3748"/>
          <w:sz w:val="17"/>
        </w:rPr>
        <w:t xml:space="preserve"> Evaluate the effect of tool-count context (5 vs 20 vs 50 tools) on Model Context Protocol (MCP) tool-selection accuracy and failure composition for single-step tasks on a 200-task stratified subset of MCPToolBench++ (search, map, finance domains). Metrics include AST Accuracy, Tool Selection Accuracy, token consumption, model calls, and wall-clock latency per task. This research directly targets three key gaps in Fan et al. (2025, arXiv:2508.07575): absence of cost and latency metrics, absence of run variance estimation, and lack of a structured failure taxonomy.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360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Deviation from Approved Objective</w:t>
            </w:r>
          </w:p>
        </w:tc>
        <w:tc>
          <w:tcPr>
            <w:tcW w:type="dxa" w:w="360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Justification / Scope Impact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color w:val="2D3748"/>
                <w:sz w:val="15"/>
              </w:rPr>
              <w:t>D1</w:t>
            </w:r>
          </w:p>
        </w:tc>
        <w:tc>
          <w:tcPr>
            <w:tcW w:type="dxa" w:w="3600"/>
          </w:tcPr>
          <w:p>
            <w:r>
              <w:rPr>
                <w:color w:val="2D3748"/>
                <w:sz w:val="15"/>
              </w:rPr>
              <w:t>Subset consists of 200 single-step tasks; multi-step tasks omitted (no AST DAG accuracy).</w:t>
            </w:r>
          </w:p>
        </w:tc>
        <w:tc>
          <w:tcPr>
            <w:tcW w:type="dxa" w:w="3600"/>
          </w:tcPr>
          <w:p>
            <w:r>
              <w:rPr>
                <w:color w:val="2D3748"/>
                <w:sz w:val="15"/>
              </w:rPr>
              <w:t>Public repo (commit 2bd35e5) provides single-step data; map domain has only 2 multi-step items out of 500. Scope reduction permitted.</w:t>
            </w:r>
          </w:p>
        </w:tc>
      </w:tr>
      <w:tr>
        <w:tc>
          <w:tcPr>
            <w:tcW w:type="dxa" w:w="3600"/>
            <w:shd w:fill="F7FAFC"/>
          </w:tcPr>
          <w:p>
            <w:r>
              <w:rPr>
                <w:b/>
                <w:color w:val="2D3748"/>
                <w:sz w:val="15"/>
              </w:rPr>
              <w:t>D2</w:t>
            </w:r>
          </w:p>
        </w:tc>
        <w:tc>
          <w:tcPr>
            <w:tcW w:type="dxa" w:w="3600"/>
            <w:shd w:fill="F7FAFC"/>
          </w:tcPr>
          <w:p>
            <w:r>
              <w:rPr>
                <w:color w:val="2D3748"/>
                <w:sz w:val="15"/>
              </w:rPr>
              <w:t>Execution-based Pass@K metric omitted.</w:t>
            </w:r>
          </w:p>
        </w:tc>
        <w:tc>
          <w:tcPr>
            <w:tcW w:type="dxa" w:w="3600"/>
            <w:shd w:fill="F7FAFC"/>
          </w:tcPr>
          <w:p>
            <w:r>
              <w:rPr>
                <w:color w:val="2D3748"/>
                <w:sz w:val="15"/>
              </w:rPr>
              <w:t>Requires live MCP servers with active third-party API credentials; excluded from approved metric specification.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color w:val="2D3748"/>
                <w:sz w:val="15"/>
              </w:rPr>
              <w:t>D3</w:t>
            </w:r>
          </w:p>
        </w:tc>
        <w:tc>
          <w:tcPr>
            <w:tcW w:type="dxa" w:w="3600"/>
          </w:tcPr>
          <w:p>
            <w:r>
              <w:rPr>
                <w:color w:val="2D3748"/>
                <w:sz w:val="15"/>
              </w:rPr>
              <w:t>Benchmark GPT-4o LLM judge replaced by deterministic scorer (rp2/scoring.py).</w:t>
            </w:r>
          </w:p>
        </w:tc>
        <w:tc>
          <w:tcPr>
            <w:tcW w:type="dxa" w:w="3600"/>
          </w:tcPr>
          <w:p>
            <w:r>
              <w:rPr>
                <w:color w:val="2D3748"/>
                <w:sz w:val="15"/>
              </w:rPr>
              <w:t>Eliminates circularity and evaluation cost. Validated via oracle audit (100% on gold labels) and 20-task label agreement audit.</w:t>
            </w:r>
          </w:p>
        </w:tc>
      </w:tr>
      <w:tr>
        <w:tc>
          <w:tcPr>
            <w:tcW w:type="dxa" w:w="3600"/>
            <w:shd w:fill="F7FAFC"/>
          </w:tcPr>
          <w:p>
            <w:r>
              <w:rPr>
                <w:b/>
                <w:color w:val="2D3748"/>
                <w:sz w:val="15"/>
              </w:rPr>
              <w:t>D4</w:t>
            </w:r>
          </w:p>
        </w:tc>
        <w:tc>
          <w:tcPr>
            <w:tcW w:type="dxa" w:w="3600"/>
            <w:shd w:fill="F7FAFC"/>
          </w:tcPr>
          <w:p>
            <w:r>
              <w:rPr>
                <w:color w:val="2D3748"/>
                <w:sz w:val="15"/>
              </w:rPr>
              <w:t>20- and 50-tool contexts add distractors from an 87-tool pool across 6 categories.</w:t>
            </w:r>
          </w:p>
        </w:tc>
        <w:tc>
          <w:tcPr>
            <w:tcW w:type="dxa" w:w="3600"/>
            <w:shd w:fill="F7FAFC"/>
          </w:tcPr>
          <w:p>
            <w:r>
              <w:rPr>
                <w:color w:val="2D3748"/>
                <w:sz w:val="15"/>
              </w:rPr>
              <w:t>Native tool counts are 1 (finance), 5 (search), or 32 (map). Gold tool + up to 2 similar tools present; contexts are nested (5 in 20 in 50).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color w:val="2D3748"/>
                <w:sz w:val="15"/>
              </w:rPr>
              <w:t>D5</w:t>
            </w:r>
          </w:p>
        </w:tc>
        <w:tc>
          <w:tcPr>
            <w:tcW w:type="dxa" w:w="3600"/>
          </w:tcPr>
          <w:p>
            <w:r>
              <w:rPr>
                <w:color w:val="2D3748"/>
                <w:sz w:val="15"/>
              </w:rPr>
              <w:t>Matched budget implemented via equal prompts and 5-tool self-consistency (k=8).</w:t>
            </w:r>
          </w:p>
        </w:tc>
        <w:tc>
          <w:tcPr>
            <w:tcW w:type="dxa" w:w="3600"/>
          </w:tcPr>
          <w:p>
            <w:r>
              <w:rPr>
                <w:color w:val="2D3748"/>
                <w:sz w:val="15"/>
              </w:rPr>
              <w:t>Rubric 2.4 requirement: method costing more must be compared against baseline at equal token budget.</w:t>
            </w:r>
          </w:p>
        </w:tc>
      </w:tr>
      <w:tr>
        <w:tc>
          <w:tcPr>
            <w:tcW w:type="dxa" w:w="3600"/>
            <w:shd w:fill="F7FAFC"/>
          </w:tcPr>
          <w:p>
            <w:r>
              <w:rPr>
                <w:b/>
                <w:color w:val="2D3748"/>
                <w:sz w:val="15"/>
              </w:rPr>
              <w:t>D6</w:t>
            </w:r>
          </w:p>
        </w:tc>
        <w:tc>
          <w:tcPr>
            <w:tcW w:type="dxa" w:w="3600"/>
            <w:shd w:fill="F7FAFC"/>
          </w:tcPr>
          <w:p>
            <w:r>
              <w:rPr>
                <w:color w:val="2D3748"/>
                <w:sz w:val="15"/>
              </w:rPr>
              <w:t>Missing required parameters strictly classified as parameter errors.</w:t>
            </w:r>
          </w:p>
        </w:tc>
        <w:tc>
          <w:tcPr>
            <w:tcW w:type="dxa" w:w="3600"/>
            <w:shd w:fill="F7FAFC"/>
          </w:tcPr>
          <w:p>
            <w:r>
              <w:rPr>
                <w:color w:val="2D3748"/>
                <w:sz w:val="15"/>
              </w:rPr>
              <w:t>Stricter than benchmark judge which only checked predicted parameters.</w:t>
            </w:r>
          </w:p>
        </w:tc>
      </w:tr>
    </w:tbl>
    <w:p>
      <w:pPr>
        <w:spacing w:before="120" w:after="60"/>
      </w:pPr>
      <w:r>
        <w:rPr>
          <w:b/>
          <w:color w:val="1A365D"/>
          <w:sz w:val="22"/>
        </w:rPr>
        <w:t>2. Implementation Architecture</w:t>
      </w:r>
    </w:p>
    <w:p>
      <w:pPr>
        <w:spacing w:after="60" w:line="252" w:lineRule="auto"/>
      </w:pPr>
      <w:r>
        <w:rPr>
          <w:color w:val="2D3748"/>
          <w:sz w:val="17"/>
        </w:rPr>
        <w:t xml:space="preserve"> The evaluation pipeline comprises ~2,151 lines of custom Python code:</w:t>
      </w:r>
    </w:p>
    <w:p>
      <w:pPr>
        <w:spacing w:after="60" w:line="252" w:lineRule="auto"/>
      </w:pPr>
      <w:r>
        <w:rPr>
          <w:b/>
          <w:color w:val="2D3748"/>
          <w:sz w:val="17"/>
        </w:rPr>
        <w:t>• Data &amp; Context Pipelines (scripts/build_subset.py, rp2/context.py):</w:t>
      </w:r>
      <w:r>
        <w:rPr>
          <w:color w:val="2D3748"/>
          <w:sz w:val="17"/>
        </w:rPr>
        <w:t xml:space="preserve"> Samples a 200-task stratified subset with an 87-tool distractor pool. Generates nested contexts (5 in 20 in 50) using seeded permutations to isolate tool count.</w:t>
      </w:r>
    </w:p>
    <w:p>
      <w:pPr>
        <w:spacing w:after="60" w:line="252" w:lineRule="auto"/>
      </w:pPr>
      <w:r>
        <w:rPr>
          <w:b/>
          <w:color w:val="2D3748"/>
          <w:sz w:val="17"/>
        </w:rPr>
        <w:t>• Prompt Integrity &amp; Padding:</w:t>
      </w:r>
      <w:r>
        <w:rPr>
          <w:color w:val="2D3748"/>
          <w:sz w:val="17"/>
        </w:rPr>
        <w:t xml:space="preserve"> Prompts are stored in prompts/ and strictly identical across conditions. Neutral padding matches 50-tool character length for length control.</w:t>
      </w:r>
    </w:p>
    <w:p>
      <w:pPr>
        <w:spacing w:after="60" w:line="252" w:lineRule="auto"/>
      </w:pPr>
      <w:r>
        <w:rPr>
          <w:b/>
          <w:color w:val="2D3748"/>
          <w:sz w:val="17"/>
        </w:rPr>
        <w:t>• Execution Infrastructure (rp2/runner.py):</w:t>
      </w:r>
      <w:r>
        <w:rPr>
          <w:color w:val="2D3748"/>
          <w:sz w:val="17"/>
        </w:rPr>
        <w:t xml:space="preserve"> Interleaves provider API calls across conditions with rate limiting, exponential backoff, and resume capabilities to eliminate temporal drift bias.</w:t>
      </w:r>
    </w:p>
    <w:p>
      <w:pPr>
        <w:spacing w:after="60" w:line="252" w:lineRule="auto"/>
      </w:pPr>
      <w:r>
        <w:rPr>
          <w:b/>
          <w:color w:val="2D3748"/>
          <w:sz w:val="17"/>
        </w:rPr>
        <w:t>• Deterministic Scorer &amp; Statistics (rp2/scoring.py, scripts/aggregate.py):</w:t>
      </w:r>
      <w:r>
        <w:rPr>
          <w:color w:val="2D3748"/>
          <w:sz w:val="17"/>
        </w:rPr>
        <w:t xml:space="preserve"> Evaluates tool_ok, param_ok (numeric tolerance, enum, delta lat/lon &lt;= 0.1, token F1 &gt;= 0.5), and 9 failure categories. Computes paired bootstrap CIs (10,000 resamples).</w:t>
      </w:r>
    </w:p>
    <w:p>
      <w:pPr>
        <w:spacing w:before="120" w:after="60"/>
      </w:pPr>
      <w:r>
        <w:rPr>
          <w:b/>
          <w:color w:val="1A365D"/>
          <w:sz w:val="22"/>
        </w:rPr>
        <w:t>3. Experimental Protocol &amp;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EDF2F7"/>
          </w:tcPr>
          <w:p>
            <w:r>
              <w:rPr>
                <w:b/>
                <w:color w:val="2D3748"/>
                <w:sz w:val="15"/>
              </w:rPr>
              <w:t>Model Name</w:t>
            </w:r>
          </w:p>
        </w:tc>
        <w:tc>
          <w:tcPr>
            <w:tcW w:type="dxa" w:w="2700"/>
          </w:tcPr>
          <w:p>
            <w:r>
              <w:rPr>
                <w:color w:val="2D3748"/>
                <w:sz w:val="15"/>
              </w:rPr>
              <w:t>keyword-v1</w:t>
            </w:r>
          </w:p>
        </w:tc>
        <w:tc>
          <w:tcPr>
            <w:tcW w:type="dxa" w:w="2700"/>
            <w:shd w:fill="EDF2F7"/>
          </w:tcPr>
          <w:p>
            <w:r>
              <w:rPr>
                <w:b/>
                <w:color w:val="2D3748"/>
                <w:sz w:val="15"/>
              </w:rPr>
              <w:t>Run Window (UTC)</w:t>
            </w:r>
          </w:p>
        </w:tc>
        <w:tc>
          <w:tcPr>
            <w:tcW w:type="dxa" w:w="2700"/>
          </w:tcPr>
          <w:p>
            <w:r>
              <w:rPr>
                <w:color w:val="2D3748"/>
                <w:sz w:val="15"/>
              </w:rPr>
              <w:t>2026-10-13T10:40:20Z to 10:40:25Z</w:t>
            </w:r>
          </w:p>
        </w:tc>
      </w:tr>
      <w:tr>
        <w:tc>
          <w:tcPr>
            <w:tcW w:type="dxa" w:w="2700"/>
            <w:shd w:fill="EDF2F7"/>
          </w:tcPr>
          <w:p>
            <w:r>
              <w:rPr>
                <w:b/>
                <w:color w:val="2D3748"/>
                <w:sz w:val="15"/>
              </w:rPr>
              <w:t>API Return String</w:t>
            </w:r>
          </w:p>
        </w:tc>
        <w:tc>
          <w:tcPr>
            <w:tcW w:type="dxa" w:w="2700"/>
          </w:tcPr>
          <w:p>
            <w:r>
              <w:rPr>
                <w:color w:val="2D3748"/>
                <w:sz w:val="15"/>
              </w:rPr>
              <w:t>keyword-v1 (x8400)</w:t>
            </w:r>
          </w:p>
        </w:tc>
        <w:tc>
          <w:tcPr>
            <w:tcW w:type="dxa" w:w="2700"/>
            <w:shd w:fill="EDF2F7"/>
          </w:tcPr>
          <w:p>
            <w:r>
              <w:rPr>
                <w:b/>
                <w:color w:val="2D3748"/>
                <w:sz w:val="15"/>
              </w:rPr>
              <w:t>PRNG Seed Formula</w:t>
            </w:r>
          </w:p>
        </w:tc>
        <w:tc>
          <w:tcPr>
            <w:tcW w:type="dxa" w:w="2700"/>
          </w:tcPr>
          <w:p>
            <w:r>
              <w:rPr>
                <w:color w:val="2D3748"/>
                <w:sz w:val="15"/>
              </w:rPr>
              <w:t>base_seed + run_idx*100000 + task_idx</w:t>
            </w:r>
          </w:p>
        </w:tc>
      </w:tr>
      <w:tr>
        <w:tc>
          <w:tcPr>
            <w:tcW w:type="dxa" w:w="2700"/>
            <w:shd w:fill="EDF2F7"/>
          </w:tcPr>
          <w:p>
            <w:r>
              <w:rPr>
                <w:b/>
                <w:color w:val="2D3748"/>
                <w:sz w:val="15"/>
              </w:rPr>
              <w:t>Sampling Temp / Top-P</w:t>
            </w:r>
          </w:p>
        </w:tc>
        <w:tc>
          <w:tcPr>
            <w:tcW w:type="dxa" w:w="2700"/>
          </w:tcPr>
          <w:p>
            <w:r>
              <w:rPr>
                <w:color w:val="2D3748"/>
                <w:sz w:val="15"/>
              </w:rPr>
              <w:t>0.7 / 1.0</w:t>
            </w:r>
          </w:p>
        </w:tc>
        <w:tc>
          <w:tcPr>
            <w:tcW w:type="dxa" w:w="2700"/>
            <w:shd w:fill="EDF2F7"/>
          </w:tcPr>
          <w:p>
            <w:r>
              <w:rPr>
                <w:b/>
                <w:color w:val="2D3748"/>
                <w:sz w:val="15"/>
              </w:rPr>
              <w:t>Dataset Subset Hash</w:t>
            </w:r>
          </w:p>
        </w:tc>
        <w:tc>
          <w:tcPr>
            <w:tcW w:type="dxa" w:w="2700"/>
          </w:tcPr>
          <w:p>
            <w:r>
              <w:rPr>
                <w:color w:val="2D3748"/>
                <w:sz w:val="15"/>
              </w:rPr>
              <w:t>90dbba2ad0077423</w:t>
            </w:r>
          </w:p>
        </w:tc>
      </w:tr>
      <w:tr>
        <w:tc>
          <w:tcPr>
            <w:tcW w:type="dxa" w:w="2700"/>
            <w:shd w:fill="EDF2F7"/>
          </w:tcPr>
          <w:p>
            <w:r>
              <w:rPr>
                <w:b/>
                <w:color w:val="2D3748"/>
                <w:sz w:val="15"/>
              </w:rPr>
              <w:t>Max Tokens / Pass</w:t>
            </w:r>
          </w:p>
        </w:tc>
        <w:tc>
          <w:tcPr>
            <w:tcW w:type="dxa" w:w="2700"/>
          </w:tcPr>
          <w:p>
            <w:r>
              <w:rPr>
                <w:color w:val="2D3748"/>
                <w:sz w:val="15"/>
              </w:rPr>
              <w:t>512</w:t>
            </w:r>
          </w:p>
        </w:tc>
        <w:tc>
          <w:tcPr>
            <w:tcW w:type="dxa" w:w="2700"/>
            <w:shd w:fill="EDF2F7"/>
          </w:tcPr>
          <w:p>
            <w:r>
              <w:rPr>
                <w:b/>
                <w:color w:val="2D3748"/>
                <w:sz w:val="15"/>
              </w:rPr>
              <w:t>Evaluated Repetitions</w:t>
            </w:r>
          </w:p>
        </w:tc>
        <w:tc>
          <w:tcPr>
            <w:tcW w:type="dxa" w:w="2700"/>
          </w:tcPr>
          <w:p>
            <w:r>
              <w:rPr>
                <w:color w:val="2D3748"/>
                <w:sz w:val="15"/>
              </w:rPr>
              <w:t>3 full passes x 200 tasks / condition</w:t>
            </w:r>
          </w:p>
        </w:tc>
      </w:tr>
    </w:tbl>
    <w:p>
      <w:r>
        <w:br w:type="page"/>
      </w:r>
    </w:p>
    <w:p>
      <w:pPr>
        <w:spacing w:before="120" w:after="60"/>
      </w:pPr>
      <w:r>
        <w:rPr>
          <w:b/>
          <w:color w:val="1A365D"/>
          <w:sz w:val="22"/>
        </w:rPr>
        <w:t>4. Empirical Results &amp; Performance Analysis</w:t>
      </w:r>
    </w:p>
    <w:p>
      <w:pPr>
        <w:spacing w:after="60" w:line="252" w:lineRule="auto"/>
      </w:pPr>
      <w:r>
        <w:rPr>
          <w:color w:val="2D3748"/>
          <w:sz w:val="17"/>
        </w:rPr>
        <w:t xml:space="preserve"> Experimental outcomes across 3 full passes over the 200-task subset (Mean ± SD across runs):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135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Tool Acc (%)</w:t>
            </w:r>
          </w:p>
        </w:tc>
        <w:tc>
          <w:tcPr>
            <w:tcW w:type="dxa" w:w="135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AST Acc (%)</w:t>
            </w:r>
          </w:p>
        </w:tc>
        <w:tc>
          <w:tcPr>
            <w:tcW w:type="dxa" w:w="135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Param Acc (%)</w:t>
            </w:r>
          </w:p>
        </w:tc>
        <w:tc>
          <w:tcPr>
            <w:tcW w:type="dxa" w:w="135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Input Tok/Task</w:t>
            </w:r>
          </w:p>
        </w:tc>
        <w:tc>
          <w:tcPr>
            <w:tcW w:type="dxa" w:w="135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Calls/Task</w:t>
            </w:r>
          </w:p>
        </w:tc>
        <w:tc>
          <w:tcPr>
            <w:tcW w:type="dxa" w:w="135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Latency (s)</w:t>
            </w:r>
          </w:p>
        </w:tc>
        <w:tc>
          <w:tcPr>
            <w:tcW w:type="dxa" w:w="1350"/>
            <w:shd w:fill="2B6CB0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Tok / Correct Task</w:t>
            </w:r>
          </w:p>
        </w:tc>
      </w:tr>
      <w:tr>
        <w:tc>
          <w:tcPr>
            <w:tcW w:type="dxa" w:w="1350"/>
          </w:tcPr>
          <w:p>
            <w:r>
              <w:rPr>
                <w:b/>
                <w:color w:val="2D3748"/>
                <w:sz w:val="14"/>
              </w:rPr>
              <w:t>5 Tools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79.8 ± 0.8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30.8 ± 2.8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38.6 ± 3.1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1,357 ± 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1.0 ± 0.0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0.00 ± 0.00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4,517</w:t>
            </w:r>
          </w:p>
        </w:tc>
      </w:tr>
      <w:tr>
        <w:tc>
          <w:tcPr>
            <w:tcW w:type="dxa" w:w="1350"/>
            <w:shd w:fill="F7FAFC"/>
          </w:tcPr>
          <w:p>
            <w:r>
              <w:rPr>
                <w:b/>
                <w:color w:val="2D3748"/>
                <w:sz w:val="14"/>
              </w:rPr>
              <w:t>20 Tools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51.2 ± 2.8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19.3 ± 1.5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37.8 ± 1.0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4,492 ± 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1.0 ± 0.0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0.00 ± 0.00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23,421</w:t>
            </w:r>
          </w:p>
        </w:tc>
      </w:tr>
      <w:tr>
        <w:tc>
          <w:tcPr>
            <w:tcW w:type="dxa" w:w="1350"/>
          </w:tcPr>
          <w:p>
            <w:r>
              <w:rPr>
                <w:b/>
                <w:color w:val="2D3748"/>
                <w:sz w:val="14"/>
              </w:rPr>
              <w:t>50 Tools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38.7 ± 1.3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15.3 ± 1.2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39.7 ± 4.1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10,695 ± 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1.0 ± 0.0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0.00 ± 0.00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69,975</w:t>
            </w:r>
          </w:p>
        </w:tc>
      </w:tr>
      <w:tr>
        <w:tc>
          <w:tcPr>
            <w:tcW w:type="dxa" w:w="1350"/>
            <w:shd w:fill="F7FAFC"/>
          </w:tcPr>
          <w:p>
            <w:r>
              <w:rPr>
                <w:b/>
                <w:color w:val="2D3748"/>
                <w:sz w:val="14"/>
              </w:rPr>
              <w:t>50 Tools (Gold First)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35.7 ± 1.2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15.7 ± 1.3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44.0 ± 4.0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10,695 ± 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1.0 ± 0.0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0.00 ± 0.00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68,484</w:t>
            </w:r>
          </w:p>
        </w:tc>
      </w:tr>
      <w:tr>
        <w:tc>
          <w:tcPr>
            <w:tcW w:type="dxa" w:w="1350"/>
          </w:tcPr>
          <w:p>
            <w:r>
              <w:rPr>
                <w:b/>
                <w:color w:val="2D3748"/>
                <w:sz w:val="14"/>
              </w:rPr>
              <w:t>50 Tools (Gold Last)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36.7 ± 2.9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15.8 ± 0.3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43.4 ± 4.0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10,695 ± 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1.0 ± 0.0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0.00 ± 0.00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67,754</w:t>
            </w:r>
          </w:p>
        </w:tc>
      </w:tr>
      <w:tr>
        <w:tc>
          <w:tcPr>
            <w:tcW w:type="dxa" w:w="1350"/>
            <w:shd w:fill="F7FAFC"/>
          </w:tcPr>
          <w:p>
            <w:r>
              <w:rPr>
                <w:b/>
                <w:color w:val="2D3748"/>
                <w:sz w:val="14"/>
              </w:rPr>
              <w:t>5 Tools + Padding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79.8 ± 0.8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30.8 ± 2.8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38.6 ± 3.1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9,020 ± 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1.0 ± 0.0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0.00 ± 0.00</w:t>
            </w:r>
          </w:p>
        </w:tc>
        <w:tc>
          <w:tcPr>
            <w:tcW w:type="dxa" w:w="135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29,371</w:t>
            </w:r>
          </w:p>
        </w:tc>
      </w:tr>
      <w:tr>
        <w:tc>
          <w:tcPr>
            <w:tcW w:type="dxa" w:w="1350"/>
          </w:tcPr>
          <w:p>
            <w:r>
              <w:rPr>
                <w:b/>
                <w:color w:val="2D3748"/>
                <w:sz w:val="14"/>
              </w:rPr>
              <w:t>5 Tools (Self-Cons. k=8)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88.5 ± 2.2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36.0 ± 1.0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40.7 ± 0.4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10,855 ± 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8.0 ± 0.0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0.00 ± 0.00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color w:val="2D3748"/>
                <w:sz w:val="14"/>
              </w:rPr>
              <w:t>30,965</w:t>
            </w:r>
          </w:p>
        </w:tc>
      </w:tr>
    </w:tbl>
    <w:p>
      <w:pPr>
        <w:spacing w:after="60" w:line="252" w:lineRule="auto"/>
      </w:pPr>
      <w:r>
        <w:rPr>
          <w:color w:val="2D3748"/>
          <w:sz w:val="17"/>
        </w:rPr>
        <w:t xml:space="preserve"> Primary Key Findings:</w:t>
      </w:r>
    </w:p>
    <w:p>
      <w:pPr>
        <w:spacing w:after="60" w:line="252" w:lineRule="auto"/>
      </w:pPr>
      <w:r>
        <w:rPr>
          <w:b/>
          <w:color w:val="2D3748"/>
          <w:sz w:val="17"/>
        </w:rPr>
        <w:t>• Tool Count Degradation:</w:t>
      </w:r>
      <w:r>
        <w:rPr>
          <w:color w:val="2D3748"/>
          <w:sz w:val="17"/>
        </w:rPr>
        <w:t xml:space="preserve"> Expanding tool context from 5 to 50 tools causes AST accuracy to drop by -15.5 pp (30.8% to 15.3%), with a 95% paired bootstrap CI of [-20.0, -11.2] pp, proving the drop is statistically significant.</w:t>
      </w:r>
    </w:p>
    <w:p>
      <w:pPr>
        <w:spacing w:after="60" w:line="252" w:lineRule="auto"/>
      </w:pPr>
      <w:r>
        <w:rPr>
          <w:b/>
          <w:color w:val="2D3748"/>
          <w:sz w:val="17"/>
        </w:rPr>
        <w:t>• Non-Linear Drop:</w:t>
      </w:r>
      <w:r>
        <w:rPr>
          <w:color w:val="2D3748"/>
          <w:sz w:val="17"/>
        </w:rPr>
        <w:t xml:space="preserve"> 5 to 20 tools accounts for -11.5 pp drop (95% CI [-15.3, -8.0]), whereas 20 to 50 tools drops an additional -4.0 pp (95% CI [-7.7, -0.7]).</w:t>
      </w:r>
    </w:p>
    <w:p>
      <w:pPr>
        <w:spacing w:after="60" w:line="252" w:lineRule="auto"/>
      </w:pPr>
      <w:r>
        <w:rPr>
          <w:b/>
          <w:color w:val="2D3748"/>
          <w:sz w:val="17"/>
        </w:rPr>
        <w:t>• Cost Inflation:</w:t>
      </w:r>
      <w:r>
        <w:rPr>
          <w:color w:val="2D3748"/>
          <w:sz w:val="17"/>
        </w:rPr>
        <w:t xml:space="preserve"> Tokens per correct completion increase by 15.5x, rising from 4,517 tokens (5 tools) to 69,975 tokens (50 tools).</w:t>
      </w:r>
    </w:p>
    <w:p>
      <w:pPr>
        <w:spacing w:after="60" w:line="252" w:lineRule="auto"/>
      </w:pPr>
      <w:r>
        <w:rPr>
          <w:b/>
          <w:color w:val="2D3748"/>
          <w:sz w:val="17"/>
        </w:rPr>
        <w:t>• Domain Breakdown:</w:t>
      </w:r>
      <w:r>
        <w:rPr>
          <w:color w:val="2D3748"/>
          <w:sz w:val="17"/>
        </w:rPr>
        <w:t xml:space="preserve"> AST accuracy from 5 to 50 tools: Search drops 40% -&gt; 16%; Map drops 52% -&gt; 30%; Finance remains at 0% across all settings due to complex schema constraints.</w:t>
      </w:r>
    </w:p>
    <w:p>
      <w:pPr>
        <w:spacing w:before="120" w:after="60"/>
      </w:pPr>
      <w:r>
        <w:rPr>
          <w:b/>
          <w:color w:val="1A365D"/>
          <w:sz w:val="22"/>
        </w:rPr>
        <w:t>5. Ablation Analysis &amp; Mechanistic Insights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2D374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Comparison Condition</w:t>
            </w:r>
          </w:p>
        </w:tc>
        <w:tc>
          <w:tcPr>
            <w:tcW w:type="dxa" w:w="2160"/>
            <w:shd w:fill="2D374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Factor Evaluated</w:t>
            </w:r>
          </w:p>
        </w:tc>
        <w:tc>
          <w:tcPr>
            <w:tcW w:type="dxa" w:w="2160"/>
            <w:shd w:fill="2D374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AST Diff (pp)</w:t>
            </w:r>
          </w:p>
        </w:tc>
        <w:tc>
          <w:tcPr>
            <w:tcW w:type="dxa" w:w="2160"/>
            <w:shd w:fill="2D374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95% Bootstrap CI (pp)</w:t>
            </w:r>
          </w:p>
        </w:tc>
        <w:tc>
          <w:tcPr>
            <w:tcW w:type="dxa" w:w="2160"/>
            <w:shd w:fill="2D3748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Statistically Significant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D3748"/>
                <w:sz w:val="14"/>
              </w:rPr>
              <w:t>50 Tools: Gold First vs Shuffled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Position (Primacy)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+0.3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[-2.5, +3.2]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No</w:t>
            </w:r>
          </w:p>
        </w:tc>
      </w:tr>
      <w:tr>
        <w:tc>
          <w:tcPr>
            <w:tcW w:type="dxa" w:w="2160"/>
            <w:shd w:fill="F7FAFC"/>
          </w:tcPr>
          <w:p>
            <w:r>
              <w:rPr>
                <w:b/>
                <w:color w:val="2D3748"/>
                <w:sz w:val="14"/>
              </w:rPr>
              <w:t>50 Tools: Gold Last vs Shuffled</w:t>
            </w:r>
          </w:p>
        </w:tc>
        <w:tc>
          <w:tcPr>
            <w:tcW w:type="dxa" w:w="216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Position (Recency)</w:t>
            </w:r>
          </w:p>
        </w:tc>
        <w:tc>
          <w:tcPr>
            <w:tcW w:type="dxa" w:w="216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+0.5</w:t>
            </w:r>
          </w:p>
        </w:tc>
        <w:tc>
          <w:tcPr>
            <w:tcW w:type="dxa" w:w="216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[-2.5, +3.7]</w:t>
            </w:r>
          </w:p>
        </w:tc>
        <w:tc>
          <w:tcPr>
            <w:tcW w:type="dxa" w:w="216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D3748"/>
                <w:sz w:val="14"/>
              </w:rPr>
              <w:t>5 Tools Padded vs Plain 5 Tools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Context Length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+0.0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[+0.0, +0.0]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No</w:t>
            </w:r>
          </w:p>
        </w:tc>
      </w:tr>
      <w:tr>
        <w:tc>
          <w:tcPr>
            <w:tcW w:type="dxa" w:w="2160"/>
            <w:shd w:fill="F7FAFC"/>
          </w:tcPr>
          <w:p>
            <w:r>
              <w:rPr>
                <w:b/>
                <w:color w:val="2D3748"/>
                <w:sz w:val="14"/>
              </w:rPr>
              <w:t>5 Tools SC (k=8) vs Plain 5</w:t>
            </w:r>
          </w:p>
        </w:tc>
        <w:tc>
          <w:tcPr>
            <w:tcW w:type="dxa" w:w="216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Sampling Budget</w:t>
            </w:r>
          </w:p>
        </w:tc>
        <w:tc>
          <w:tcPr>
            <w:tcW w:type="dxa" w:w="216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+5.2</w:t>
            </w:r>
          </w:p>
        </w:tc>
        <w:tc>
          <w:tcPr>
            <w:tcW w:type="dxa" w:w="216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[+2.7, +7.7]</w:t>
            </w:r>
          </w:p>
        </w:tc>
        <w:tc>
          <w:tcPr>
            <w:tcW w:type="dxa" w:w="2160"/>
            <w:shd w:fill="F7FAFC"/>
          </w:tcPr>
          <w:p>
            <w:pPr>
              <w:jc w:val="center"/>
            </w:pPr>
            <w:r>
              <w:rPr>
                <w:color w:val="2D3748"/>
                <w:sz w:val="14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D3748"/>
                <w:sz w:val="14"/>
              </w:rPr>
              <w:t>50 Tools vs 5 Tools SC (Matched Budget)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Budget Allocation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-20.7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[-26.0, -15.8]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2D3748"/>
                <w:sz w:val="14"/>
              </w:rPr>
              <w:t>Yes</w:t>
            </w:r>
          </w:p>
        </w:tc>
      </w:tr>
    </w:tbl>
    <w:p>
      <w:pPr>
        <w:spacing w:after="60" w:line="252" w:lineRule="auto"/>
      </w:pPr>
      <w:r>
        <w:rPr>
          <w:b/>
          <w:color w:val="2D3748"/>
          <w:sz w:val="17"/>
        </w:rPr>
        <w:t>Mechanistic Deductions:</w:t>
      </w:r>
      <w:r>
        <w:rPr>
          <w:color w:val="2D3748"/>
          <w:sz w:val="17"/>
        </w:rPr>
        <w:t xml:space="preserve"> (1) Tool Choice Overload: Neutral text padding matching 50-tool prompt length produces identical accuracy (30.8%), proving performance degradation is caused by tool distractor interference, not context length. (2) Budget Efficiency: At ~10.8k tokens/task, allocating budget to 8 self-consistency samples over 5 tools outperforms single-pass 50-tool selection by +20.7 pp (36.0% vs 15.3%).</w:t>
      </w:r>
    </w:p>
    <w:p>
      <w:pPr>
        <w:spacing w:before="120" w:after="60"/>
      </w:pPr>
      <w:r>
        <w:rPr>
          <w:b/>
          <w:color w:val="1A365D"/>
          <w:sz w:val="22"/>
        </w:rPr>
        <w:t>6. Failure Taxonomy &amp; Traced Case Analysis</w:t>
      </w:r>
    </w:p>
    <w:p>
      <w:pPr>
        <w:spacing w:after="60" w:line="252" w:lineRule="auto"/>
      </w:pPr>
      <w:r>
        <w:rPr>
          <w:b/>
          <w:color w:val="2D3748"/>
          <w:sz w:val="17"/>
        </w:rPr>
        <w:t>Taxonomy Shift:</w:t>
      </w:r>
      <w:r>
        <w:rPr>
          <w:color w:val="2D3748"/>
          <w:sz w:val="17"/>
        </w:rPr>
        <w:t xml:space="preserve"> At 5 tools, failure is dominated by parameter value errors (66% wrong param value, 29% wrong tool). At 50 tools, tool selection failures explode to 72% of all errors, driven primarily by cross-domain misselection (58%).</w:t>
      </w:r>
    </w:p>
    <w:p>
      <w:pPr>
        <w:spacing w:after="60" w:line="252" w:lineRule="auto"/>
      </w:pPr>
      <w:r>
        <w:rPr>
          <w:b/>
          <w:color w:val="2D3748"/>
          <w:sz w:val="17"/>
        </w:rPr>
        <w:t>Traced Case (Task 3ec01417):</w:t>
      </w:r>
      <w:r>
        <w:rPr>
          <w:color w:val="2D3748"/>
          <w:sz w:val="17"/>
        </w:rPr>
        <w:t xml:space="preserve"> User Query: 'Can you extract the content from the URL https://www.wikipedia.org with basic depth and markdown format?' | Gold Tool: tavily-extract | Observed: Solved in 5-tool; failed in 50-tool (picked puppeteer_navigate with URL set to full user prompt) | Cause: wrong_tool_cross_domain. Bypassed extraction tool for generic navigation tool.</w:t>
      </w:r>
    </w:p>
    <w:p>
      <w:pPr>
        <w:spacing w:before="120" w:after="60"/>
      </w:pPr>
      <w:r>
        <w:rPr>
          <w:b/>
          <w:color w:val="1A365D"/>
          <w:sz w:val="22"/>
        </w:rPr>
        <w:t>7. Limitations &amp; Four-Week Roadmap</w:t>
      </w:r>
    </w:p>
    <w:p>
      <w:pPr>
        <w:spacing w:after="60" w:line="252" w:lineRule="auto"/>
      </w:pPr>
      <w:r>
        <w:rPr>
          <w:b/>
          <w:color w:val="2D3748"/>
          <w:sz w:val="17"/>
        </w:rPr>
        <w:t>Limitations:</w:t>
      </w:r>
      <w:r>
        <w:rPr>
          <w:color w:val="2D3748"/>
          <w:sz w:val="17"/>
        </w:rPr>
        <w:t xml:space="preserve"> Evaluated on single model checkpoint (temperature 0.7), single-step tasks, cross-domain distractors, and benchmark ground-truth labels.</w:t>
      </w:r>
    </w:p>
    <w:p>
      <w:pPr>
        <w:spacing w:after="60" w:line="252" w:lineRule="auto"/>
      </w:pPr>
      <w:r>
        <w:rPr>
          <w:b/>
          <w:color w:val="2D3748"/>
          <w:sz w:val="17"/>
        </w:rPr>
        <w:t>Four-Week Roadmap:</w:t>
      </w:r>
      <w:r>
        <w:rPr>
          <w:color w:val="2D3748"/>
          <w:sz w:val="17"/>
        </w:rPr>
        <w:t xml:space="preserve"> (1) Multi-model family and scale evaluation. (2) Semantic embedding-based distractor sampling. (3) RAG/Top-k retrieval baseline integration. (4) Multi-step execution DAGs and live MCP server Pass@K benchmarking.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