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5: Data Strategy</w:t>
      </w:r>
    </w:p>
    <w:p>
      <w:pPr>
        <w:jc w:val="center"/>
      </w:pPr>
      <w:r>
        <w:rPr>
          <w:i/>
          <w:sz w:val="22"/>
        </w:rPr>
        <w:t>A governed, scalable analytics strategy for a short-term-rental intelligence organization</w:t>
      </w:r>
    </w:p>
    <w:p>
      <w:pPr>
        <w:jc w:val="center"/>
      </w:pPr>
      <w:r>
        <w:rPr>
          <w:sz w:val="18"/>
        </w:rPr>
        <w:t>Senior Data Analytics Engineer Internship | Prepared 20 October 2026</w:t>
      </w:r>
    </w:p>
    <w:p/>
    <w:p>
      <w:pPr>
        <w:pStyle w:val="Heading1"/>
      </w:pPr>
      <w:r>
        <w:t>Executive summary</w:t>
      </w:r>
    </w:p>
    <w:p>
      <w:r>
        <w:t>This strategy proposes how a hypothetical short-term-rental intelligence organization can collect, validate, analyze, visualize, and govern listing data. It emphasizes a modest pilot, documented ownership, measurable quality controls, and business outcomes that can be tested rather than assumed.</w:t>
      </w:r>
    </w:p>
    <w:p>
      <w:pPr>
        <w:pStyle w:val="Heading1"/>
      </w:pPr>
      <w:r>
        <w:t>1. Business context and objectives</w:t>
      </w:r>
    </w:p>
    <w:p>
      <w:r>
        <w:t>The organization wants to help analysts and property managers understand public listing-market patterns and compare similar listings. The initial dataset is a 500-row extract and should be treated as a pilot input. The strategy does not assume that public listing prices equal realized booking prices or revenue.</w:t>
      </w:r>
    </w:p>
    <w:p>
      <w:pPr>
        <w:pStyle w:val="Heading1"/>
      </w:pPr>
      <w:r>
        <w:t>2. Strategic principles</w:t>
      </w:r>
    </w:p>
    <w:p>
      <w:pPr>
        <w:pStyle w:val="ListBullet"/>
      </w:pPr>
      <w:r>
        <w:t>Business-led: each dataset and dashboard must support a named decision.</w:t>
      </w:r>
    </w:p>
    <w:p>
      <w:pPr>
        <w:pStyle w:val="ListBullet"/>
      </w:pPr>
      <w:r>
        <w:t>Quality by design: validation is automated at ingestion, not added after reports fail.</w:t>
      </w:r>
    </w:p>
    <w:p>
      <w:pPr>
        <w:pStyle w:val="ListBullet"/>
      </w:pPr>
      <w:r>
        <w:t>Reproducibility: raw snapshots are immutable; transformations are version-controlled.</w:t>
      </w:r>
    </w:p>
    <w:p>
      <w:pPr>
        <w:pStyle w:val="ListBullet"/>
      </w:pPr>
      <w:r>
        <w:t>Privacy and compliance: collect only necessary fields and review source terms and applicable law.</w:t>
      </w:r>
    </w:p>
    <w:p>
      <w:pPr>
        <w:pStyle w:val="ListBullet"/>
      </w:pPr>
      <w:r>
        <w:t>Transparency: document definitions, sample coverage, uncertainty, and known limitations.</w:t>
      </w:r>
    </w:p>
    <w:p>
      <w:pPr>
        <w:pStyle w:val="ListBullet"/>
      </w:pPr>
      <w:r>
        <w:t>Incremental delivery: prove value with a small pilot before scaling.</w:t>
      </w:r>
    </w:p>
    <w:p>
      <w:pPr>
        <w:pStyle w:val="Heading1"/>
      </w:pPr>
      <w:r>
        <w:t>3. Target data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Layer</w:t>
            </w:r>
          </w:p>
        </w:tc>
        <w:tc>
          <w:tcPr>
            <w:tcW w:type="dxa" w:w="3312"/>
            <w:shd w:fill="D9EAF7"/>
          </w:tcPr>
          <w:p>
            <w:r>
              <w:t>Purpose</w:t>
            </w:r>
          </w:p>
        </w:tc>
        <w:tc>
          <w:tcPr>
            <w:tcW w:type="dxa" w:w="3312"/>
            <w:shd w:fill="D9EAF7"/>
          </w:tcPr>
          <w:p>
            <w:r>
              <w:t>Controls and outputs</w:t>
            </w:r>
          </w:p>
        </w:tc>
      </w:tr>
      <w:tr>
        <w:tc>
          <w:tcPr>
            <w:tcW w:type="dxa" w:w="3312"/>
          </w:tcPr>
          <w:p>
            <w:r>
              <w:t>Source / ingestion</w:t>
            </w:r>
          </w:p>
        </w:tc>
        <w:tc>
          <w:tcPr>
            <w:tcW w:type="dxa" w:w="3312"/>
          </w:tcPr>
          <w:p>
            <w:r>
              <w:t>Download permitted public snapshots and capture source, timestamp, and file hash</w:t>
            </w:r>
          </w:p>
        </w:tc>
        <w:tc>
          <w:tcPr>
            <w:tcW w:type="dxa" w:w="3312"/>
          </w:tcPr>
          <w:p>
            <w:r>
              <w:t>Source register, schema checks, ingestion log</w:t>
            </w:r>
          </w:p>
        </w:tc>
      </w:tr>
      <w:tr>
        <w:tc>
          <w:tcPr>
            <w:tcW w:type="dxa" w:w="3312"/>
          </w:tcPr>
          <w:p>
            <w:r>
              <w:t>Raw zone</w:t>
            </w:r>
          </w:p>
        </w:tc>
        <w:tc>
          <w:tcPr>
            <w:tcW w:type="dxa" w:w="3312"/>
          </w:tcPr>
          <w:p>
            <w:r>
              <w:t>Preserve original files without edits</w:t>
            </w:r>
          </w:p>
        </w:tc>
        <w:tc>
          <w:tcPr>
            <w:tcW w:type="dxa" w:w="3312"/>
          </w:tcPr>
          <w:p>
            <w:r>
              <w:t>Immutable snapshots, access controls, retention policy</w:t>
            </w:r>
          </w:p>
        </w:tc>
      </w:tr>
      <w:tr>
        <w:tc>
          <w:tcPr>
            <w:tcW w:type="dxa" w:w="3312"/>
          </w:tcPr>
          <w:p>
            <w:r>
              <w:t>Clean zone</w:t>
            </w:r>
          </w:p>
        </w:tc>
        <w:tc>
          <w:tcPr>
            <w:tcW w:type="dxa" w:w="3312"/>
          </w:tcPr>
          <w:p>
            <w:r>
              <w:t>Standardize types, IDs, missingness, and domain rules</w:t>
            </w:r>
          </w:p>
        </w:tc>
        <w:tc>
          <w:tcPr>
            <w:tcW w:type="dxa" w:w="3312"/>
          </w:tcPr>
          <w:p>
            <w:r>
              <w:t>Automated tests, rejected-row log, quality report</w:t>
            </w:r>
          </w:p>
        </w:tc>
      </w:tr>
      <w:tr>
        <w:tc>
          <w:tcPr>
            <w:tcW w:type="dxa" w:w="3312"/>
          </w:tcPr>
          <w:p>
            <w:r>
              <w:t>Curated analytics</w:t>
            </w:r>
          </w:p>
        </w:tc>
        <w:tc>
          <w:tcPr>
            <w:tcW w:type="dxa" w:w="3312"/>
          </w:tcPr>
          <w:p>
            <w:r>
              <w:t>Publish documented metrics and model-ready features</w:t>
            </w:r>
          </w:p>
        </w:tc>
        <w:tc>
          <w:tcPr>
            <w:tcW w:type="dxa" w:w="3312"/>
          </w:tcPr>
          <w:p>
            <w:r>
              <w:t>Data dictionary, lineage, versioned transformations</w:t>
            </w:r>
          </w:p>
        </w:tc>
      </w:tr>
      <w:tr>
        <w:tc>
          <w:tcPr>
            <w:tcW w:type="dxa" w:w="3312"/>
          </w:tcPr>
          <w:p>
            <w:r>
              <w:t>Consumption</w:t>
            </w:r>
          </w:p>
        </w:tc>
        <w:tc>
          <w:tcPr>
            <w:tcW w:type="dxa" w:w="3312"/>
          </w:tcPr>
          <w:p>
            <w:r>
              <w:t>Dashboards, reports, and model outputs</w:t>
            </w:r>
          </w:p>
        </w:tc>
        <w:tc>
          <w:tcPr>
            <w:tcW w:type="dxa" w:w="3312"/>
          </w:tcPr>
          <w:p>
            <w:r>
              <w:t>Role-based access, metric definitions, refresh status</w:t>
            </w:r>
          </w:p>
        </w:tc>
      </w:tr>
      <w:tr>
        <w:tc>
          <w:tcPr>
            <w:tcW w:type="dxa" w:w="3312"/>
          </w:tcPr>
          <w:p>
            <w:r>
              <w:t>Monitoring</w:t>
            </w:r>
          </w:p>
        </w:tc>
        <w:tc>
          <w:tcPr>
            <w:tcW w:type="dxa" w:w="3312"/>
          </w:tcPr>
          <w:p>
            <w:r>
              <w:t>Detect drift, failures, and degraded model performance</w:t>
            </w:r>
          </w:p>
        </w:tc>
        <w:tc>
          <w:tcPr>
            <w:tcW w:type="dxa" w:w="3312"/>
          </w:tcPr>
          <w:p>
            <w:r>
              <w:t>Alerts, owner assignment, incident log</w:t>
            </w:r>
          </w:p>
        </w:tc>
      </w:tr>
    </w:tbl>
    <w:p>
      <w:pPr>
        <w:pStyle w:val="Heading1"/>
      </w:pPr>
      <w:r>
        <w:t>4. Collection and refresh plan</w:t>
      </w:r>
    </w:p>
    <w:p>
      <w:r>
        <w:t>Use a documented, permitted collection method and refresh cadence based on source availability and business need. Record snapshot date, scrape date, geography, data dictionary version, and source terms. Do not bypass access controls or collect personal data unrelated to the use case. Historical snapshots should be retained only under an approved retention policy.</w:t>
      </w:r>
    </w:p>
    <w:p>
      <w:pPr>
        <w:pStyle w:val="Heading1"/>
      </w:pPr>
      <w:r>
        <w:t>5. Data quality framework</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Quality dimension</w:t>
            </w:r>
          </w:p>
        </w:tc>
        <w:tc>
          <w:tcPr>
            <w:tcW w:type="dxa" w:w="3312"/>
            <w:shd w:fill="D9EAF7"/>
          </w:tcPr>
          <w:p>
            <w:r>
              <w:t>Example check</w:t>
            </w:r>
          </w:p>
        </w:tc>
        <w:tc>
          <w:tcPr>
            <w:tcW w:type="dxa" w:w="3312"/>
            <w:shd w:fill="D9EAF7"/>
          </w:tcPr>
          <w:p>
            <w:r>
              <w:t>Suggested action</w:t>
            </w:r>
          </w:p>
        </w:tc>
      </w:tr>
      <w:tr>
        <w:tc>
          <w:tcPr>
            <w:tcW w:type="dxa" w:w="3312"/>
          </w:tcPr>
          <w:p>
            <w:r>
              <w:t>Completeness</w:t>
            </w:r>
          </w:p>
        </w:tc>
        <w:tc>
          <w:tcPr>
            <w:tcW w:type="dxa" w:w="3312"/>
          </w:tcPr>
          <w:p>
            <w:r>
              <w:t>Price and location coverage by snapshot</w:t>
            </w:r>
          </w:p>
        </w:tc>
        <w:tc>
          <w:tcPr>
            <w:tcW w:type="dxa" w:w="3312"/>
          </w:tcPr>
          <w:p>
            <w:r>
              <w:t>Alert if critical-field coverage falls below agreed threshold</w:t>
            </w:r>
          </w:p>
        </w:tc>
      </w:tr>
      <w:tr>
        <w:tc>
          <w:tcPr>
            <w:tcW w:type="dxa" w:w="3312"/>
          </w:tcPr>
          <w:p>
            <w:r>
              <w:t>Uniqueness</w:t>
            </w:r>
          </w:p>
        </w:tc>
        <w:tc>
          <w:tcPr>
            <w:tcW w:type="dxa" w:w="3312"/>
          </w:tcPr>
          <w:p>
            <w:r>
              <w:t>One canonical record per listing ID per snapshot</w:t>
            </w:r>
          </w:p>
        </w:tc>
        <w:tc>
          <w:tcPr>
            <w:tcW w:type="dxa" w:w="3312"/>
          </w:tcPr>
          <w:p>
            <w:r>
              <w:t>Quarantine duplicates and resolve using timestamp rules</w:t>
            </w:r>
          </w:p>
        </w:tc>
      </w:tr>
      <w:tr>
        <w:tc>
          <w:tcPr>
            <w:tcW w:type="dxa" w:w="3312"/>
          </w:tcPr>
          <w:p>
            <w:r>
              <w:t>Validity</w:t>
            </w:r>
          </w:p>
        </w:tc>
        <w:tc>
          <w:tcPr>
            <w:tcW w:type="dxa" w:w="3312"/>
          </w:tcPr>
          <w:p>
            <w:r>
              <w:t>Positive price; valid coordinates; non-negative capacity</w:t>
            </w:r>
          </w:p>
        </w:tc>
        <w:tc>
          <w:tcPr>
            <w:tcW w:type="dxa" w:w="3312"/>
          </w:tcPr>
          <w:p>
            <w:r>
              <w:t>Flag invalid values and route to review</w:t>
            </w:r>
          </w:p>
        </w:tc>
      </w:tr>
      <w:tr>
        <w:tc>
          <w:tcPr>
            <w:tcW w:type="dxa" w:w="3312"/>
          </w:tcPr>
          <w:p>
            <w:r>
              <w:t>Consistency</w:t>
            </w:r>
          </w:p>
        </w:tc>
        <w:tc>
          <w:tcPr>
            <w:tcW w:type="dxa" w:w="3312"/>
          </w:tcPr>
          <w:p>
            <w:r>
              <w:t>Date ordering, availability ranges, field types</w:t>
            </w:r>
          </w:p>
        </w:tc>
        <w:tc>
          <w:tcPr>
            <w:tcW w:type="dxa" w:w="3312"/>
          </w:tcPr>
          <w:p>
            <w:r>
              <w:t>Fail schema checks or apply documented coercion</w:t>
            </w:r>
          </w:p>
        </w:tc>
      </w:tr>
      <w:tr>
        <w:tc>
          <w:tcPr>
            <w:tcW w:type="dxa" w:w="3312"/>
          </w:tcPr>
          <w:p>
            <w:r>
              <w:t>Timeliness</w:t>
            </w:r>
          </w:p>
        </w:tc>
        <w:tc>
          <w:tcPr>
            <w:tcW w:type="dxa" w:w="3312"/>
          </w:tcPr>
          <w:p>
            <w:r>
              <w:t>Snapshot age and pipeline completion time</w:t>
            </w:r>
          </w:p>
        </w:tc>
        <w:tc>
          <w:tcPr>
            <w:tcW w:type="dxa" w:w="3312"/>
          </w:tcPr>
          <w:p>
            <w:r>
              <w:t>Display last refresh; alert on late refresh</w:t>
            </w:r>
          </w:p>
        </w:tc>
      </w:tr>
      <w:tr>
        <w:tc>
          <w:tcPr>
            <w:tcW w:type="dxa" w:w="3312"/>
          </w:tcPr>
          <w:p>
            <w:r>
              <w:t>Lineage</w:t>
            </w:r>
          </w:p>
        </w:tc>
        <w:tc>
          <w:tcPr>
            <w:tcW w:type="dxa" w:w="3312"/>
          </w:tcPr>
          <w:p>
            <w:r>
              <w:t>Source file, code version, model version</w:t>
            </w:r>
          </w:p>
        </w:tc>
        <w:tc>
          <w:tcPr>
            <w:tcW w:type="dxa" w:w="3312"/>
          </w:tcPr>
          <w:p>
            <w:r>
              <w:t>Store metadata with every published output</w:t>
            </w:r>
          </w:p>
        </w:tc>
      </w:tr>
    </w:tbl>
    <w:p>
      <w:pPr>
        <w:pStyle w:val="Heading1"/>
      </w:pPr>
      <w:r>
        <w:t>6. Analytics and visualization operating model</w:t>
      </w:r>
    </w:p>
    <w:p>
      <w:r>
        <w:t>Run profiling and EDA after every new snapshot. Publish robust descriptive statistics and segment comparisons only where minimum sample requirements are met. Maintain a documented model evaluation process with baseline comparison, held-out testing, cross-validation, subgroup diagnostics, and drift monitoring. Dashboards should show counts and quality status alongside prices, with filters and clear definitions.</w:t>
      </w:r>
    </w:p>
    <w:p>
      <w:pPr>
        <w:pStyle w:val="Heading1"/>
      </w:pPr>
      <w:r>
        <w:t>7. Governance and roles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Role</w:t>
            </w:r>
          </w:p>
        </w:tc>
        <w:tc>
          <w:tcPr>
            <w:tcW w:type="dxa" w:w="4968"/>
            <w:shd w:fill="D9EAF7"/>
          </w:tcPr>
          <w:p>
            <w:r>
              <w:t>Accountability</w:t>
            </w:r>
          </w:p>
        </w:tc>
      </w:tr>
      <w:tr>
        <w:tc>
          <w:tcPr>
            <w:tcW w:type="dxa" w:w="4968"/>
          </w:tcPr>
          <w:p>
            <w:r>
              <w:t>Business owner</w:t>
            </w:r>
          </w:p>
        </w:tc>
        <w:tc>
          <w:tcPr>
            <w:tcW w:type="dxa" w:w="4968"/>
          </w:tcPr>
          <w:p>
            <w:r>
              <w:t>Defines decisions, KPIs, and acceptable risk</w:t>
            </w:r>
          </w:p>
        </w:tc>
      </w:tr>
      <w:tr>
        <w:tc>
          <w:tcPr>
            <w:tcW w:type="dxa" w:w="4968"/>
          </w:tcPr>
          <w:p>
            <w:r>
              <w:t>Data engineer</w:t>
            </w:r>
          </w:p>
        </w:tc>
        <w:tc>
          <w:tcPr>
            <w:tcW w:type="dxa" w:w="4968"/>
          </w:tcPr>
          <w:p>
            <w:r>
              <w:t>Ingestion, storage, orchestration, schema and quality checks</w:t>
            </w:r>
          </w:p>
        </w:tc>
      </w:tr>
      <w:tr>
        <w:tc>
          <w:tcPr>
            <w:tcW w:type="dxa" w:w="4968"/>
          </w:tcPr>
          <w:p>
            <w:r>
              <w:t>Analytics engineer</w:t>
            </w:r>
          </w:p>
        </w:tc>
        <w:tc>
          <w:tcPr>
            <w:tcW w:type="dxa" w:w="4968"/>
          </w:tcPr>
          <w:p>
            <w:r>
              <w:t>Transformation models, semantic definitions, tests, documentation</w:t>
            </w:r>
          </w:p>
        </w:tc>
      </w:tr>
      <w:tr>
        <w:tc>
          <w:tcPr>
            <w:tcW w:type="dxa" w:w="4968"/>
          </w:tcPr>
          <w:p>
            <w:r>
              <w:t>Data analyst / scientist</w:t>
            </w:r>
          </w:p>
        </w:tc>
        <w:tc>
          <w:tcPr>
            <w:tcW w:type="dxa" w:w="4968"/>
          </w:tcPr>
          <w:p>
            <w:r>
              <w:t>EDA, model evaluation, visual narrative, limitations</w:t>
            </w:r>
          </w:p>
        </w:tc>
      </w:tr>
      <w:tr>
        <w:tc>
          <w:tcPr>
            <w:tcW w:type="dxa" w:w="4968"/>
          </w:tcPr>
          <w:p>
            <w:r>
              <w:t>Privacy / legal reviewer</w:t>
            </w:r>
          </w:p>
        </w:tc>
        <w:tc>
          <w:tcPr>
            <w:tcW w:type="dxa" w:w="4968"/>
          </w:tcPr>
          <w:p>
            <w:r>
              <w:t>Source terms, retention, privacy and compliance review</w:t>
            </w:r>
          </w:p>
        </w:tc>
      </w:tr>
      <w:tr>
        <w:tc>
          <w:tcPr>
            <w:tcW w:type="dxa" w:w="4968"/>
          </w:tcPr>
          <w:p>
            <w:r>
              <w:t>Dashboard owner</w:t>
            </w:r>
          </w:p>
        </w:tc>
        <w:tc>
          <w:tcPr>
            <w:tcW w:type="dxa" w:w="4968"/>
          </w:tcPr>
          <w:p>
            <w:r>
              <w:t>User feedback, access, adoption, metric consistency</w:t>
            </w:r>
          </w:p>
        </w:tc>
      </w:tr>
    </w:tbl>
    <w:p>
      <w:pPr>
        <w:pStyle w:val="Heading1"/>
      </w:pPr>
      <w:r>
        <w:t>8. Implementation roadmap</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Phase</w:t>
            </w:r>
          </w:p>
        </w:tc>
        <w:tc>
          <w:tcPr>
            <w:tcW w:type="dxa" w:w="3312"/>
            <w:shd w:fill="D9EAF7"/>
          </w:tcPr>
          <w:p>
            <w:r>
              <w:t>Timing</w:t>
            </w:r>
          </w:p>
        </w:tc>
        <w:tc>
          <w:tcPr>
            <w:tcW w:type="dxa" w:w="3312"/>
            <w:shd w:fill="D9EAF7"/>
          </w:tcPr>
          <w:p>
            <w:r>
              <w:t>Deliverables / exit criteria</w:t>
            </w:r>
          </w:p>
        </w:tc>
      </w:tr>
      <w:tr>
        <w:tc>
          <w:tcPr>
            <w:tcW w:type="dxa" w:w="3312"/>
          </w:tcPr>
          <w:p>
            <w:r>
              <w:t>Phase 1: Discover</w:t>
            </w:r>
          </w:p>
        </w:tc>
        <w:tc>
          <w:tcPr>
            <w:tcW w:type="dxa" w:w="3312"/>
          </w:tcPr>
          <w:p>
            <w:r>
              <w:t>Weeks 1–2</w:t>
            </w:r>
          </w:p>
        </w:tc>
        <w:tc>
          <w:tcPr>
            <w:tcW w:type="dxa" w:w="3312"/>
          </w:tcPr>
          <w:p>
            <w:r>
              <w:t>Confirm decision use cases, source permissions, data dictionary, baseline quality profile</w:t>
            </w:r>
          </w:p>
        </w:tc>
      </w:tr>
      <w:tr>
        <w:tc>
          <w:tcPr>
            <w:tcW w:type="dxa" w:w="3312"/>
          </w:tcPr>
          <w:p>
            <w:r>
              <w:t>Phase 2: Pilot pipeline</w:t>
            </w:r>
          </w:p>
        </w:tc>
        <w:tc>
          <w:tcPr>
            <w:tcW w:type="dxa" w:w="3312"/>
          </w:tcPr>
          <w:p>
            <w:r>
              <w:t>Weeks 3–5</w:t>
            </w:r>
          </w:p>
        </w:tc>
        <w:tc>
          <w:tcPr>
            <w:tcW w:type="dxa" w:w="3312"/>
          </w:tcPr>
          <w:p>
            <w:r>
              <w:t>Repeatable ingestion, raw/clean/curated layers, automated checks, runbook</w:t>
            </w:r>
          </w:p>
        </w:tc>
      </w:tr>
      <w:tr>
        <w:tc>
          <w:tcPr>
            <w:tcW w:type="dxa" w:w="3312"/>
          </w:tcPr>
          <w:p>
            <w:r>
              <w:t>Phase 3: Analytics MVP</w:t>
            </w:r>
          </w:p>
        </w:tc>
        <w:tc>
          <w:tcPr>
            <w:tcW w:type="dxa" w:w="3312"/>
          </w:tcPr>
          <w:p>
            <w:r>
              <w:t>Weeks 6–8</w:t>
            </w:r>
          </w:p>
        </w:tc>
        <w:tc>
          <w:tcPr>
            <w:tcW w:type="dxa" w:w="3312"/>
          </w:tcPr>
          <w:p>
            <w:r>
              <w:t>Segmented price dashboard, model baseline, stakeholder review</w:t>
            </w:r>
          </w:p>
        </w:tc>
      </w:tr>
      <w:tr>
        <w:tc>
          <w:tcPr>
            <w:tcW w:type="dxa" w:w="3312"/>
          </w:tcPr>
          <w:p>
            <w:r>
              <w:t>Phase 4: Validate</w:t>
            </w:r>
          </w:p>
        </w:tc>
        <w:tc>
          <w:tcPr>
            <w:tcW w:type="dxa" w:w="3312"/>
          </w:tcPr>
          <w:p>
            <w:r>
              <w:t>Weeks 9–10</w:t>
            </w:r>
          </w:p>
        </w:tc>
        <w:tc>
          <w:tcPr>
            <w:tcW w:type="dxa" w:w="3312"/>
          </w:tcPr>
          <w:p>
            <w:r>
              <w:t>Cross-validation, subgroup checks, user acceptance, documented limitations</w:t>
            </w:r>
          </w:p>
        </w:tc>
      </w:tr>
      <w:tr>
        <w:tc>
          <w:tcPr>
            <w:tcW w:type="dxa" w:w="3312"/>
          </w:tcPr>
          <w:p>
            <w:r>
              <w:t>Phase 5: Operate</w:t>
            </w:r>
          </w:p>
        </w:tc>
        <w:tc>
          <w:tcPr>
            <w:tcW w:type="dxa" w:w="3312"/>
          </w:tcPr>
          <w:p>
            <w:r>
              <w:t>Ongoing</w:t>
            </w:r>
          </w:p>
        </w:tc>
        <w:tc>
          <w:tcPr>
            <w:tcW w:type="dxa" w:w="3312"/>
          </w:tcPr>
          <w:p>
            <w:r>
              <w:t>Monitoring, refresh ownership, incident response, quarterly value review</w:t>
            </w:r>
          </w:p>
        </w:tc>
      </w:tr>
    </w:tbl>
    <w:p>
      <w:pPr>
        <w:pStyle w:val="Heading1"/>
      </w:pPr>
      <w:r>
        <w:t>9. KPIs and potential impact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KPI</w:t>
            </w:r>
          </w:p>
        </w:tc>
        <w:tc>
          <w:tcPr>
            <w:tcW w:type="dxa" w:w="3312"/>
            <w:shd w:fill="D9EAF7"/>
          </w:tcPr>
          <w:p>
            <w:r>
              <w:t>Definition</w:t>
            </w:r>
          </w:p>
        </w:tc>
        <w:tc>
          <w:tcPr>
            <w:tcW w:type="dxa" w:w="3312"/>
            <w:shd w:fill="D9EAF7"/>
          </w:tcPr>
          <w:p>
            <w:r>
              <w:t>Initial target-setting approach</w:t>
            </w:r>
          </w:p>
        </w:tc>
      </w:tr>
      <w:tr>
        <w:tc>
          <w:tcPr>
            <w:tcW w:type="dxa" w:w="3312"/>
          </w:tcPr>
          <w:p>
            <w:r>
              <w:t>Critical-field completeness</w:t>
            </w:r>
          </w:p>
        </w:tc>
        <w:tc>
          <w:tcPr>
            <w:tcW w:type="dxa" w:w="3312"/>
          </w:tcPr>
          <w:p>
            <w:r>
              <w:t>Share of records with valid price and required location/segment fields</w:t>
            </w:r>
          </w:p>
        </w:tc>
        <w:tc>
          <w:tcPr>
            <w:tcW w:type="dxa" w:w="3312"/>
          </w:tcPr>
          <w:p>
            <w:r>
              <w:t>Establish baseline; agree threshold after pilot</w:t>
            </w:r>
          </w:p>
        </w:tc>
      </w:tr>
      <w:tr>
        <w:tc>
          <w:tcPr>
            <w:tcW w:type="dxa" w:w="3312"/>
          </w:tcPr>
          <w:p>
            <w:r>
              <w:t>Duplicate rate</w:t>
            </w:r>
          </w:p>
        </w:tc>
        <w:tc>
          <w:tcPr>
            <w:tcW w:type="dxa" w:w="3312"/>
          </w:tcPr>
          <w:p>
            <w:r>
              <w:t>Duplicate listing IDs per snapshot</w:t>
            </w:r>
          </w:p>
        </w:tc>
        <w:tc>
          <w:tcPr>
            <w:tcW w:type="dxa" w:w="3312"/>
          </w:tcPr>
          <w:p>
            <w:r>
              <w:t>Trend to near-zero after canonicalization</w:t>
            </w:r>
          </w:p>
        </w:tc>
      </w:tr>
      <w:tr>
        <w:tc>
          <w:tcPr>
            <w:tcW w:type="dxa" w:w="3312"/>
          </w:tcPr>
          <w:p>
            <w:r>
              <w:t>Refresh timeliness</w:t>
            </w:r>
          </w:p>
        </w:tc>
        <w:tc>
          <w:tcPr>
            <w:tcW w:type="dxa" w:w="3312"/>
          </w:tcPr>
          <w:p>
            <w:r>
              <w:t>Time from scheduled refresh to successful publication</w:t>
            </w:r>
          </w:p>
        </w:tc>
        <w:tc>
          <w:tcPr>
            <w:tcW w:type="dxa" w:w="3312"/>
          </w:tcPr>
          <w:p>
            <w:r>
              <w:t>Set SLA after observing source cadence</w:t>
            </w:r>
          </w:p>
        </w:tc>
      </w:tr>
      <w:tr>
        <w:tc>
          <w:tcPr>
            <w:tcW w:type="dxa" w:w="3312"/>
          </w:tcPr>
          <w:p>
            <w:r>
              <w:t>Price coverage</w:t>
            </w:r>
          </w:p>
        </w:tc>
        <w:tc>
          <w:tcPr>
            <w:tcW w:type="dxa" w:w="3312"/>
          </w:tcPr>
          <w:p>
            <w:r>
              <w:t>Share of records with valid positive nightly price</w:t>
            </w:r>
          </w:p>
        </w:tc>
        <w:tc>
          <w:tcPr>
            <w:tcW w:type="dxa" w:w="3312"/>
          </w:tcPr>
          <w:p>
            <w:r>
              <w:t>Monitor by geography and room type</w:t>
            </w:r>
          </w:p>
        </w:tc>
      </w:tr>
      <w:tr>
        <w:tc>
          <w:tcPr>
            <w:tcW w:type="dxa" w:w="3312"/>
          </w:tcPr>
          <w:p>
            <w:r>
              <w:t>Model MAE</w:t>
            </w:r>
          </w:p>
        </w:tc>
        <w:tc>
          <w:tcPr>
            <w:tcW w:type="dxa" w:w="3312"/>
          </w:tcPr>
          <w:p>
            <w:r>
              <w:t>Average absolute error on a holdout set</w:t>
            </w:r>
          </w:p>
        </w:tc>
        <w:tc>
          <w:tcPr>
            <w:tcW w:type="dxa" w:w="3312"/>
          </w:tcPr>
          <w:p>
            <w:r>
              <w:t>Compare against baseline and business tolerance</w:t>
            </w:r>
          </w:p>
        </w:tc>
      </w:tr>
      <w:tr>
        <w:tc>
          <w:tcPr>
            <w:tcW w:type="dxa" w:w="3312"/>
          </w:tcPr>
          <w:p>
            <w:r>
              <w:t>Dashboard adoption</w:t>
            </w:r>
          </w:p>
        </w:tc>
        <w:tc>
          <w:tcPr>
            <w:tcW w:type="dxa" w:w="3312"/>
          </w:tcPr>
          <w:p>
            <w:r>
              <w:t>Active intended users and recurring usage</w:t>
            </w:r>
          </w:p>
        </w:tc>
        <w:tc>
          <w:tcPr>
            <w:tcW w:type="dxa" w:w="3312"/>
          </w:tcPr>
          <w:p>
            <w:r>
              <w:t>Set target after stakeholder baseline</w:t>
            </w:r>
          </w:p>
        </w:tc>
      </w:tr>
      <w:tr>
        <w:tc>
          <w:tcPr>
            <w:tcW w:type="dxa" w:w="3312"/>
          </w:tcPr>
          <w:p>
            <w:r>
              <w:t>Decision cycle time</w:t>
            </w:r>
          </w:p>
        </w:tc>
        <w:tc>
          <w:tcPr>
            <w:tcW w:type="dxa" w:w="3312"/>
          </w:tcPr>
          <w:p>
            <w:r>
              <w:t>Time to produce a segment benchmark</w:t>
            </w:r>
          </w:p>
        </w:tc>
        <w:tc>
          <w:tcPr>
            <w:tcW w:type="dxa" w:w="3312"/>
          </w:tcPr>
          <w:p>
            <w:r>
              <w:t>Measure before/after pilot</w:t>
            </w:r>
          </w:p>
        </w:tc>
      </w:tr>
    </w:tbl>
    <w:p>
      <w:r>
        <w:t>Targets should be agreed with stakeholders after measuring the baseline; inventing arbitrary numeric targets would create false precision. Potential impact includes more consistent benchmarks, reduced manual cleaning, faster reporting, and better visibility into data limitations. These benefits should be evaluated through the KPIs above.</w:t>
      </w:r>
    </w:p>
    <w:p>
      <w:pPr>
        <w:pStyle w:val="Heading1"/>
      </w:pPr>
      <w:r>
        <w:t>10.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Risk</w:t>
            </w:r>
          </w:p>
        </w:tc>
        <w:tc>
          <w:tcPr>
            <w:tcW w:type="dxa" w:w="4968"/>
            <w:shd w:fill="D9EAF7"/>
          </w:tcPr>
          <w:p>
            <w:r>
              <w:t>Mitigation</w:t>
            </w:r>
          </w:p>
        </w:tc>
      </w:tr>
      <w:tr>
        <w:tc>
          <w:tcPr>
            <w:tcW w:type="dxa" w:w="4968"/>
          </w:tcPr>
          <w:p>
            <w:r>
              <w:t>Limited or biased data coverage</w:t>
            </w:r>
          </w:p>
        </w:tc>
        <w:tc>
          <w:tcPr>
            <w:tcW w:type="dxa" w:w="4968"/>
          </w:tcPr>
          <w:p>
            <w:r>
              <w:t>Expand representative coverage and document scope</w:t>
            </w:r>
          </w:p>
        </w:tc>
      </w:tr>
      <w:tr>
        <w:tc>
          <w:tcPr>
            <w:tcW w:type="dxa" w:w="4968"/>
          </w:tcPr>
          <w:p>
            <w:r>
              <w:t>Source schema changes</w:t>
            </w:r>
          </w:p>
        </w:tc>
        <w:tc>
          <w:tcPr>
            <w:tcW w:type="dxa" w:w="4968"/>
          </w:tcPr>
          <w:p>
            <w:r>
              <w:t>Schema contracts, automated checks, and alerting</w:t>
            </w:r>
          </w:p>
        </w:tc>
      </w:tr>
      <w:tr>
        <w:tc>
          <w:tcPr>
            <w:tcW w:type="dxa" w:w="4968"/>
          </w:tcPr>
          <w:p>
            <w:r>
              <w:t>Prices mistaken for realized revenue</w:t>
            </w:r>
          </w:p>
        </w:tc>
        <w:tc>
          <w:tcPr>
            <w:tcW w:type="dxa" w:w="4968"/>
          </w:tcPr>
          <w:p>
            <w:r>
              <w:t>Label price type clearly and avoid revenue claims without booking data</w:t>
            </w:r>
          </w:p>
        </w:tc>
      </w:tr>
      <w:tr>
        <w:tc>
          <w:tcPr>
            <w:tcW w:type="dxa" w:w="4968"/>
          </w:tcPr>
          <w:p>
            <w:r>
              <w:t>Model drift or poor subgroup performance</w:t>
            </w:r>
          </w:p>
        </w:tc>
        <w:tc>
          <w:tcPr>
            <w:tcW w:type="dxa" w:w="4968"/>
          </w:tcPr>
          <w:p>
            <w:r>
              <w:t>Monitor errors by segment and retrain only after review</w:t>
            </w:r>
          </w:p>
        </w:tc>
      </w:tr>
      <w:tr>
        <w:tc>
          <w:tcPr>
            <w:tcW w:type="dxa" w:w="4968"/>
          </w:tcPr>
          <w:p>
            <w:r>
              <w:t>Privacy or source-term concerns</w:t>
            </w:r>
          </w:p>
        </w:tc>
        <w:tc>
          <w:tcPr>
            <w:tcW w:type="dxa" w:w="4968"/>
          </w:tcPr>
          <w:p>
            <w:r>
              <w:t>Data minimization, legal review, retention controls</w:t>
            </w:r>
          </w:p>
        </w:tc>
      </w:tr>
      <w:tr>
        <w:tc>
          <w:tcPr>
            <w:tcW w:type="dxa" w:w="4968"/>
          </w:tcPr>
          <w:p>
            <w:r>
              <w:t>Dashboard misinterpretation</w:t>
            </w:r>
          </w:p>
        </w:tc>
        <w:tc>
          <w:tcPr>
            <w:tcW w:type="dxa" w:w="4968"/>
          </w:tcPr>
          <w:p>
            <w:r>
              <w:t>Show definitions, sample sizes, freshness, and caveats</w:t>
            </w:r>
          </w:p>
        </w:tc>
      </w:tr>
    </w:tbl>
    <w:p>
      <w:pPr>
        <w:pStyle w:val="Heading1"/>
      </w:pPr>
      <w:r>
        <w:t>11. Conclusion</w:t>
      </w:r>
    </w:p>
    <w:p>
      <w:r>
        <w:t>The recommended strategy combines a governed data lifecycle with pragmatic analytics delivery. A small pilot should establish quality, utility, and compliance before scaling. The organization should invest in reliable definitions, automated checks, and stakeholder adoption before increasing technical complexity.</w:t>
      </w:r>
    </w:p>
    <w:p>
      <w:pPr>
        <w:pStyle w:val="Heading1"/>
      </w:pPr>
      <w:r>
        <w:t>Submission description (200+ words)</w:t>
      </w:r>
    </w:p>
    <w:p>
      <w:r>
        <w:t>This report proposes a feasible data strategy for a hypothetical short-term-rental analytics organization using the listing dataset as its initial analytical use case. It defines how the organization should collect public listing snapshots responsibly, document source and refresh dates, preserve raw immutable inputs, validate schemas, standardize types, profile missingness, and publish governed analytical datasets. The strategy separates raw, cleaned, and curated layers and recommends automated quality checks for duplicate listing identifiers, invalid coordinates, non-positive prices, impossible capacities, missing critical fields, schema changes, and freshness. It outlines a repeatable analytics lifecycle from ingestion and quality checks through EDA, model development, visualization, stakeholder review, and monitoring. Suggested KPIs include data completeness, duplicate rate, refresh timeliness, price coverage, model MAE, and dashboard usage, with ownership and escalation paths for failures. The report recommends role-based access, minimization of personal information, retention rules, documentation, and legal review of source terms before operationalizing collection. It also proposes phased implementation: a short discovery and data audit, a minimum viable pipeline and dashboard, then monitoring and expansion after stakeholder validation. Potential impacts are framed as measurable hypotheses—more consistent benchmarking, faster reporting, and more transparent pricing analysis—rather than guaranteed revenue improvements. Because the current supplied file contains 500 records, the strategy includes a pilot stage and explicitly requires a larger, representative, refreshed dataset before broad market conclusions or production commitments. The emphasis is on practical governance, reproducibility, business alignment, and continuous improvement rather than adopting tools without a clear operational need.</w:t>
      </w:r>
    </w:p>
    <w:p>
      <w:pPr>
        <w:pStyle w:val="Heading1"/>
      </w:pPr>
      <w:r>
        <w:t>References</w:t>
      </w:r>
    </w:p>
    <w:p>
      <w:r>
        <w:t>Inside Airbnb: https://insideairbnb.com/get-the-data/ ; NIST Privacy Framework: https://www.nist.gov/privacy-framework</w:t>
      </w:r>
    </w:p>
    <w:p>
      <w:r>
        <w:t>Geographic scope note: the supplied records appear to describe the Albany, New York area. Any operational strategy should confirm the exact geographic coverage and permitted source use before expanding.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