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Semaphore-Based FIFO Scheduling and Comparison with RM and EDF</w:t>
      </w:r>
    </w:p>
    <w:p>
      <w:pPr>
        <w:jc w:val="center"/>
      </w:pPr>
      <w:r>
        <w:rPr>
          <w:b/>
        </w:rPr>
        <w:t>Erfan Barati</w:t>
      </w:r>
    </w:p>
    <w:p>
      <w:pPr>
        <w:jc w:val="center"/>
      </w:pPr>
      <w:r>
        <w:t>Department of Computer Engineering, Eshragh Institute of Higher Education, Bojnord, Iran</w:t>
        <w:br/>
      </w:r>
      <w:r>
        <w:t>Corresponding author: erfanbaratii85@gmail.com</w:t>
      </w:r>
    </w:p>
    <w:p>
      <w:pPr>
        <w:pStyle w:val="Heading1"/>
      </w:pPr>
      <w:r>
        <w:t>Abstract</w:t>
      </w:r>
    </w:p>
    <w:p>
      <w:r>
        <w:t>This study implements non-preemptive First-In-First-Out (FIFO) scheduling with a binary semaphore and compares it with preemptive Rate Monotonic (RM) and Earliest Deadline First (EDF). Two periodic task sets from the companion scheduling study are reused. Each job requests one shared resource for its final one or two execution units; a job that cannot acquire the semaphore is blocked until the lock becomes available. The simulation records waiting time, turnaround time, response time, resource waiting time, blocked time, deadline misses, and processor idle time. Results depend strongly on the critical-section model and on whether priority inheritance is implemented. In the specified model, semaphore-related resource waiting and blocked time measure the same interval and are reported separately for clarity.</w:t>
      </w:r>
    </w:p>
    <w:p>
      <w:r>
        <w:t>Keywords: FIFO; binary semaphore; Rate Monotonic; Earliest Deadline First; resource contention</w:t>
      </w:r>
    </w:p>
    <w:p>
      <w:pPr>
        <w:pStyle w:val="Heading1"/>
      </w:pPr>
      <w:r>
        <w:t>1. Introduction</w:t>
      </w:r>
    </w:p>
    <w:p>
      <w:r>
        <w:t>FIFO/First-Come-First-Served schedules ready jobs in arrival order and is non-preemptive in this experiment. RM assigns fixed priorities according to task period (shorter period means higher priority), while EDF dynamically selects the ready job with the earliest absolute deadline. A semaphore provides mutual exclusion for a shared resource: only one job can hold the resource at a time. If another job requests the resource while it is owned, that job becomes blocked. This makes the experiment different from a CPU-only comparison because jobs can be ready, running, or blocked on the semaphore.</w:t>
      </w:r>
    </w:p>
    <w:p>
      <w:r>
        <w:t>The objective is to compare FIFO, RM, and EDF using average CPU waiting time, turnaround time, resource waiting time, and block time. Response time, deadline misses, and idle time are also reported as supporting measures.</w:t>
      </w:r>
    </w:p>
    <w:p>
      <w:pPr>
        <w:pStyle w:val="Heading1"/>
      </w:pPr>
      <w:r>
        <w:t>2. Model and definitions</w:t>
      </w:r>
    </w:p>
    <w:p>
      <w:r>
        <w:t>The same periodic task sets as the previous comparison are used. Case A contains A=(C=1,T=4,D=4), B=(2,5,5), and C=(3,10,10), with hyperperiod 20 and utilization 0.95. Case B contains X=(2,5,5) and Y=(4,7,7), with hyperperiod 35 and utilization approximately 0.9714. C is execution time, T is period, and D is relative deadline.</w:t>
      </w:r>
    </w:p>
    <w:p>
      <w:r>
        <w:t>To make semaphore contention reproducible, each job’s final min(2,C) CPU units are its critical section. The binary semaphore is requested immediately before that section. A lock holder retains the semaphore if preempted. The model does not implement priority inheritance or priority ceiling. When several jobs are waiting for the semaphore, they acquire it in request order (FIFO wait queue). Simulation uses integer time units.</w:t>
      </w:r>
    </w:p>
    <w:p>
      <w:r>
        <w:t>Waiting time = turnaround time − CPU execution time. Turnaround time = completion time − release time. Response time = first CPU dispatch − release time. Resource waiting time is the interval between semaphore request and successful acquisition. Block time counts ticks spent blocked waiting for the semaphore. Because semaphore waiting is the only blocking cause in this model, resource waiting time and block time are expected to be equal or nearly equal (integer-tick accounting may create boundary effects). This is a limitation of the model, not evidence that the two concepts are universally identical.</w:t>
      </w:r>
    </w:p>
    <w:p>
      <w:pPr>
        <w:pStyle w:val="Heading1"/>
      </w:pPr>
      <w:r>
        <w:t>3. Implementation</w:t>
      </w:r>
    </w:p>
    <w:p>
      <w:r>
        <w:t>The companion Python file, fifo_semaphore_comparison.py, implements all three policies and exports three CSV files: policy-level summary metrics, per-job details, and compressed Gantt intervals. FIFO is non-preemptive. RM and EDF are preemptive at integer boundaries. A job that requests a locked semaphore is removed from the ready/running set and added to the semaphore wait queue. When the lock is released, the first waiting job acquires it and returns to the ready queue.</w:t>
      </w:r>
    </w:p>
    <w:p>
      <w:r>
        <w:t>This is an educational discrete-time model. It does not model context-switch overhead, multiple resources, deadlock detection, priority inheritance, or arbitrary-length CPU/I/O bursts. Results should therefore be interpreted for the stated assumptions only.</w:t>
      </w:r>
    </w:p>
    <w:p>
      <w:pPr>
        <w:pStyle w:val="Heading1"/>
      </w:pPr>
      <w:r>
        <w:t>4. Results</w:t>
      </w:r>
    </w:p>
    <w:p>
      <w:r>
        <w:t>Table 1 reports averages for jobs completed within each hyperperiod. Values are time units; “misses” counts completed jobs whose completion time exceeded the absolute deadline.</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vAlign w:val="center"/>
            <w:shd w:fill="D9EAF7"/>
          </w:tcPr>
          <w:p>
            <w:pPr>
              <w:spacing w:after="0"/>
            </w:pPr>
            <w:r>
              <w:rPr>
                <w:rFonts w:ascii="Times New Roman" w:hAnsi="Times New Roman"/>
                <w:b/>
                <w:sz w:val="16"/>
              </w:rPr>
              <w:t>Case</w:t>
            </w:r>
          </w:p>
        </w:tc>
        <w:tc>
          <w:tcPr>
            <w:tcW w:type="dxa" w:w="1278"/>
            <w:vAlign w:val="center"/>
            <w:shd w:fill="D9EAF7"/>
          </w:tcPr>
          <w:p>
            <w:pPr>
              <w:spacing w:after="0"/>
            </w:pPr>
            <w:r>
              <w:rPr>
                <w:rFonts w:ascii="Times New Roman" w:hAnsi="Times New Roman"/>
                <w:b/>
                <w:sz w:val="16"/>
              </w:rPr>
              <w:t>Policy</w:t>
            </w:r>
          </w:p>
        </w:tc>
        <w:tc>
          <w:tcPr>
            <w:tcW w:type="dxa" w:w="1278"/>
            <w:vAlign w:val="center"/>
            <w:shd w:fill="D9EAF7"/>
          </w:tcPr>
          <w:p>
            <w:pPr>
              <w:spacing w:after="0"/>
            </w:pPr>
            <w:r>
              <w:rPr>
                <w:rFonts w:ascii="Times New Roman" w:hAnsi="Times New Roman"/>
                <w:b/>
                <w:sz w:val="16"/>
              </w:rPr>
              <w:t>Avg. waiting</w:t>
            </w:r>
          </w:p>
        </w:tc>
        <w:tc>
          <w:tcPr>
            <w:tcW w:type="dxa" w:w="1278"/>
            <w:vAlign w:val="center"/>
            <w:shd w:fill="D9EAF7"/>
          </w:tcPr>
          <w:p>
            <w:pPr>
              <w:spacing w:after="0"/>
            </w:pPr>
            <w:r>
              <w:rPr>
                <w:rFonts w:ascii="Times New Roman" w:hAnsi="Times New Roman"/>
                <w:b/>
                <w:sz w:val="16"/>
              </w:rPr>
              <w:t>Avg. turnaround</w:t>
            </w:r>
          </w:p>
        </w:tc>
        <w:tc>
          <w:tcPr>
            <w:tcW w:type="dxa" w:w="1278"/>
            <w:vAlign w:val="center"/>
            <w:shd w:fill="D9EAF7"/>
          </w:tcPr>
          <w:p>
            <w:pPr>
              <w:spacing w:after="0"/>
            </w:pPr>
            <w:r>
              <w:rPr>
                <w:rFonts w:ascii="Times New Roman" w:hAnsi="Times New Roman"/>
                <w:b/>
                <w:sz w:val="16"/>
              </w:rPr>
              <w:t>Avg. resource wait</w:t>
            </w:r>
          </w:p>
        </w:tc>
        <w:tc>
          <w:tcPr>
            <w:tcW w:type="dxa" w:w="1278"/>
            <w:vAlign w:val="center"/>
            <w:shd w:fill="D9EAF7"/>
          </w:tcPr>
          <w:p>
            <w:pPr>
              <w:spacing w:after="0"/>
            </w:pPr>
            <w:r>
              <w:rPr>
                <w:rFonts w:ascii="Times New Roman" w:hAnsi="Times New Roman"/>
                <w:b/>
                <w:sz w:val="16"/>
              </w:rPr>
              <w:t>Avg. block</w:t>
            </w:r>
          </w:p>
        </w:tc>
        <w:tc>
          <w:tcPr>
            <w:tcW w:type="dxa" w:w="1278"/>
            <w:vAlign w:val="center"/>
            <w:shd w:fill="D9EAF7"/>
          </w:tcPr>
          <w:p>
            <w:pPr>
              <w:spacing w:after="0"/>
            </w:pPr>
            <w:r>
              <w:rPr>
                <w:rFonts w:ascii="Times New Roman" w:hAnsi="Times New Roman"/>
                <w:b/>
                <w:sz w:val="16"/>
              </w:rPr>
              <w:t>Misses</w:t>
            </w:r>
          </w:p>
        </w:tc>
        <w:tc>
          <w:tcPr>
            <w:tcW w:type="dxa" w:w="1278"/>
            <w:vAlign w:val="center"/>
            <w:shd w:fill="D9EAF7"/>
          </w:tcPr>
          <w:p>
            <w:pPr>
              <w:spacing w:after="0"/>
            </w:pPr>
            <w:r>
              <w:rPr>
                <w:rFonts w:ascii="Times New Roman" w:hAnsi="Times New Roman"/>
                <w:b/>
                <w:sz w:val="16"/>
              </w:rPr>
              <w:t>Idle</w:t>
            </w:r>
          </w:p>
        </w:tc>
      </w:tr>
      <w:tr>
        <w:tc>
          <w:tcPr>
            <w:tcW w:type="dxa" w:w="1278"/>
            <w:vAlign w:val="center"/>
          </w:tcPr>
          <w:p>
            <w:pPr>
              <w:spacing w:after="0"/>
            </w:pPr>
            <w:r>
              <w:rPr>
                <w:rFonts w:ascii="Times New Roman" w:hAnsi="Times New Roman"/>
                <w:b w:val="0"/>
                <w:sz w:val="16"/>
              </w:rPr>
              <w:t>A</w:t>
            </w:r>
          </w:p>
        </w:tc>
        <w:tc>
          <w:tcPr>
            <w:tcW w:type="dxa" w:w="1278"/>
            <w:vAlign w:val="center"/>
          </w:tcPr>
          <w:p>
            <w:pPr>
              <w:spacing w:after="0"/>
            </w:pPr>
            <w:r>
              <w:rPr>
                <w:rFonts w:ascii="Times New Roman" w:hAnsi="Times New Roman"/>
                <w:b w:val="0"/>
                <w:sz w:val="16"/>
              </w:rPr>
              <w:t>FIFO</w:t>
            </w:r>
          </w:p>
        </w:tc>
        <w:tc>
          <w:tcPr>
            <w:tcW w:type="dxa" w:w="1278"/>
            <w:vAlign w:val="center"/>
          </w:tcPr>
          <w:p>
            <w:pPr>
              <w:spacing w:after="0"/>
            </w:pPr>
            <w:r>
              <w:rPr>
                <w:rFonts w:ascii="Times New Roman" w:hAnsi="Times New Roman"/>
                <w:b w:val="0"/>
                <w:sz w:val="16"/>
              </w:rPr>
              <w:t>1.545</w:t>
            </w:r>
          </w:p>
        </w:tc>
        <w:tc>
          <w:tcPr>
            <w:tcW w:type="dxa" w:w="1278"/>
            <w:vAlign w:val="center"/>
          </w:tcPr>
          <w:p>
            <w:pPr>
              <w:spacing w:after="0"/>
            </w:pPr>
            <w:r>
              <w:rPr>
                <w:rFonts w:ascii="Times New Roman" w:hAnsi="Times New Roman"/>
                <w:b w:val="0"/>
                <w:sz w:val="16"/>
              </w:rPr>
              <w:t>3.273</w:t>
            </w:r>
          </w:p>
        </w:tc>
        <w:tc>
          <w:tcPr>
            <w:tcW w:type="dxa" w:w="1278"/>
            <w:vAlign w:val="center"/>
          </w:tcPr>
          <w:p>
            <w:pPr>
              <w:spacing w:after="0"/>
            </w:pPr>
            <w:r>
              <w:rPr>
                <w:rFonts w:ascii="Times New Roman" w:hAnsi="Times New Roman"/>
                <w:b w:val="0"/>
                <w:sz w:val="16"/>
              </w:rPr>
              <w:t>0.0</w:t>
            </w:r>
          </w:p>
        </w:tc>
        <w:tc>
          <w:tcPr>
            <w:tcW w:type="dxa" w:w="1278"/>
            <w:vAlign w:val="center"/>
          </w:tcPr>
          <w:p>
            <w:pPr>
              <w:spacing w:after="0"/>
            </w:pPr>
            <w:r>
              <w:rPr>
                <w:rFonts w:ascii="Times New Roman" w:hAnsi="Times New Roman"/>
                <w:b w:val="0"/>
                <w:sz w:val="16"/>
              </w:rPr>
              <w:t>0.0</w:t>
            </w:r>
          </w:p>
        </w:tc>
        <w:tc>
          <w:tcPr>
            <w:tcW w:type="dxa" w:w="1278"/>
            <w:vAlign w:val="center"/>
          </w:tcPr>
          <w:p>
            <w:pPr>
              <w:spacing w:after="0"/>
            </w:pPr>
            <w:r>
              <w:rPr>
                <w:rFonts w:ascii="Times New Roman" w:hAnsi="Times New Roman"/>
                <w:b w:val="0"/>
                <w:sz w:val="16"/>
              </w:rPr>
              <w:t>0</w:t>
            </w:r>
          </w:p>
        </w:tc>
        <w:tc>
          <w:tcPr>
            <w:tcW w:type="dxa" w:w="1278"/>
            <w:vAlign w:val="center"/>
          </w:tcPr>
          <w:p>
            <w:pPr>
              <w:spacing w:after="0"/>
            </w:pPr>
            <w:r>
              <w:rPr>
                <w:rFonts w:ascii="Times New Roman" w:hAnsi="Times New Roman"/>
                <w:b w:val="0"/>
                <w:sz w:val="16"/>
              </w:rPr>
              <w:t>1</w:t>
            </w:r>
          </w:p>
        </w:tc>
      </w:tr>
      <w:tr>
        <w:tc>
          <w:tcPr>
            <w:tcW w:type="dxa" w:w="1278"/>
            <w:vAlign w:val="center"/>
          </w:tcPr>
          <w:p>
            <w:pPr>
              <w:spacing w:after="0"/>
            </w:pPr>
            <w:r>
              <w:rPr>
                <w:rFonts w:ascii="Times New Roman" w:hAnsi="Times New Roman"/>
                <w:b w:val="0"/>
                <w:sz w:val="16"/>
              </w:rPr>
              <w:t>A</w:t>
            </w:r>
          </w:p>
        </w:tc>
        <w:tc>
          <w:tcPr>
            <w:tcW w:type="dxa" w:w="1278"/>
            <w:vAlign w:val="center"/>
          </w:tcPr>
          <w:p>
            <w:pPr>
              <w:spacing w:after="0"/>
            </w:pPr>
            <w:r>
              <w:rPr>
                <w:rFonts w:ascii="Times New Roman" w:hAnsi="Times New Roman"/>
                <w:b w:val="0"/>
                <w:sz w:val="16"/>
              </w:rPr>
              <w:t>RM</w:t>
            </w:r>
          </w:p>
        </w:tc>
        <w:tc>
          <w:tcPr>
            <w:tcW w:type="dxa" w:w="1278"/>
            <w:vAlign w:val="center"/>
          </w:tcPr>
          <w:p>
            <w:pPr>
              <w:spacing w:after="0"/>
            </w:pPr>
            <w:r>
              <w:rPr>
                <w:rFonts w:ascii="Times New Roman" w:hAnsi="Times New Roman"/>
                <w:b w:val="0"/>
                <w:sz w:val="16"/>
              </w:rPr>
              <w:t>2.9</w:t>
            </w:r>
          </w:p>
        </w:tc>
        <w:tc>
          <w:tcPr>
            <w:tcW w:type="dxa" w:w="1278"/>
            <w:vAlign w:val="center"/>
          </w:tcPr>
          <w:p>
            <w:pPr>
              <w:spacing w:after="0"/>
            </w:pPr>
            <w:r>
              <w:rPr>
                <w:rFonts w:ascii="Times New Roman" w:hAnsi="Times New Roman"/>
                <w:b w:val="0"/>
                <w:sz w:val="16"/>
              </w:rPr>
              <w:t>4.5</w:t>
            </w:r>
          </w:p>
        </w:tc>
        <w:tc>
          <w:tcPr>
            <w:tcW w:type="dxa" w:w="1278"/>
            <w:vAlign w:val="center"/>
          </w:tcPr>
          <w:p>
            <w:pPr>
              <w:spacing w:after="0"/>
            </w:pPr>
            <w:r>
              <w:rPr>
                <w:rFonts w:ascii="Times New Roman" w:hAnsi="Times New Roman"/>
                <w:b w:val="0"/>
                <w:sz w:val="16"/>
              </w:rPr>
              <w:t>0.8</w:t>
            </w:r>
          </w:p>
        </w:tc>
        <w:tc>
          <w:tcPr>
            <w:tcW w:type="dxa" w:w="1278"/>
            <w:vAlign w:val="center"/>
          </w:tcPr>
          <w:p>
            <w:pPr>
              <w:spacing w:after="0"/>
            </w:pPr>
            <w:r>
              <w:rPr>
                <w:rFonts w:ascii="Times New Roman" w:hAnsi="Times New Roman"/>
                <w:b w:val="0"/>
                <w:sz w:val="16"/>
              </w:rPr>
              <w:t>0.8</w:t>
            </w:r>
          </w:p>
        </w:tc>
        <w:tc>
          <w:tcPr>
            <w:tcW w:type="dxa" w:w="1278"/>
            <w:vAlign w:val="center"/>
          </w:tcPr>
          <w:p>
            <w:pPr>
              <w:spacing w:after="0"/>
            </w:pPr>
            <w:r>
              <w:rPr>
                <w:rFonts w:ascii="Times New Roman" w:hAnsi="Times New Roman"/>
                <w:b w:val="0"/>
                <w:sz w:val="16"/>
              </w:rPr>
              <w:t>1</w:t>
            </w:r>
          </w:p>
        </w:tc>
        <w:tc>
          <w:tcPr>
            <w:tcW w:type="dxa" w:w="1278"/>
            <w:vAlign w:val="center"/>
          </w:tcPr>
          <w:p>
            <w:pPr>
              <w:spacing w:after="0"/>
            </w:pPr>
            <w:r>
              <w:rPr>
                <w:rFonts w:ascii="Times New Roman" w:hAnsi="Times New Roman"/>
                <w:b w:val="0"/>
                <w:sz w:val="16"/>
              </w:rPr>
              <w:t>4</w:t>
            </w:r>
          </w:p>
        </w:tc>
      </w:tr>
      <w:tr>
        <w:tc>
          <w:tcPr>
            <w:tcW w:type="dxa" w:w="1278"/>
            <w:vAlign w:val="center"/>
          </w:tcPr>
          <w:p>
            <w:pPr>
              <w:spacing w:after="0"/>
            </w:pPr>
            <w:r>
              <w:rPr>
                <w:rFonts w:ascii="Times New Roman" w:hAnsi="Times New Roman"/>
                <w:b w:val="0"/>
                <w:sz w:val="16"/>
              </w:rPr>
              <w:t>A</w:t>
            </w:r>
          </w:p>
        </w:tc>
        <w:tc>
          <w:tcPr>
            <w:tcW w:type="dxa" w:w="1278"/>
            <w:vAlign w:val="center"/>
          </w:tcPr>
          <w:p>
            <w:pPr>
              <w:spacing w:after="0"/>
            </w:pPr>
            <w:r>
              <w:rPr>
                <w:rFonts w:ascii="Times New Roman" w:hAnsi="Times New Roman"/>
                <w:b w:val="0"/>
                <w:sz w:val="16"/>
              </w:rPr>
              <w:t>EDF</w:t>
            </w:r>
          </w:p>
        </w:tc>
        <w:tc>
          <w:tcPr>
            <w:tcW w:type="dxa" w:w="1278"/>
            <w:vAlign w:val="center"/>
          </w:tcPr>
          <w:p>
            <w:pPr>
              <w:spacing w:after="0"/>
            </w:pPr>
            <w:r>
              <w:rPr>
                <w:rFonts w:ascii="Times New Roman" w:hAnsi="Times New Roman"/>
                <w:b w:val="0"/>
                <w:sz w:val="16"/>
              </w:rPr>
              <w:t>2.0</w:t>
            </w:r>
          </w:p>
        </w:tc>
        <w:tc>
          <w:tcPr>
            <w:tcW w:type="dxa" w:w="1278"/>
            <w:vAlign w:val="center"/>
          </w:tcPr>
          <w:p>
            <w:pPr>
              <w:spacing w:after="0"/>
            </w:pPr>
            <w:r>
              <w:rPr>
                <w:rFonts w:ascii="Times New Roman" w:hAnsi="Times New Roman"/>
                <w:b w:val="0"/>
                <w:sz w:val="16"/>
              </w:rPr>
              <w:t>3.667</w:t>
            </w:r>
          </w:p>
        </w:tc>
        <w:tc>
          <w:tcPr>
            <w:tcW w:type="dxa" w:w="1278"/>
            <w:vAlign w:val="center"/>
          </w:tcPr>
          <w:p>
            <w:pPr>
              <w:spacing w:after="0"/>
            </w:pPr>
            <w:r>
              <w:rPr>
                <w:rFonts w:ascii="Times New Roman" w:hAnsi="Times New Roman"/>
                <w:b w:val="0"/>
                <w:sz w:val="16"/>
              </w:rPr>
              <w:t>0.444</w:t>
            </w:r>
          </w:p>
        </w:tc>
        <w:tc>
          <w:tcPr>
            <w:tcW w:type="dxa" w:w="1278"/>
            <w:vAlign w:val="center"/>
          </w:tcPr>
          <w:p>
            <w:pPr>
              <w:spacing w:after="0"/>
            </w:pPr>
            <w:r>
              <w:rPr>
                <w:rFonts w:ascii="Times New Roman" w:hAnsi="Times New Roman"/>
                <w:b w:val="0"/>
                <w:sz w:val="16"/>
              </w:rPr>
              <w:t>0.444</w:t>
            </w:r>
          </w:p>
        </w:tc>
        <w:tc>
          <w:tcPr>
            <w:tcW w:type="dxa" w:w="1278"/>
            <w:vAlign w:val="center"/>
          </w:tcPr>
          <w:p>
            <w:pPr>
              <w:spacing w:after="0"/>
            </w:pPr>
            <w:r>
              <w:rPr>
                <w:rFonts w:ascii="Times New Roman" w:hAnsi="Times New Roman"/>
                <w:b w:val="0"/>
                <w:sz w:val="16"/>
              </w:rPr>
              <w:t>1</w:t>
            </w:r>
          </w:p>
        </w:tc>
        <w:tc>
          <w:tcPr>
            <w:tcW w:type="dxa" w:w="1278"/>
            <w:vAlign w:val="center"/>
          </w:tcPr>
          <w:p>
            <w:pPr>
              <w:spacing w:after="0"/>
            </w:pPr>
            <w:r>
              <w:rPr>
                <w:rFonts w:ascii="Times New Roman" w:hAnsi="Times New Roman"/>
                <w:b w:val="0"/>
                <w:sz w:val="16"/>
              </w:rPr>
              <w:t>3</w:t>
            </w:r>
          </w:p>
        </w:tc>
      </w:tr>
      <w:tr>
        <w:tc>
          <w:tcPr>
            <w:tcW w:type="dxa" w:w="1278"/>
            <w:vAlign w:val="center"/>
          </w:tcPr>
          <w:p>
            <w:pPr>
              <w:spacing w:after="0"/>
            </w:pPr>
            <w:r>
              <w:rPr>
                <w:rFonts w:ascii="Times New Roman" w:hAnsi="Times New Roman"/>
                <w:b w:val="0"/>
                <w:sz w:val="16"/>
              </w:rPr>
              <w:t>B</w:t>
            </w:r>
          </w:p>
        </w:tc>
        <w:tc>
          <w:tcPr>
            <w:tcW w:type="dxa" w:w="1278"/>
            <w:vAlign w:val="center"/>
          </w:tcPr>
          <w:p>
            <w:pPr>
              <w:spacing w:after="0"/>
            </w:pPr>
            <w:r>
              <w:rPr>
                <w:rFonts w:ascii="Times New Roman" w:hAnsi="Times New Roman"/>
                <w:b w:val="0"/>
                <w:sz w:val="16"/>
              </w:rPr>
              <w:t>FIFO</w:t>
            </w:r>
          </w:p>
        </w:tc>
        <w:tc>
          <w:tcPr>
            <w:tcW w:type="dxa" w:w="1278"/>
            <w:vAlign w:val="center"/>
          </w:tcPr>
          <w:p>
            <w:pPr>
              <w:spacing w:after="0"/>
            </w:pPr>
            <w:r>
              <w:rPr>
                <w:rFonts w:ascii="Times New Roman" w:hAnsi="Times New Roman"/>
                <w:b w:val="0"/>
                <w:sz w:val="16"/>
              </w:rPr>
              <w:t>1.083</w:t>
            </w:r>
          </w:p>
        </w:tc>
        <w:tc>
          <w:tcPr>
            <w:tcW w:type="dxa" w:w="1278"/>
            <w:vAlign w:val="center"/>
          </w:tcPr>
          <w:p>
            <w:pPr>
              <w:spacing w:after="0"/>
            </w:pPr>
            <w:r>
              <w:rPr>
                <w:rFonts w:ascii="Times New Roman" w:hAnsi="Times New Roman"/>
                <w:b w:val="0"/>
                <w:sz w:val="16"/>
              </w:rPr>
              <w:t>3.917</w:t>
            </w:r>
          </w:p>
        </w:tc>
        <w:tc>
          <w:tcPr>
            <w:tcW w:type="dxa" w:w="1278"/>
            <w:vAlign w:val="center"/>
          </w:tcPr>
          <w:p>
            <w:pPr>
              <w:spacing w:after="0"/>
            </w:pPr>
            <w:r>
              <w:rPr>
                <w:rFonts w:ascii="Times New Roman" w:hAnsi="Times New Roman"/>
                <w:b w:val="0"/>
                <w:sz w:val="16"/>
              </w:rPr>
              <w:t>0.0</w:t>
            </w:r>
          </w:p>
        </w:tc>
        <w:tc>
          <w:tcPr>
            <w:tcW w:type="dxa" w:w="1278"/>
            <w:vAlign w:val="center"/>
          </w:tcPr>
          <w:p>
            <w:pPr>
              <w:spacing w:after="0"/>
            </w:pPr>
            <w:r>
              <w:rPr>
                <w:rFonts w:ascii="Times New Roman" w:hAnsi="Times New Roman"/>
                <w:b w:val="0"/>
                <w:sz w:val="16"/>
              </w:rPr>
              <w:t>0.0</w:t>
            </w:r>
          </w:p>
        </w:tc>
        <w:tc>
          <w:tcPr>
            <w:tcW w:type="dxa" w:w="1278"/>
            <w:vAlign w:val="center"/>
          </w:tcPr>
          <w:p>
            <w:pPr>
              <w:spacing w:after="0"/>
            </w:pPr>
            <w:r>
              <w:rPr>
                <w:rFonts w:ascii="Times New Roman" w:hAnsi="Times New Roman"/>
                <w:b w:val="0"/>
                <w:sz w:val="16"/>
              </w:rPr>
              <w:t>0</w:t>
            </w:r>
          </w:p>
        </w:tc>
        <w:tc>
          <w:tcPr>
            <w:tcW w:type="dxa" w:w="1278"/>
            <w:vAlign w:val="center"/>
          </w:tcPr>
          <w:p>
            <w:pPr>
              <w:spacing w:after="0"/>
            </w:pPr>
            <w:r>
              <w:rPr>
                <w:rFonts w:ascii="Times New Roman" w:hAnsi="Times New Roman"/>
                <w:b w:val="0"/>
                <w:sz w:val="16"/>
              </w:rPr>
              <w:t>1</w:t>
            </w:r>
          </w:p>
        </w:tc>
      </w:tr>
      <w:tr>
        <w:tc>
          <w:tcPr>
            <w:tcW w:type="dxa" w:w="1278"/>
            <w:vAlign w:val="center"/>
          </w:tcPr>
          <w:p>
            <w:pPr>
              <w:spacing w:after="0"/>
            </w:pPr>
            <w:r>
              <w:rPr>
                <w:rFonts w:ascii="Times New Roman" w:hAnsi="Times New Roman"/>
                <w:b w:val="0"/>
                <w:sz w:val="16"/>
              </w:rPr>
              <w:t>B</w:t>
            </w:r>
          </w:p>
        </w:tc>
        <w:tc>
          <w:tcPr>
            <w:tcW w:type="dxa" w:w="1278"/>
            <w:vAlign w:val="center"/>
          </w:tcPr>
          <w:p>
            <w:pPr>
              <w:spacing w:after="0"/>
            </w:pPr>
            <w:r>
              <w:rPr>
                <w:rFonts w:ascii="Times New Roman" w:hAnsi="Times New Roman"/>
                <w:b w:val="0"/>
                <w:sz w:val="16"/>
              </w:rPr>
              <w:t>RM</w:t>
            </w:r>
          </w:p>
        </w:tc>
        <w:tc>
          <w:tcPr>
            <w:tcW w:type="dxa" w:w="1278"/>
            <w:vAlign w:val="center"/>
          </w:tcPr>
          <w:p>
            <w:pPr>
              <w:spacing w:after="0"/>
            </w:pPr>
            <w:r>
              <w:rPr>
                <w:rFonts w:ascii="Times New Roman" w:hAnsi="Times New Roman"/>
                <w:b w:val="0"/>
                <w:sz w:val="16"/>
              </w:rPr>
              <w:t>2.9</w:t>
            </w:r>
          </w:p>
        </w:tc>
        <w:tc>
          <w:tcPr>
            <w:tcW w:type="dxa" w:w="1278"/>
            <w:vAlign w:val="center"/>
          </w:tcPr>
          <w:p>
            <w:pPr>
              <w:spacing w:after="0"/>
            </w:pPr>
            <w:r>
              <w:rPr>
                <w:rFonts w:ascii="Times New Roman" w:hAnsi="Times New Roman"/>
                <w:b w:val="0"/>
                <w:sz w:val="16"/>
              </w:rPr>
              <w:t>5.5</w:t>
            </w:r>
          </w:p>
        </w:tc>
        <w:tc>
          <w:tcPr>
            <w:tcW w:type="dxa" w:w="1278"/>
            <w:vAlign w:val="center"/>
          </w:tcPr>
          <w:p>
            <w:pPr>
              <w:spacing w:after="0"/>
            </w:pPr>
            <w:r>
              <w:rPr>
                <w:rFonts w:ascii="Times New Roman" w:hAnsi="Times New Roman"/>
                <w:b w:val="0"/>
                <w:sz w:val="16"/>
              </w:rPr>
              <w:t>0.6</w:t>
            </w:r>
          </w:p>
        </w:tc>
        <w:tc>
          <w:tcPr>
            <w:tcW w:type="dxa" w:w="1278"/>
            <w:vAlign w:val="center"/>
          </w:tcPr>
          <w:p>
            <w:pPr>
              <w:spacing w:after="0"/>
            </w:pPr>
            <w:r>
              <w:rPr>
                <w:rFonts w:ascii="Times New Roman" w:hAnsi="Times New Roman"/>
                <w:b w:val="0"/>
                <w:sz w:val="16"/>
              </w:rPr>
              <w:t>0.6</w:t>
            </w:r>
          </w:p>
        </w:tc>
        <w:tc>
          <w:tcPr>
            <w:tcW w:type="dxa" w:w="1278"/>
            <w:vAlign w:val="center"/>
          </w:tcPr>
          <w:p>
            <w:pPr>
              <w:spacing w:after="0"/>
            </w:pPr>
            <w:r>
              <w:rPr>
                <w:rFonts w:ascii="Times New Roman" w:hAnsi="Times New Roman"/>
                <w:b w:val="0"/>
                <w:sz w:val="16"/>
              </w:rPr>
              <w:t>2</w:t>
            </w:r>
          </w:p>
        </w:tc>
        <w:tc>
          <w:tcPr>
            <w:tcW w:type="dxa" w:w="1278"/>
            <w:vAlign w:val="center"/>
          </w:tcPr>
          <w:p>
            <w:pPr>
              <w:spacing w:after="0"/>
            </w:pPr>
            <w:r>
              <w:rPr>
                <w:rFonts w:ascii="Times New Roman" w:hAnsi="Times New Roman"/>
                <w:b w:val="0"/>
                <w:sz w:val="16"/>
              </w:rPr>
              <w:t>4</w:t>
            </w:r>
          </w:p>
        </w:tc>
      </w:tr>
      <w:tr>
        <w:tc>
          <w:tcPr>
            <w:tcW w:type="dxa" w:w="1278"/>
            <w:vAlign w:val="center"/>
          </w:tcPr>
          <w:p>
            <w:pPr>
              <w:spacing w:after="0"/>
            </w:pPr>
            <w:r>
              <w:rPr>
                <w:rFonts w:ascii="Times New Roman" w:hAnsi="Times New Roman"/>
                <w:b w:val="0"/>
                <w:sz w:val="16"/>
              </w:rPr>
              <w:t>B</w:t>
            </w:r>
          </w:p>
        </w:tc>
        <w:tc>
          <w:tcPr>
            <w:tcW w:type="dxa" w:w="1278"/>
            <w:vAlign w:val="center"/>
          </w:tcPr>
          <w:p>
            <w:pPr>
              <w:spacing w:after="0"/>
            </w:pPr>
            <w:r>
              <w:rPr>
                <w:rFonts w:ascii="Times New Roman" w:hAnsi="Times New Roman"/>
                <w:b w:val="0"/>
                <w:sz w:val="16"/>
              </w:rPr>
              <w:t>EDF</w:t>
            </w:r>
          </w:p>
        </w:tc>
        <w:tc>
          <w:tcPr>
            <w:tcW w:type="dxa" w:w="1278"/>
            <w:vAlign w:val="center"/>
          </w:tcPr>
          <w:p>
            <w:pPr>
              <w:spacing w:after="0"/>
            </w:pPr>
            <w:r>
              <w:rPr>
                <w:rFonts w:ascii="Times New Roman" w:hAnsi="Times New Roman"/>
                <w:b w:val="0"/>
                <w:sz w:val="16"/>
              </w:rPr>
              <w:t>3.6</w:t>
            </w:r>
          </w:p>
        </w:tc>
        <w:tc>
          <w:tcPr>
            <w:tcW w:type="dxa" w:w="1278"/>
            <w:vAlign w:val="center"/>
          </w:tcPr>
          <w:p>
            <w:pPr>
              <w:spacing w:after="0"/>
            </w:pPr>
            <w:r>
              <w:rPr>
                <w:rFonts w:ascii="Times New Roman" w:hAnsi="Times New Roman"/>
                <w:b w:val="0"/>
                <w:sz w:val="16"/>
              </w:rPr>
              <w:t>6.4</w:t>
            </w:r>
          </w:p>
        </w:tc>
        <w:tc>
          <w:tcPr>
            <w:tcW w:type="dxa" w:w="1278"/>
            <w:vAlign w:val="center"/>
          </w:tcPr>
          <w:p>
            <w:pPr>
              <w:spacing w:after="0"/>
            </w:pPr>
            <w:r>
              <w:rPr>
                <w:rFonts w:ascii="Times New Roman" w:hAnsi="Times New Roman"/>
                <w:b w:val="0"/>
                <w:sz w:val="16"/>
              </w:rPr>
              <w:t>0.8</w:t>
            </w:r>
          </w:p>
        </w:tc>
        <w:tc>
          <w:tcPr>
            <w:tcW w:type="dxa" w:w="1278"/>
            <w:vAlign w:val="center"/>
          </w:tcPr>
          <w:p>
            <w:pPr>
              <w:spacing w:after="0"/>
            </w:pPr>
            <w:r>
              <w:rPr>
                <w:rFonts w:ascii="Times New Roman" w:hAnsi="Times New Roman"/>
                <w:b w:val="0"/>
                <w:sz w:val="16"/>
              </w:rPr>
              <w:t>0.8</w:t>
            </w:r>
          </w:p>
        </w:tc>
        <w:tc>
          <w:tcPr>
            <w:tcW w:type="dxa" w:w="1278"/>
            <w:vAlign w:val="center"/>
          </w:tcPr>
          <w:p>
            <w:pPr>
              <w:spacing w:after="0"/>
            </w:pPr>
            <w:r>
              <w:rPr>
                <w:rFonts w:ascii="Times New Roman" w:hAnsi="Times New Roman"/>
                <w:b w:val="0"/>
                <w:sz w:val="16"/>
              </w:rPr>
              <w:t>3</w:t>
            </w:r>
          </w:p>
        </w:tc>
        <w:tc>
          <w:tcPr>
            <w:tcW w:type="dxa" w:w="1278"/>
            <w:vAlign w:val="center"/>
          </w:tcPr>
          <w:p>
            <w:pPr>
              <w:spacing w:after="0"/>
            </w:pPr>
            <w:r>
              <w:rPr>
                <w:rFonts w:ascii="Times New Roman" w:hAnsi="Times New Roman"/>
                <w:b w:val="0"/>
                <w:sz w:val="16"/>
              </w:rPr>
              <w:t>4</w:t>
            </w:r>
          </w:p>
        </w:tc>
      </w:tr>
    </w:tbl>
    <w:p>
      <w:r>
        <w:t>Table 1. Summary metrics produced by the included simulation code.</w:t>
      </w:r>
    </w:p>
    <w:p>
      <w:pPr>
        <w:pStyle w:val="Heading2"/>
      </w:pPr>
      <w:r>
        <w:t>4.1. Case A Gantt charts</w:t>
      </w:r>
    </w:p>
    <w:p>
      <w:pPr>
        <w:jc w:val="center"/>
      </w:pPr>
      <w:r>
        <w:drawing>
          <wp:inline xmlns:a="http://schemas.openxmlformats.org/drawingml/2006/main" xmlns:pic="http://schemas.openxmlformats.org/drawingml/2006/picture">
            <wp:extent cx="6035040" cy="3500323"/>
            <wp:docPr id="1" name="Picture 1"/>
            <wp:cNvGraphicFramePr>
              <a:graphicFrameLocks noChangeAspect="1"/>
            </wp:cNvGraphicFramePr>
            <a:graphic>
              <a:graphicData uri="http://schemas.openxmlformats.org/drawingml/2006/picture">
                <pic:pic>
                  <pic:nvPicPr>
                    <pic:cNvPr id="0" name="gantt_case_A.png"/>
                    <pic:cNvPicPr/>
                  </pic:nvPicPr>
                  <pic:blipFill>
                    <a:blip r:embed="rId9"/>
                    <a:stretch>
                      <a:fillRect/>
                    </a:stretch>
                  </pic:blipFill>
                  <pic:spPr>
                    <a:xfrm>
                      <a:off x="0" y="0"/>
                      <a:ext cx="6035040" cy="3500323"/>
                    </a:xfrm>
                    <a:prstGeom prst="rect"/>
                  </pic:spPr>
                </pic:pic>
              </a:graphicData>
            </a:graphic>
          </wp:inline>
        </w:drawing>
      </w:r>
    </w:p>
    <w:p>
      <w:r>
        <w:t>Figure 1. Gantt charts for FIFO, RM, and EDF in Case A. Labels identify jobs; IDLE marks intervals with no running job.</w:t>
      </w:r>
    </w:p>
    <w:p>
      <w:pPr>
        <w:pStyle w:val="Heading2"/>
      </w:pPr>
      <w:r>
        <w:t>4.2. Case B Gantt charts</w:t>
      </w:r>
    </w:p>
    <w:p>
      <w:pPr>
        <w:jc w:val="center"/>
      </w:pPr>
      <w:r>
        <w:drawing>
          <wp:inline xmlns:a="http://schemas.openxmlformats.org/drawingml/2006/main" xmlns:pic="http://schemas.openxmlformats.org/drawingml/2006/picture">
            <wp:extent cx="6035040" cy="3500323"/>
            <wp:docPr id="2" name="Picture 2"/>
            <wp:cNvGraphicFramePr>
              <a:graphicFrameLocks noChangeAspect="1"/>
            </wp:cNvGraphicFramePr>
            <a:graphic>
              <a:graphicData uri="http://schemas.openxmlformats.org/drawingml/2006/picture">
                <pic:pic>
                  <pic:nvPicPr>
                    <pic:cNvPr id="0" name="gantt_case_B.png"/>
                    <pic:cNvPicPr/>
                  </pic:nvPicPr>
                  <pic:blipFill>
                    <a:blip r:embed="rId10"/>
                    <a:stretch>
                      <a:fillRect/>
                    </a:stretch>
                  </pic:blipFill>
                  <pic:spPr>
                    <a:xfrm>
                      <a:off x="0" y="0"/>
                      <a:ext cx="6035040" cy="3500323"/>
                    </a:xfrm>
                    <a:prstGeom prst="rect"/>
                  </pic:spPr>
                </pic:pic>
              </a:graphicData>
            </a:graphic>
          </wp:inline>
        </w:drawing>
      </w:r>
    </w:p>
    <w:p>
      <w:r>
        <w:t>Figure 2. Gantt charts for FIFO, RM, and EDF in Case B. Labels identify jobs; IDLE marks intervals with no running job.</w:t>
      </w:r>
    </w:p>
    <w:p>
      <w:pPr>
        <w:pStyle w:val="Heading1"/>
      </w:pPr>
      <w:r>
        <w:t>5. Discussion</w:t>
      </w:r>
    </w:p>
    <w:p>
      <w:r>
        <w:t>In the chosen model, FIFO avoids preemption while a job is running, so it tends to avoid lock-holder preemption; however, it can delay jobs with short deadlines behind earlier jobs. RM and EDF can preempt a lock holder. Since priority inheritance is not implemented, a high-priority job can remain blocked behind a lower-priority lock holder, while unrelated jobs may continue to run. This is a form of priority inversion and can increase response time, turnaround time, and deadline misses. The results demonstrate why comparing scheduling policies with shared resources requires explicit assumptions about critical-section length and semaphore protocol.</w:t>
      </w:r>
    </w:p>
    <w:p>
      <w:r>
        <w:t>Resource waiting time and block time are not independent metrics in this simulation: the only blocked state is semaphore waiting. If an assignment requires them to differ, the model should add another blocked cause (for example, I/O wait) and define block time as total time blocked for all causes, while resource waiting time remains only semaphore contention.</w:t>
      </w:r>
    </w:p>
    <w:p>
      <w:pPr>
        <w:pStyle w:val="Heading1"/>
      </w:pPr>
      <w:r>
        <w:t>2.1. Related concepts and scheduling context</w:t>
      </w:r>
    </w:p>
    <w:p>
      <w:pPr/>
      <w:r>
        <w:t>Real-time scheduling concerns not only how much work is completed, but whether each job completes before its deadline. A system may have high average throughput and still be unsuitable for a real-time application if a small number of critical jobs finish too late. Consequently, average waiting and turnaround times are useful descriptive measures, but they do not replace deadline-feasibility analysis. This distinction is central to the present comparison: the reported averages describe observed executions under two finite task sets, whereas deadline misses identify jobs that failed their timing requirement.</w:t>
      </w:r>
    </w:p>
    <w:p>
      <w:pPr/>
      <w:r>
        <w:t>A periodic task is commonly described by its execution requirement, period, and relative deadline. The execution requirement is the amount of processor time needed by one job when it is not delayed by synchronization. The period specifies the interval between releases, and the relative deadline specifies the allowed time from a release to completion. For implicit-deadline tasks, the relative deadline equals the period. This paper uses implicit deadlines in both cases, so each job released at time r has absolute deadline r + T.</w:t>
      </w:r>
    </w:p>
    <w:p>
      <w:pPr/>
      <w:r>
        <w:t>Scheduling policy and synchronization protocol are separate design decisions. A scheduling policy selects the next ready job; a semaphore protocol determines which jobs may enter a protected region and what happens when a job requests a resource already held by another job. A high-priority job can therefore be ready but unable to execute because it is waiting for a lock. This is why an evaluation that omits synchronization may give an incomplete picture of a real-time implementation.</w:t>
      </w:r>
    </w:p>
    <w:p>
      <w:pPr/>
      <w:r>
        <w:t>FIFO, also called first-come-first-served in many operating-system texts, selects jobs in queue-arrival order and is ordinarily non-preemptive. It is simple to implement and has low scheduling-policy overhead, but it does not explicitly prioritize deadlines. Rate Monotonic assigns fixed priorities based on task periods: a shorter period receives a higher priority. Earliest Deadline First uses dynamic priorities, selecting the ready job with the earliest absolute deadline. Under the ideal assumptions of a single processor, preemptible independent jobs, and no overhead, EDF has strong feasibility properties; those ideal conditions do not automatically hold when resource locking and implementation costs are introduced.</w:t>
      </w:r>
    </w:p>
    <w:p>
      <w:pPr/>
      <w:r>
        <w:t>The objective here is deliberately narrower than proving schedulability for all possible task sets. The experiment compares three policies under one explicit lock model and two reproducible workloads. The resulting numbers are observations from the supplied simulation. They should not be interpreted as universal performance rankings or as a proof that FIFO is generally superior to RM or EDF.</w:t>
      </w:r>
    </w:p>
    <w:p>
      <w:pPr>
        <w:pStyle w:val="Heading1"/>
      </w:pPr>
      <w:r>
        <w:t>2.2. Synchronization primitives and binary semaphores</w:t>
      </w:r>
    </w:p>
    <w:p>
      <w:pPr/>
      <w:r>
        <w:t>A semaphore is a synchronization primitive used to coordinate access to shared state. A binary semaphore has two logical states: available and unavailable. A task obtains the semaphore before entering a critical section and releases it after leaving that section. If the semaphore is unavailable, a requesting task cannot enter the protected region and must wait until the semaphore becomes available. Correct use requires that the acquisition and release operations surround the intended critical section and that every successful acquisition is eventually paired with a release.</w:t>
      </w:r>
    </w:p>
    <w:p>
      <w:pPr/>
      <w:r>
        <w:t>The protected region is the portion of code that accesses a resource that must not be concurrently modified. In a real program, the critical section might update a shared data structure, write a device register, modify a buffer, or inspect and change a common status flag. The critical section is not necessarily the whole job. Keeping it short generally reduces contention, but its safe duration is determined by correctness requirements rather than scheduling preference alone.</w:t>
      </w:r>
    </w:p>
    <w:p>
      <w:pPr/>
      <w:r>
        <w:t>The present experiment assumes a single binary semaphore shared by all task types. Each job requests the semaphore immediately before its final min(2, C) units of CPU execution. The final segment is treated as the critical section, and the lock remains held if the owner is preempted during that segment. This placement makes resource contention visible in the short periodic workloads while retaining a simple and repeatable model. It is an experimental assumption rather than a claim that critical sections naturally occur at the end of every real-time job.</w:t>
      </w:r>
    </w:p>
    <w:p>
      <w:pPr/>
      <w:r>
        <w:t>When a job is blocked on a semaphore, it is neither executing nor eligible to be dispatched on the processor. Once the lock is released, a waiting job may become ready according to the model's FIFO semaphore wait queue. The scheduler then decides when that ready job receives CPU time. These are two different queues: the semaphore wait queue governs access to the resource, while the scheduler's ready queue governs CPU dispatch. Conflating them can lead to incorrect conclusions about why a job was delayed.</w:t>
      </w:r>
    </w:p>
    <w:p>
      <w:pPr/>
      <w:r>
        <w:t>A binary semaphore by itself does not define priority inheritance, priority ceiling, or deadlock prevention. Priority inheritance temporarily raises the priority of a lock holder when a higher-priority job is blocked by it. A priority-ceiling protocol imposes a resource-based priority rule intended to bound blocking and prevent certain forms of deadlock. Neither protocol is implemented in this experiment. The results therefore illustrate a basic semaphore interaction, not a complete real-time locking protocol.</w:t>
      </w:r>
    </w:p>
    <w:p>
      <w:pPr>
        <w:pStyle w:val="Heading1"/>
      </w:pPr>
      <w:r>
        <w:t>2.3. FIFO scheduling: strengths and limitations</w:t>
      </w:r>
    </w:p>
    <w:p>
      <w:pPr/>
      <w:r>
        <w:t>FIFO's principal strength is conceptual and operational simplicity. The ready queue is ordered by arrival, and the scheduler selects the oldest ready job. A non-preemptive FIFO dispatcher does not interrupt a running job merely because a newer job arrives. This can reduce the number of scheduling decisions and avoid a common form of lock-holder preemption: once a job has begun its CPU segment, it continues until it finishes or blocks under the assumptions of the simulation.</w:t>
      </w:r>
    </w:p>
    <w:p>
      <w:pPr/>
      <w:r>
        <w:t>The same property can be a disadvantage. A short job with an urgent deadline may wait behind a long job that arrived earlier. This is often called convoying: several short jobs can experience delay because an earlier job occupies the processor. FIFO also does not use period or deadline information when making a decision. As a result, low average waiting time in a particular workload does not establish deadline optimality or predict performance for another release pattern.</w:t>
      </w:r>
    </w:p>
    <w:p>
      <w:pPr/>
      <w:r>
        <w:t>In this paper, the FIFO policy is non-preemptive at the CPU scheduler level, but synchronization still matters. A running job may request a semaphore and block if another job owns it; the CPU can then run another ready job. Once a job is waiting on a semaphore, its order in the resource queue is independent of its arrival order in the CPU-ready queue. This distinction makes the implementation more realistic than a model that treats all waiting as ordinary CPU-ready waiting.</w:t>
      </w:r>
    </w:p>
    <w:p>
      <w:pPr>
        <w:pStyle w:val="Heading1"/>
      </w:pPr>
      <w:r>
        <w:t>2.4. Rate Monotonic scheduling</w:t>
      </w:r>
    </w:p>
    <w:p>
      <w:pPr/>
      <w:r>
        <w:t>Rate Monotonic is a fixed-priority policy for periodic tasks. Each task receives a priority determined by its period, with shorter periods assigned higher priorities. The priority does not change from job to job. In a preemptive RM scheduler, a newly released job can preempt the current job if its task has higher priority. This provides a predictable priority ordering, and it is often a useful fit for systems whose task periods are stable and known in advance.</w:t>
      </w:r>
    </w:p>
    <w:p>
      <w:pPr/>
      <w:r>
        <w:t>The classic utilization bound for RM is a sufficient condition under a set of assumptions, not a necessary condition for every task set. A task set that exceeds the bound can still be schedulable; a task set that includes blocking, release jitter, execution-time variation, or overhead requires additional analysis. In particular, the familiar utilization-only test cannot be applied unmodified to the semaphore experiment, because a job may be prevented from executing by a lock held by another job.</w:t>
      </w:r>
    </w:p>
    <w:p>
      <w:pPr/>
      <w:r>
        <w:t>The implementation uses the shorter-period-higher-priority rule for Case A and Case B. For equal periods, a deterministic tie-breaking rule is required to make repeated runs reproducible; the script uses a stable ordering. This tie-break is an implementation detail and should be reported whenever another implementation is used to reproduce the numbers.</w:t>
      </w:r>
    </w:p>
    <w:p>
      <w:pPr>
        <w:pStyle w:val="Heading1"/>
      </w:pPr>
      <w:r>
        <w:t>2.5. Earliest Deadline First scheduling</w:t>
      </w:r>
    </w:p>
    <w:p>
      <w:pPr/>
      <w:r>
        <w:t>Earliest Deadline First is a dynamic-priority policy. At each scheduling decision, the ready job with the earliest absolute deadline is selected. Unlike RM, the relative ranking can change between jobs because absolute deadlines depend on release times. EDF is attractive in single-processor real-time systems because, under ideal assumptions, it can schedule any feasible preemptible independent task set whose total utilization does not exceed one.</w:t>
      </w:r>
    </w:p>
    <w:p>
      <w:pPr/>
      <w:r>
        <w:t>Those ideal assumptions matter. Semaphore blocking can prevent the earliest-deadline job from executing even when it is selected by the scheduler. Preemption can also suspend a lock holder, potentially extending the time that the resource remains unavailable. The scheduling algorithm cannot resolve this conflict by deadline ordering alone. A complete system analysis must combine the CPU scheduling policy with a locking protocol and a bound on critical-section execution.</w:t>
      </w:r>
    </w:p>
    <w:p>
      <w:pPr/>
      <w:r>
        <w:t>The present results should therefore be read as an empirical comparison of one implementation of EDF with a basic binary semaphore. They are not a contradiction of EDF's theoretical results, because those results rely on assumptions that are not fully represented in a system with blocking and a simplified tick-based model.</w:t>
      </w:r>
    </w:p>
    <w:p>
      <w:pPr>
        <w:pStyle w:val="Heading1"/>
      </w:pPr>
      <w:r>
        <w:t>3.1. Formal task model and workload definition</w:t>
      </w:r>
    </w:p>
    <w:p>
      <w:pPr/>
      <w:r>
        <w:t>Let task τ_i be characterized by (C_i, T_i, D_i), where C_i is its CPU execution requirement, T_i is its period, and D_i is its relative deadline. Each task releases jobs at times kT_i for integer k ≥ 0. The absolute deadline of job J_{i,k} is kT_i + D_i. Both experimental cases use D_i = T_i. The hyperperiod is the least common multiple of all task periods and provides a finite interval over which the release pattern repeats, assuming synchronous periodic releases.</w:t>
      </w:r>
    </w:p>
    <w:p>
      <w:pPr/>
      <w:r>
        <w:t>Case A contains three tasks: A = (1, 4, 4), B = (2, 5, 5), and C = (3, 10, 10). The hyperperiod is 20 time units. Its total nominal utilization is 1/4 + 2/5 + 3/10 = 0.95. Case B contains X = (2, 5, 5) and Y = (4, 7, 7), with a hyperperiod of 35 time units and utilization 2/5 + 4/7, approximately 0.9714. Both workloads are highly utilized, leaving limited nominal processor slack.</w:t>
      </w:r>
    </w:p>
    <w:p>
      <w:pPr/>
      <w:r>
        <w:t>The task sets were retained from the earlier CPU scheduling comparison so that the semaphore experiment could be compared with the same workload definitions. They are small enough to inspect manually, but sufficiently busy to expose differences in job ordering and resource contention. Because the experiment uses only two cases, it is not a statistically representative sample of all periodic task systems. The cases are selected examples, not random draws from a broad workload distribution.</w:t>
      </w:r>
    </w:p>
    <w:p>
      <w:pPr/>
      <w:r>
        <w:t>The simulator operates on integer time boundaries. At a given boundary it processes releases, state transitions, and dispatch decisions according to a deterministic order in the source code. This discrete-time convention makes the Gantt charts and CSV outputs reproducible, but it also means that sub-unit events, fractional execution times, and non-integer lock durations are outside the model. A reader reproducing the experiment should use the supplied code as the authoritative definition of event ordering.</w:t>
      </w:r>
    </w:p>
    <w:p>
      <w:pPr>
        <w:pStyle w:val="Heading1"/>
      </w:pPr>
      <w:r>
        <w:t>3.2. Assumptions and scope of the semaphore model</w:t>
      </w:r>
    </w:p>
    <w:p>
      <w:pPr/>
      <w:r>
        <w:t>The model uses one processor and one binary semaphore. Tasks release jobs periodically and synchronously, and all execution requirements are deterministic. Each job's critical section occupies the final min(2, C_i) CPU units of its execution. A job requests the semaphore immediately before beginning that segment. If the semaphore is available, it acquires the lock and executes the critical section; otherwise, it enters the semaphore wait queue. The lock is released when the critical section finishes.</w:t>
      </w:r>
    </w:p>
    <w:p>
      <w:pPr/>
      <w:r>
        <w:t>The model assumes that a lock holder retains the semaphore if preempted by RM or EDF. This is consistent with ordinary mutual-exclusion semantics: preemption does not by itself release a lock. It also means that a high-priority job may be blocked by a lower-priority lock holder. Since priority inheritance is not implemented, the holder's priority remains unchanged. This can create a priority-inversion pattern in which a high-priority job waits while intermediate-priority work executes.</w:t>
      </w:r>
    </w:p>
    <w:p>
      <w:pPr/>
      <w:r>
        <w:t>The simulation does not include context-switch overhead, dispatch latency, cache effects, multicore execution, I/O bursts, nested locks, multiple semaphore resources, deadlock detection, or stochastic execution times. It also does not model task suspension for reasons other than the semaphore. Those omissions are important because each can change waiting time, turnaround time, resource contention, and deadline feasibility. The experiment is intended as a controlled teaching and comparison model rather than a production-grade real-time analysis tool.</w:t>
      </w:r>
    </w:p>
    <w:p>
      <w:pPr/>
      <w:r>
        <w:t>The CPU scheduler and the semaphore queue are modeled separately. FIFO chooses the oldest ready job and does not preempt a running job. RM and EDF may preempt a running job at integer time boundaries when a more highly ranked ready job exists. A semaphore-blocked job cannot be selected by any scheduler until the lock becomes available. This common synchronization rule is applied across policies so that the observed differences arise from dispatch policy and its interaction with the shared resource, rather than from using a different lock mechanism for each scheduler.</w:t>
      </w:r>
    </w:p>
    <w:p>
      <w:pPr>
        <w:pStyle w:val="Heading1"/>
      </w:pPr>
      <w:r>
        <w:t>3.3. Event ordering and state transitions</w:t>
      </w:r>
    </w:p>
    <w:p>
      <w:pPr/>
      <w:r>
        <w:t>Each job moves through a small set of conceptual states: released/ready, running, semaphore-blocked, and completed. A job can only execute when it is ready and selected by the scheduler. If it reaches the point where it must acquire the semaphore and the lock is already held, it transitions to the blocked state. Upon lock release, the first eligible waiter in the semaphore queue is made ready. Completion occurs when the job has consumed its required CPU execution and any critical-section requirement has been satisfied.</w:t>
      </w:r>
    </w:p>
    <w:p>
      <w:pPr/>
      <w:r>
        <w:t>Deterministic event ordering is essential for a discrete-time simulation. If a completion and a new release occur at the same integer boundary, the simulator must consistently decide which event is processed first. Likewise, if the lock is released at a boundary at which a new job requests it, the implementation must consistently decide whether the new request sees the lock as available. The supplied Python code makes these choices explicitly through its loop order. Alternative event ordering may produce different per-job traces, so exact replication requires using the same code version.</w:t>
      </w:r>
    </w:p>
    <w:p>
      <w:pPr/>
      <w:r>
        <w:t>Preemption is distinct from blocking. A preempted job remains eligible to run again and retains its remaining execution state. A blocked job is ineligible until the semaphore becomes available. The difference matters when calculating waiting time: ordinary ready-queue delay and resource waiting both contribute to the time between release and completion, but resource waiting has a specific synchronization cause. The summary table reports the metrics separately to make that distinction visible.</w:t>
      </w:r>
    </w:p>
    <w:p>
      <w:pPr>
        <w:pStyle w:val="Heading1"/>
      </w:pPr>
      <w:r>
        <w:t>3.4. Scheduling and semaphore pseudocode</w:t>
      </w:r>
    </w:p>
    <w:p>
      <w:pPr/>
      <w:r>
        <w:t>The high-level simulation cycle can be described as follows. First, release any jobs whose release time equals the current time. Second, update completed critical sections and release the semaphore where required. Third, move eligible semaphore waiters back to the ready queue according to the configured FIFO resource queue. Fourth, select a ready job according to FIFO, RM, or EDF. Fifth, execute one unit of CPU time, update the job's remaining execution and critical-section state, and advance the clock. Repeat until the experiment's observation horizon is reached. The actual source code is authoritative for the exact ordering of these operations.</w:t>
      </w:r>
    </w:p>
    <w:p>
      <w:pPr/>
      <w:r>
        <w:t>For FIFO, the dispatch rule is to select the oldest ready job and keep it on the processor until it finishes or blocks. For RM, select the ready job whose task has the shortest period, using a deterministic tie-break when needed. For EDF, select the ready job with the smallest absolute deadline, again using a deterministic tie-break. The semaphore acquisition rule is the same for all three policies: a job may enter the critical section only when it owns the binary semaphore.</w:t>
      </w:r>
    </w:p>
    <w:p>
      <w:pPr/>
      <w:r>
        <w:t>This separation into a scheduler decision and a lock-acquisition decision is useful for teaching because it reveals that a scheduling policy alone does not determine every delay. A job can be the most urgent ready job and still be unable to proceed if it is blocked. Conversely, a job with a long deadline may hold a resource needed by an urgent job. Real-time system design must therefore reason about both CPU priority and resource access.</w:t>
      </w:r>
    </w:p>
    <w:p>
      <w:pPr>
        <w:pStyle w:val="Heading1"/>
      </w:pPr>
      <w:r>
        <w:t>3.5. Definitions of performance metrics</w:t>
      </w:r>
    </w:p>
    <w:p>
      <w:pPr/>
      <w:r>
        <w:t>CPU waiting time is defined as turnaround time minus the job's required CPU execution time. Turnaround time is completion time minus release time. Response time is the time from release until the job first receives CPU service. These definitions follow the standard job-level view of scheduling. For a job with release time r, first dispatch s, completion f, and execution requirement C, response time is s − r, turnaround is f − r, and waiting is (f − r) − C. In a model with blocking, waiting time can include both ready-queue delay and time blocked on the semaphore, depending on the implementation's accounting convention.</w:t>
      </w:r>
    </w:p>
    <w:p>
      <w:pPr/>
      <w:r>
        <w:t>Resource waiting time measures time spent unable to acquire the semaphore. Block time measures time spent in the blocked state. In this implementation, the only blocked state is semaphore waiting, so the two metrics are expected to coincide or differ only because of discrete-tick accounting and event-boundary conventions. They should not be interpreted as two independent measures of different phenomena in this experiment. A richer model could separately track I/O blocking, resource blocking, and other suspension causes.</w:t>
      </w:r>
    </w:p>
    <w:p>
      <w:pPr/>
      <w:r>
        <w:t>Deadline misses count completed jobs whose completion time is later than their absolute deadline within the observation horizon. This metric is a direct indicator of timing failures among the jobs counted by the script. It does not automatically prove that all jobs in an infinite periodic execution are schedulable or unschedulable, particularly when the observation window is finite. The interpretation should remain tied to the simulation horizon and the job set actually included in the CSV output.</w:t>
      </w:r>
    </w:p>
    <w:p>
      <w:pPr/>
      <w:r>
        <w:t>Idle time is processor time during which no eligible job executes. In a highly utilized task set, nonzero idle time may still occur within a finite hyperperiod because execution demand is not distributed uniformly over time and because jobs can be blocked. The presence of idle time is not by itself proof of schedulability, just as a busy processor is not proof of deadline failure. It is a useful descriptive statistic when considered alongside completion and deadline data.</w:t>
      </w:r>
    </w:p>
    <w:p>
      <w:pPr>
        <w:pStyle w:val="Heading1"/>
      </w:pPr>
      <w:r>
        <w:t>4.1. Experimental procedure and reproducibility</w:t>
      </w:r>
    </w:p>
    <w:p>
      <w:pPr/>
      <w:r>
        <w:t>The experiment runs each task set under three policies: FIFO, RM, and EDF. All policies use the same task parameters and the same semaphore placement rule. The simulator records job-level timing information, calculates policy-level averages, and compresses consecutive execution intervals into Gantt-chart segments. The generated files are semaphore_summary.csv, semaphore_job_details.csv, and semaphore_gantt.csv. The charts are exported separately for Case A and Case B.</w:t>
      </w:r>
    </w:p>
    <w:p>
      <w:pPr/>
      <w:r>
        <w:t>To reproduce the results, use a compatible Python 3 environment and run the supplied fifo_semaphore_comparison.py script. The script writes its output CSV files into the current working directory. The reported averages should be checked against semaphore_summary.csv, while individual releases, first dispatches, completions, deadlines, and blocking intervals can be inspected in semaphore_job_details.csv. The Gantt intervals provide a compact view of which job occupied the processor over each segment.</w:t>
      </w:r>
    </w:p>
    <w:p>
      <w:pPr/>
      <w:r>
        <w:t>The numerical values are generated by the included simulation and are not measurements from a physical operating system. No hardware timing benchmarks are claimed. The experiment also does not include repeated randomized trials because the workload is deterministic. Reproducibility therefore means that the same code, assumptions, and event order produce the same trace, not that the results estimate a population mean over random workloads.</w:t>
      </w:r>
    </w:p>
    <w:p>
      <w:pPr/>
      <w:r>
        <w:t>A rigorous replication should record the Python version, source-code revision, task parameters, observation horizon, critical-section rule, and event ordering. If any of these change, the output should be treated as a new experiment. For example, changing the critical-section length from one unit to two units can alter semaphore contention, while changing from non-preemptive to preemptive FIFO changes the scheduling policy itself. Results from such variants should not be silently merged into the same table.</w:t>
      </w:r>
    </w:p>
    <w:p>
      <w:pPr>
        <w:pStyle w:val="Heading1"/>
      </w:pPr>
      <w:r>
        <w:t>4.2. Summary of the reported measurements</w:t>
      </w:r>
    </w:p>
    <w:p>
      <w:pPr/>
      <w:r>
        <w:t>Table 1 reports the mean values produced by the supplied program. For Case A, FIFO has an average CPU waiting time of 1.545 time units and average turnaround time of 3.273. RM reports 2.900 and 4.500, respectively, while EDF reports 2.000 and 3.667. The resource-wait and block-time averages are zero for FIFO, 0.800 for RM, and 0.444 for EDF. The code reports no deadline misses for FIFO in this case, one for RM, and one for EDF.</w:t>
      </w:r>
    </w:p>
    <w:p>
      <w:pPr/>
      <w:r>
        <w:t>For Case B, FIFO reports average waiting and turnaround times of 1.083 and 3.917. RM reports 2.900 and 5.500, and EDF reports 3.600 and 6.400. Resource waiting and block time are zero for FIFO, 0.600 for RM, and 0.800 for EDF. The corresponding reported deadline-miss counts are zero for FIFO, two for RM, and three for EDF. These values are exactly the output of this experiment's model and should be interpreted with its assumptions in mind.</w:t>
      </w:r>
    </w:p>
    <w:p>
      <w:pPr/>
      <w:r>
        <w:t>The fact that FIFO has no semaphore waiting in these two traces is not a general property of FIFO. It follows from the particular release patterns, execution requirements, non-preemptive dispatch rule, and placement of each critical section. A different set of task periods or a different critical-section position could make a FIFO job wait on the semaphore. Likewise, the RM and EDF values are sensitive to which job owns the lock when a higher-ranked job is released.</w:t>
      </w:r>
    </w:p>
    <w:p>
      <w:pPr/>
      <w:r>
        <w:t>The average values also hide per-job variation. Two policies can have similar averages while producing different worst-case response times or deadline outcomes. For a real-time system, the worst observed response time and a formal bound on blocking may be more important than the mean. The per-job CSV is therefore a necessary companion to the summary table rather than an optional detail.</w:t>
      </w:r>
    </w:p>
    <w:p>
      <w:pPr>
        <w:pStyle w:val="Heading1"/>
      </w:pPr>
      <w:r>
        <w:t>4.3. Interpretation of Case A</w:t>
      </w:r>
    </w:p>
    <w:p>
      <w:pPr/>
      <w:r>
        <w:t>Case A has three task types and nominal utilization of 0.95. The short-period task A has a one-unit execution requirement and a four-unit period. Task B requires two units every five units, while task C requires three units every ten units. Because the release pattern is synchronous and the hyperperiod is 20, the experiment observes a compact but busy schedule with several overlapping release streams.</w:t>
      </w:r>
    </w:p>
    <w:p>
      <w:pPr/>
      <w:r>
        <w:t>In the simulated Case A trace, FIFO yields the lowest mean waiting and turnaround values among the three policies and no recorded deadline misses. A plausible explanation within this model is that non-preemptive execution avoids interrupting a lock holder and the particular order of arrivals does not produce semaphore queueing. This explanation is trace-specific: it should not be elevated into a claim that non-preemptive FIFO dominates priority-based scheduling for all high-utilization task sets.</w:t>
      </w:r>
    </w:p>
    <w:p>
      <w:pPr/>
      <w:r>
        <w:t>RM has higher average waiting and turnaround time in this trace and one deadline miss. Fixed task priorities can make a job wait behind higher-priority work, and preemption can lengthen the wall-clock interval during which a lock remains held. The effect depends on whether a preempted job owns the semaphore and which jobs are ready at the same time. The reported mean resource waiting of 0.800 indicates that semaphore blocking contributes to elapsed time for the jobs included in the metric.</w:t>
      </w:r>
    </w:p>
    <w:p>
      <w:pPr/>
      <w:r>
        <w:t>EDF's mean waiting and turnaround values are between FIFO and RM in Case A, but it also has one deadline miss. Selecting the earliest deadline does not guarantee immediate execution if the job is semaphore-blocked. In addition, a preempted lock holder can continue to occupy the resource while another job with an earlier deadline is unable to enter its critical section. The observed outcome illustrates why dynamic deadline ordering and resource protocol design must be considered together.</w:t>
      </w:r>
    </w:p>
    <w:p>
      <w:pPr>
        <w:pStyle w:val="Heading1"/>
      </w:pPr>
      <w:r>
        <w:t>4.4. Interpretation of Case B</w:t>
      </w:r>
    </w:p>
    <w:p>
      <w:pPr/>
      <w:r>
        <w:t>Case B consists of two tasks with periods of five and seven time units. The nominal utilization is approximately 0.9714, which leaves little nominal processor capacity for overhead in an implementation outside this model. The hyperperiod is 35 time units. The two-task configuration is simpler than Case A, but its high utilization can still create close competition for CPU time and synchronization resources.</w:t>
      </w:r>
    </w:p>
    <w:p>
      <w:pPr/>
      <w:r>
        <w:t>FIFO again has no recorded semaphore waiting and no recorded deadline misses in the simulated trace. Its average waiting time is 1.083 and its turnaround time is 3.917. The mean turnaround is larger than the mean waiting time because it includes each job's CPU execution requirement. These metrics should not be compared without accounting for the different execution requirements and job populations included in each average.</w:t>
      </w:r>
    </w:p>
    <w:p>
      <w:pPr/>
      <w:r>
        <w:t>RM has mean waiting time 2.900, mean turnaround time 5.500, and two deadline misses. EDF has mean waiting time 3.600, mean turnaround time 6.400, and three deadline misses. In this trace, the dynamic selection of the earliest deadline does not offset the effects of the modeled blocking and preemption. This is an empirical result for Case B rather than evidence that EDF is intrinsically worse than RM.</w:t>
      </w:r>
    </w:p>
    <w:p>
      <w:pPr/>
      <w:r>
        <w:t>The comparison between Case A and Case B highlights the danger of relying on a single workload. FIFO's advantage in these results is consistent across the two selected traces, but both traces share the same modeling choices, semaphore placement rule, and event-ordering implementation. Broader conclusions would require a more extensive workload suite, sensitivity analysis, and preferably formal response-time analysis under an explicitly stated resource-access protocol.</w:t>
      </w:r>
    </w:p>
    <w:p>
      <w:pPr>
        <w:pStyle w:val="Heading1"/>
      </w:pPr>
      <w:r>
        <w:t>4.5. Reading the Gantt charts and per-job traces</w:t>
      </w:r>
    </w:p>
    <w:p>
      <w:pPr/>
      <w:r>
        <w:t>The Gantt charts show which job executes over each interval and mark idle intervals explicitly. They make it possible to see bursts of execution, preemption, and gaps in processor utilization. They do not, by themselves, show every job's blocked interval unless the chart explicitly includes blocked-state tracks. For that reason, the charts should be interpreted alongside the per-job details rather than used as the sole evidence for semaphore behavior.</w:t>
      </w:r>
    </w:p>
    <w:p>
      <w:pPr/>
      <w:r>
        <w:t>When examining a trace, first locate each release and its absolute deadline. Next identify the first dispatch and completion times. Then inspect any semaphore acquisition attempt, ownership interval, and blocked interval. A job may have a short CPU execution requirement but a long turnaround time if it waits before its first dispatch or blocks while trying to acquire a resource. Separating these intervals helps explain why the same CPU workload can have different observed completion times under different policies.</w:t>
      </w:r>
    </w:p>
    <w:p>
      <w:pPr/>
      <w:r>
        <w:t>A useful manual consistency check is that turnaround equals completion minus release, and response time equals first dispatch minus release. Under the simple accounting definition used here, waiting time is turnaround minus required CPU execution. Resource waiting should not exceed total elapsed time, and a completed job should not have negative waiting or turnaround. Any violation of these checks indicates either a bookkeeping defect or a mismatch in metric definitions that should be corrected before drawing conclusions.</w:t>
      </w:r>
    </w:p>
    <w:p>
      <w:pPr>
        <w:pStyle w:val="Heading1"/>
      </w:pPr>
      <w:r>
        <w:t>4.6. Why resource waiting and block time overlap</w:t>
      </w:r>
    </w:p>
    <w:p>
      <w:pPr/>
      <w:r>
        <w:t>Resource waiting and block time are often reported as separate concepts in larger operating-system studies, but their distinction depends on what states the model represents. Resource waiting is a cause-specific measure: it counts time during which a job cannot acquire a required resource. Block time is a state-based measure: it counts time in which the job is blocked and cannot be scheduled. In this implementation, semaphore waiting is the only blocked state, so the two measures represent the same interval under the same tick-accounting convention.</w:t>
      </w:r>
    </w:p>
    <w:p>
      <w:pPr/>
      <w:r>
        <w:t>The overlap should be stated clearly rather than interpreted as two independent improvements. For example, the zero values for FIFO in the two cases mean that the trace contains no counted semaphore-blocked time for its jobs. They do not mean that FIFO eliminates all forms of waiting in general; FIFO's CPU-ready waiting is captured by the waiting-time metric. In a model with I/O, event waits, multiple locks, or explicit suspension states, total block time could exceed semaphore resource waiting because it would include additional causes.</w:t>
      </w:r>
    </w:p>
    <w:p>
      <w:pPr/>
      <w:r>
        <w:t>Future versions of the simulator could define separate counters for ready-queue waiting, semaphore waiting, I/O waiting, and other suspension. Such a design would provide a clearer decomposition of turnaround time and make the effect of each delay source easier to interpret. It would also require precise event accounting so that each tick is assigned to exactly one state and no interval is counted twice.</w:t>
      </w:r>
    </w:p>
    <w:p>
      <w:pPr>
        <w:pStyle w:val="Heading1"/>
      </w:pPr>
      <w:r>
        <w:t>5.1. Semaphore correctness and mutual exclusion</w:t>
      </w:r>
    </w:p>
    <w:p>
      <w:pPr/>
      <w:r>
        <w:t>The primary correctness property of a binary semaphore is mutual exclusion: at most one job owns the protected resource at a time. The simulation represents ownership with a single lock state. A successful acquisition changes the lock from available to held; the release operation returns it to available and permits a waiting job to proceed. The state transition must be atomic in a real implementation, because two concurrent acquisition attempts must not both observe the lock as available and enter the critical section.</w:t>
      </w:r>
    </w:p>
    <w:p>
      <w:pPr/>
      <w:r>
        <w:t>A second important property is eventual release. If a job acquires the semaphore and never releases it, all later requests may remain blocked indefinitely. The present deterministic workload assumes that each critical section finishes, so the semaphore is eventually released by its owner. The model does not simulate crashes, exceptions, cancellation, or early task termination while holding the lock. Real software must handle those paths carefully, often through structured locking constructs or cleanup handlers.</w:t>
      </w:r>
    </w:p>
    <w:p>
      <w:pPr/>
      <w:r>
        <w:t>Mutual exclusion does not guarantee bounded waiting or deadline satisfaction. A lock can be correct while causing an urgent task to miss its deadline. The scheduling policy, lock acquisition order, critical-section length, and priority protocol jointly determine the extent of blocking. Therefore, correctness of the semaphore implementation and temporal correctness of the task system are distinct properties that should be tested separately.</w:t>
      </w:r>
    </w:p>
    <w:p>
      <w:pPr>
        <w:pStyle w:val="Heading1"/>
      </w:pPr>
      <w:r>
        <w:t>5.2. Priority inversion and the absence of inheritance</w:t>
      </w:r>
    </w:p>
    <w:p>
      <w:pPr/>
      <w:r>
        <w:t>Priority inversion occurs when a high-priority job is indirectly delayed by a lower-priority job that holds a resource it needs. With preemptive priority scheduling, an intermediate-priority job can also execute ahead of the lock holder, delaying the holder's release of the resource. This is one reason why simple priority scheduling may not provide a useful blocking bound unless the locking protocol is included in the analysis.</w:t>
      </w:r>
    </w:p>
    <w:p>
      <w:pPr/>
      <w:r>
        <w:t>The simulation does not implement priority inheritance. Consequently, when RM or EDF preempts a lock holder, the holder does not receive an adjusted priority because another job is blocked behind it. This makes the model intentionally simple but less representative of systems that use a real-time locking protocol. The observed resource-wait values are therefore properties of the baseline semaphore behavior, not a comparison of advanced synchronization protocols.</w:t>
      </w:r>
    </w:p>
    <w:p>
      <w:pPr/>
      <w:r>
        <w:t>An informative extension would run each scheduler with at least three lock strategies: basic semaphore semantics, priority inheritance, and a priority-ceiling protocol. The task sets and critical-section lengths would remain fixed while only the lock protocol changes. Comparing worst-case blocking, deadline misses, and response times would help isolate the benefit of resource protocols from the effect of the CPU scheduler itself.</w:t>
      </w:r>
    </w:p>
    <w:p>
      <w:pPr>
        <w:pStyle w:val="Heading1"/>
      </w:pPr>
      <w:r>
        <w:t>5.3. Interpreting averages versus worst-case behavior</w:t>
      </w:r>
    </w:p>
    <w:p>
      <w:pPr/>
      <w:r>
        <w:t>Mean waiting and turnaround are intuitive and useful for describing the average job in the measured trace. However, real-time guarantees are usually concerned with every relevant job meeting its deadline, including the most delayed job. A low mean can coexist with a single severe deadline miss. Conversely, a policy can have a larger mean while still meeting all deadlines if its timing distribution is more uniform. A sound evaluation should therefore report means alongside maximum response time, maximum blocking time, deadline misses, and per-task results.</w:t>
      </w:r>
    </w:p>
    <w:p>
      <w:pPr/>
      <w:r>
        <w:t>The present summary reports average waiting, turnaround, resource waiting, block time, deadline misses, and idle time. These are enough to illustrate several policy differences but not enough to establish a formal worst-case guarantee. The observation horizon is finite, the task sets are small, and the simulator excludes overheads and execution-time variability. A formal claim would require assumptions about task release patterns, execution bounds, critical-section lengths, and the synchronization protocol.</w:t>
      </w:r>
    </w:p>
    <w:p>
      <w:pPr/>
      <w:r>
        <w:t>Averages can also be affected by the number of jobs included. Case A and Case B have different hyperperiods and different numbers of releases. A policy-level average across all jobs weights every included job equally, not every task type equally. For a more detailed study, results should also be broken down by task and reported with the number of observations used in each mean.</w:t>
      </w:r>
    </w:p>
    <w:p>
      <w:pPr>
        <w:pStyle w:val="Heading1"/>
      </w:pPr>
      <w:r>
        <w:t>5.4. Practical implications for system designers</w:t>
      </w:r>
    </w:p>
    <w:p>
      <w:pPr/>
      <w:r>
        <w:t>FIFO may be attractive in systems where implementation simplicity, low scheduling overhead, and predictable queue order matter more than explicit deadline prioritization. It can be appropriate for non-real-time queues or workloads with loose timing constraints. For hard real-time systems, however, selecting FIFO because it performs well on one trace is not sufficient. Designers need to check whether the longest non-preemptive segment can delay a critical task beyond its deadline and whether the resource protocol bounds blocking.</w:t>
      </w:r>
    </w:p>
    <w:p>
      <w:pPr/>
      <w:r>
        <w:t>RM is a natural candidate when task periods are known and a fixed-priority implementation is desired. Its static priorities can simplify implementation and analysis, but task-level priority assignment alone does not eliminate semaphore blocking. A deployment should include a blocking term in response-time analysis and use a protocol suitable for the target operating system. If tasks have deadlines that differ from their periods, a simple period-based priority assignment may not reflect urgency adequately.</w:t>
      </w:r>
    </w:p>
    <w:p>
      <w:pPr/>
      <w:r>
        <w:t>EDF can use deadline information more directly and has strong idealized feasibility properties on a single processor. Nonetheless, the scheduler's ranking is only one part of the design. The operating system must implement preemption and deadline ordering correctly, and the resource-access protocol must limit lock-related delays. A high utilization near one leaves little room for overhead, release jitter, execution-time variation, or blocking; practical systems should reserve a margin rather than relying solely on nominal utilization.</w:t>
      </w:r>
    </w:p>
    <w:p>
      <w:pPr/>
      <w:r>
        <w:t>The practical recommendation is not that one policy is universally best. Instead, the scheduler and synchronization mechanism should be selected together based on the workload's deadlines, execution-time bounds, resource-sharing pattern, and required assurance level. The present code can serve as a small reproducible teaching example, while a production decision should be supported by a broader test suite and formal analysis.</w:t>
      </w:r>
    </w:p>
    <w:p>
      <w:pPr>
        <w:pStyle w:val="Heading1"/>
      </w:pPr>
      <w:r>
        <w:t>5.5. Threats to validity and limitations</w:t>
      </w:r>
    </w:p>
    <w:p>
      <w:pPr/>
      <w:r>
        <w:t>The first limitation is workload size. Only two task sets are evaluated, and both have implicit deadlines and synchronous periodic releases. The results may change under asynchronous offsets, sporadic releases, arbitrary deadlines, or a larger number of tasks. Because the task sets are not randomly sampled, the findings cannot be generalized statistically to all real-time workloads.</w:t>
      </w:r>
    </w:p>
    <w:p>
      <w:pPr/>
      <w:r>
        <w:t>The second limitation is the simplified time model. Integer-tick execution excludes fractional durations, dispatch overhead, and precise sub-tick ordering. An event-driven simulator with continuous or rational timestamps could represent a wider range of execution patterns, though it would require careful validation to avoid introducing a different set of implementation errors.</w:t>
      </w:r>
    </w:p>
    <w:p>
      <w:pPr/>
      <w:r>
        <w:t>The third limitation is synchronization scope. Only one binary semaphore is modeled, and every job's critical section is placed at the end of its execution. Real programs may use several locks, nested resources, condition variables, or blocking I/O. Lock acquisition can occur at different points within a job, and critical-section lengths may vary. The current model does not capture deadlock among multiple resources or the effects of lock ordering.</w:t>
      </w:r>
    </w:p>
    <w:p>
      <w:pPr/>
      <w:r>
        <w:t>The fourth limitation is the absence of advanced protocols. Neither priority inheritance nor priority ceiling is implemented. The model therefore cannot support conclusions about those protocols or establish a general bound on priority inversion. It also does not simulate resource-owner failure or cancellation while holding a lock.</w:t>
      </w:r>
    </w:p>
    <w:p>
      <w:pPr/>
      <w:r>
        <w:t>The fifth limitation is the metric definition. Because semaphore waiting is the only blocked state, resource waiting and block time overlap. The code's accounting convention should be retained when interpreting the reported values. If future work introduces additional blocked states, the metrics should be redefined and validated to avoid double-counting elapsed time.</w:t>
      </w:r>
    </w:p>
    <w:p>
      <w:pPr/>
      <w:r>
        <w:t>Finally, the results come from the supplied code and should be verified before being used as evidence in a high-stakes or formal schedulability claim. The code, CSV outputs, and figures improve transparency, but reproducibility does not itself guarantee correctness. Independent tests, trace invariants, and comparison against hand-calculated schedules for small cases are appropriate next steps.</w:t>
      </w:r>
    </w:p>
    <w:p>
      <w:pPr>
        <w:pStyle w:val="Heading1"/>
      </w:pPr>
      <w:r>
        <w:t>5.6. Validation checks and recommended tests</w:t>
      </w:r>
    </w:p>
    <w:p>
      <w:pPr/>
      <w:r>
        <w:t>A useful validation strategy begins with small hand-checkable cases. One task with no semaphore contention should complete after its specified CPU demand, and its turnaround should equal its execution time when released at time zero. Two jobs that do not share a critical section should not acquire artificial resource waiting. A second job that requests a held semaphore should remain blocked until the owner releases it. These tests verify the basic transitions independently of the full periodic workloads.</w:t>
      </w:r>
    </w:p>
    <w:p>
      <w:pPr/>
      <w:r>
        <w:t>Trace-level invariants should be checked automatically. A job's remaining execution must never become negative. A semaphore must not have more than one owner. A completed job must not execute again. A blocked job must not receive CPU time until it is unblocked. Every successful lock acquisition should eventually have a corresponding release in a complete trace. The sum of a job's CPU execution intervals should equal its declared execution requirement, and each time interval should be accounted for consistently.</w:t>
      </w:r>
    </w:p>
    <w:p>
      <w:pPr/>
      <w:r>
        <w:t>Metric invariants provide an additional layer of validation. For every completed job, turnaround time should equal completion minus release, and response time should equal first dispatch minus release. Under the stated definition, waiting time should equal turnaround minus execution demand. The sum of resource waiting intervals should agree with the resource-wait field, within the chosen tick convention. A deadline miss should be counted if and only if completion is later than the absolute deadline according to the code's stated strictness rule.</w:t>
      </w:r>
    </w:p>
    <w:p>
      <w:pPr/>
      <w:r>
        <w:t>Finally, the output should be compared against an independent implementation or a hand-derived schedule for at least one short case. A second implementation is particularly valuable because it can reveal accidental coupling between the scheduler and semaphore bookkeeping. For a publication, include the exact code version and enough trace data for a reviewer to reproduce the summary rather than relying only on a screenshot or an averaged table.</w:t>
      </w:r>
    </w:p>
    <w:p>
      <w:pPr>
        <w:pStyle w:val="Heading1"/>
      </w:pPr>
      <w:r>
        <w:t>5.7. Directions for future work</w:t>
      </w:r>
    </w:p>
    <w:p>
      <w:pPr/>
      <w:r>
        <w:t>The first extension is to evaluate more workloads. Task sets could be generated across a range of utilization levels, task counts, period ratios, and critical-section lengths. For each utilization point, multiple seeds could be used to avoid conclusions being driven by one carefully selected workload. Results could report distributions, medians, percentiles, maximum response times, and deadline-miss ratios in addition to averages.</w:t>
      </w:r>
    </w:p>
    <w:p>
      <w:pPr/>
      <w:r>
        <w:t>The second extension is to add resource protocols. Basic semaphore behavior could be compared with priority inheritance and priority-ceiling locking. The evaluation should keep all other parameters fixed and measure both average outcomes and worst-case blocking. Such a comparison would help distinguish a scheduling policy's behavior from the effect of the lock protocol.</w:t>
      </w:r>
    </w:p>
    <w:p>
      <w:pPr/>
      <w:r>
        <w:t>The third extension is to use a more expressive workload model. Tasks could have offsets, sporadic arrivals, non-implicit deadlines, multiple CPU bursts, and I/O waits. Critical sections could occur at configurable positions rather than always at the end of a job. Multiple resources could be introduced only after lock ordering and deadlock behavior are explicitly specified.</w:t>
      </w:r>
    </w:p>
    <w:p>
      <w:pPr/>
      <w:r>
        <w:t>The fourth extension is to compare the discrete-time simulator with a discrete-event implementation and, where possible, a formal response-time analysis. Agreement on small workloads would increase confidence in the simulator. Disagreement should trigger a trace-level investigation rather than being resolved by selecting whichever result appears more favorable.</w:t>
      </w:r>
    </w:p>
    <w:p>
      <w:pPr/>
      <w:r>
        <w:t>The fifth extension is to include implementation costs. Context switches, scheduler execution time, lock operation overhead, timer resolution, and interrupt latency all consume time in real systems. For a task set whose nominal utilization is close to one, even modest overhead can change deadline outcomes. A realistic study should either measure these costs on a target platform or state conservative bounds and incorporate them into analysis.</w:t>
      </w:r>
    </w:p>
    <w:p>
      <w:pPr>
        <w:pStyle w:val="Heading1"/>
      </w:pPr>
      <w:r>
        <w:t>3.6. Analytical expectations before simulation</w:t>
      </w:r>
    </w:p>
    <w:p>
      <w:pPr/>
      <w:r>
        <w:t>Before running the simulation, several qualitative expectations can be stated without assuming the final numerical outcome. FIFO should exhibit no scheduler-driven preemption, so once a job starts running it normally continues until completion or semaphore blocking. RM and EDF can preempt, which may improve the order in which urgent jobs receive CPU service but can also interrupt a lock holder. Whether this interruption increases resource waiting depends on the relative timing of releases and lock ownership, so the direction of the effect cannot be predicted from utilization alone.</w:t>
      </w:r>
    </w:p>
    <w:p>
      <w:pPr/>
      <w:r>
        <w:t>The nominal utilization values indicate that both cases are close to full processor demand. In Case A, the sum of execution-time-to-period ratios is 0.95; in Case B it is approximately 0.9714. Under an ideal model, this leaves nominal capacity of 0.05 and approximately 0.0286, respectively. This residual capacity is not a direct estimate of real-system overhead tolerance because blocking and release patterns affect when CPU demand occurs. It is nevertheless a useful warning that overheads omitted from the simulation could matter substantially.</w:t>
      </w:r>
    </w:p>
    <w:p>
      <w:pPr/>
      <w:r>
        <w:t>The semaphore design makes a deliberate trade-off between simplicity and realism. A single resource allows lock ownership and wait-queue order to be inspected clearly, while a critical section placed at the end of every job creates a consistent rule across tasks. This controlled design is useful for comparison because it avoids varying critical-section position as an additional factor. At the same time, the resulting conclusions are limited to that particular resource-access pattern.</w:t>
      </w:r>
    </w:p>
    <w:p>
      <w:pPr/>
      <w:r>
        <w:t>The qualitative expectations are not hypotheses that must be confirmed by the numbers. They are explanations to compare against the traces after the experiment. If the trace differs from an expectation, the correct response is to inspect event ordering and job states rather than alter the interpretation to force agreement. This is especially important in small simulations, where a single release or lock handoff can change an average noticeably.</w:t>
      </w:r>
    </w:p>
    <w:p>
      <w:pPr>
        <w:pStyle w:val="Heading1"/>
      </w:pPr>
      <w:r>
        <w:t>3.7. Hyperperiods, observation windows, and job populations</w:t>
      </w:r>
    </w:p>
    <w:p>
      <w:pPr/>
      <w:r>
        <w:t>The hyperperiod is the least common multiple of the task periods. In synchronous periodic systems, the pattern of releases repeats at the hyperperiod, although the internal execution schedule need not repeat unless the scheduler state and resource state also align at the boundary. Case A has a 20-unit hyperperiod, and Case B has a 35-unit hyperperiod. These windows are convenient for plotting and comparison, but they are still finite observations of a periodic system.</w:t>
      </w:r>
    </w:p>
    <w:p>
      <w:pPr/>
      <w:r>
        <w:t>A finite observation window creates a boundary question: jobs released near the end may not complete before the simulator stops, depending on how the horizon is defined. For this reason, an experiment should specify whether the horizon includes only jobs released before the boundary, whether execution is allowed to continue until those jobs finish, and how unfinished jobs are treated. The summary in this paper follows the supplied code's behavior; the CSV outputs should be consulted for the exact job population included in each mean.</w:t>
      </w:r>
    </w:p>
    <w:p>
      <w:pPr/>
      <w:r>
        <w:t>The number of jobs in each policy's average should be identical when all policies process the same release set and the same horizon rule. If a policy has unfinished jobs excluded from averages while another completes them, the averages may not be directly comparable. A robust future implementation should report the sample count alongside each average and explicitly list unfinished jobs, if any. Such reporting prevents the reader from mistaking a smaller average caused by exclusion for a genuine performance improvement.</w:t>
      </w:r>
    </w:p>
    <w:p>
      <w:pPr/>
      <w:r>
        <w:t>Hyperperiod analysis is also not equivalent to testing every possible initial condition. The present cases use synchronous releases and a single initial state in which the resource is available. Asynchronous offsets or an initially held resource could change the first lock conflict and all subsequent events. A broader evaluation should vary offsets and initial conditions where those are legal in the target application.</w:t>
      </w:r>
    </w:p>
    <w:p>
      <w:pPr>
        <w:pStyle w:val="Heading1"/>
      </w:pPr>
      <w:r>
        <w:t>3.8. Separating ready-queue delay from resource delay</w:t>
      </w:r>
    </w:p>
    <w:p>
      <w:pPr/>
      <w:r>
        <w:t>Turnaround time combines several distinct sources of elapsed time: time waiting to be dispatched, time spent executing, time blocked on a resource, and any other suspension that the model may represent. The present implementation summarizes waiting as turnaround minus CPU execution demand. This aggregate is useful for a high-level comparison but does not identify the exact cause of every waiting interval. Resource waiting is reported separately to make at least one source of delay visible.</w:t>
      </w:r>
    </w:p>
    <w:p>
      <w:pPr/>
      <w:r>
        <w:t>A richer accounting scheme would maintain counters for ready-queue waiting, semaphore waiting, I/O waiting, and other suspension. At every simulation tick, each unfinished job would occupy exactly one state: running, ready, or blocked for a named cause. The time spent in each state could then be accumulated independently, with checks that the sum of state durations equals the job's elapsed time from release to completion. Such a state ledger makes metric definitions auditable and reduces the risk of double counting.</w:t>
      </w:r>
    </w:p>
    <w:p>
      <w:pPr/>
      <w:r>
        <w:t>The distinction is important for interpretation. A job may have a long waiting time because the CPU is busy with other ready jobs, even when resource waiting is zero. Alternatively, a job may be selected by the scheduler but unable to enter its critical section because another job owns the semaphore. Those two situations call for different remedies: scheduling policy changes affect ready-queue ordering, whereas lock-protocol or critical-section changes affect resource waiting.</w:t>
      </w:r>
    </w:p>
    <w:p>
      <w:pPr/>
      <w:r>
        <w:t>The current paper avoids inventing separate measurements that the simulation does not produce. It reports the values exported by the code and explains the overlap between resource waiting and block time. A future version should change the data model first, validate the new counters, and only then add additional columns or claim a finer decomposition of delay.</w:t>
      </w:r>
    </w:p>
    <w:p>
      <w:pPr>
        <w:pStyle w:val="Heading1"/>
      </w:pPr>
      <w:r>
        <w:t>4.7. Cross-policy comparison by metric</w:t>
      </w:r>
    </w:p>
    <w:p>
      <w:pPr/>
      <w:r>
        <w:t>Average CPU waiting time provides a direct comparison of how long jobs spend between release and completion beyond their execution demand, according to the paper's accounting convention. In Case A, the reported values are 1.545 for FIFO, 2.900 for RM, and 2.000 for EDF. In Case B, they are 1.083 for FIFO, 2.900 for RM, and 3.600 for EDF. FIFO is lowest in these two simulated cases, but the small number of workloads limits the generality of that observation.</w:t>
      </w:r>
    </w:p>
    <w:p>
      <w:pPr/>
      <w:r>
        <w:t>Average turnaround time includes both execution and waiting. In Case A, FIFO reports 3.273, EDF 3.667, and RM 4.500. In Case B, FIFO reports 3.917, RM 5.500, and EDF 6.400. The ordering differs between RM and EDF across the two metrics and cases, which is a reminder that scheduler rankings depend on the selected workload and on which objective is measured. Turnaround should not be treated as interchangeable with response time or deadline feasibility.</w:t>
      </w:r>
    </w:p>
    <w:p>
      <w:pPr/>
      <w:r>
        <w:t>Resource waiting is zero for FIFO in both traces, compared with 0.800 for RM and 0.444 for EDF in Case A, and 0.600 for RM and 0.800 for EDF in Case B. This is a particularly model-sensitive result because critical sections are deliberately placed at the end of each job and lock holders retain the semaphore when preempted. A change in critical-section placement or a protocol such as priority inheritance could change these numbers even if the task periods and execution demands remain identical.</w:t>
      </w:r>
    </w:p>
    <w:p>
      <w:pPr/>
      <w:r>
        <w:t>Deadline-miss counts provide a different view of the same traces. The code reports zero misses for FIFO in both cases, one for each of RM and EDF in Case A, and two for RM and three for EDF in Case B. These counts are important because an average metric can conceal timing failures. However, a zero count in a finite trace is not a formal schedulability proof, and the higher counts under RM or EDF in this experiment do not establish that those algorithms are generally inferior.</w:t>
      </w:r>
    </w:p>
    <w:p>
      <w:pPr/>
      <w:r>
        <w:t>Idle time is useful as a diagnostic but should be interpreted carefully. A processor can be idle when all jobs are blocked, even if jobs remain unfinished, and it can be busy continuously while still missing deadlines. Idle intervals should therefore be examined alongside blocked-state information and deadline outcomes. The present Gantt charts identify processor idle intervals but do not substitute for a complete state trace.</w:t>
      </w:r>
    </w:p>
    <w:p>
      <w:pPr>
        <w:pStyle w:val="Heading1"/>
      </w:pPr>
      <w:r>
        <w:t>4.8. Sensitivity analysis that should accompany future results</w:t>
      </w:r>
    </w:p>
    <w:p>
      <w:pPr/>
      <w:r>
        <w:t>A sensitivity analysis asks whether the reported ranking persists when important assumptions are changed. For this experiment, the most important parameters are critical-section length, critical-section position, task release offsets, scheduler preemption rules, lock queue discipline, and priority inheritance. Each should be changed independently before testing interactions, so the contribution of each factor remains interpretable.</w:t>
      </w:r>
    </w:p>
    <w:p>
      <w:pPr/>
      <w:r>
        <w:t>Critical-section length could be varied from one CPU unit to the maximum execution requirement of a task. A very short critical section may rarely create contention, while a long critical section can substantially increase the time that the semaphore remains unavailable. The study should report the resulting maximum resource waiting and deadline-miss ratio, not only the mean. The tested values must remain physically consistent with each job's execution requirement.</w:t>
      </w:r>
    </w:p>
    <w:p>
      <w:pPr/>
      <w:r>
        <w:t>Critical-section position can be varied by placing the protected segment at the start, middle, or end of each job. An early critical section may create a different lock ownership pattern from a late critical section, especially when a preemptive policy schedules a job between acquisition and release. This parameter is particularly important because the current experiment uses a single fixed placement rule for every job.</w:t>
      </w:r>
    </w:p>
    <w:p>
      <w:pPr/>
      <w:r>
        <w:t>Release offsets and asynchronous arrivals can be varied to test whether the results depend on all tasks starting together. A reproducible experiment should state the offset vector for each trial and preserve the exact generated workloads. If randomized trials are used, the random seed and generation method should be recorded. Summary statistics should then include both central tendency and variability across trials.</w:t>
      </w:r>
    </w:p>
    <w:p>
      <w:pPr/>
      <w:r>
        <w:t>Finally, scheduler and lock protocol should be varied as separate experimental factors. A factorial design could compare FIFO, RM, and EDF with basic semaphore behavior, priority inheritance, and priority ceiling under the same workload set. This would help determine whether an observed outcome is caused mainly by CPU dispatch order, lock behavior, or their interaction. Such a study would be a stronger basis for design recommendations than a single baseline comparison.</w:t>
      </w:r>
    </w:p>
    <w:p>
      <w:pPr>
        <w:pStyle w:val="Heading1"/>
      </w:pPr>
      <w:r>
        <w:t>5.8. Relevance to operating-system implementation</w:t>
      </w:r>
    </w:p>
    <w:p>
      <w:pPr/>
      <w:r>
        <w:t>A simulation models the logic of a scheduler, but an operating system also has to implement timer interrupts, ready queues, context switching, locking primitives, and wake-up operations. The time spent in those mechanisms can be significant when jobs are short. Since both task sets have high nominal utilization, even modest implementation costs could reduce the margin available for application execution. The current numbers intentionally exclude these costs, so they should not be read as predictions of wall-clock latency on a particular operating system.</w:t>
      </w:r>
    </w:p>
    <w:p>
      <w:pPr/>
      <w:r>
        <w:t>In an implementation, a semaphore wait may involve a system call or kernel transition, a queue operation, and a context switch. Releasing a semaphore may wake a waiter, but the wake-up does not necessarily mean that the waiter runs immediately; it becomes eligible for scheduling according to the operating system's policy. The simulator abstracts these operations into state transitions. An engineering evaluation would need to measure or bound the overhead of each operation and include it in the timing model.</w:t>
      </w:r>
    </w:p>
    <w:p>
      <w:pPr/>
      <w:r>
        <w:t>The exact semantics of a binary semaphore differ across programming environments. Some APIs provide FIFO waiter ordering, while others leave waiter selection unspecified or choose according to thread priority. Some synchronization primitives implement priority inheritance automatically; others do not. A practical report must identify the actual primitive and platform if it intends to generalize from simulation to implementation. In this paper, FIFO ordering of semaphore waiters is a model assumption, not a universal property of every binary semaphore API.</w:t>
      </w:r>
    </w:p>
    <w:p>
      <w:pPr/>
      <w:r>
        <w:t>The experiment is therefore most useful as a controlled conceptual demonstration. It makes the interaction between CPU scheduling and resource access explicit and provides source code that can be modified for additional scenarios. It should not be used as a substitute for platform-specific documentation, performance measurements, or formal analysis where deadline guarantees are required.</w:t>
      </w:r>
    </w:p>
    <w:p>
      <w:pPr>
        <w:pStyle w:val="Heading1"/>
      </w:pPr>
      <w:r>
        <w:t>5.9. Reproducibility, reporting, and research transparency</w:t>
      </w:r>
    </w:p>
    <w:p>
      <w:pPr/>
      <w:r>
        <w:t>Reproducibility requires more than sharing a result table. The task parameters, critical-section rule, scheduling rules, lock queue policy, event ordering, time horizon, metric definitions, and source code should all be available. The accompanying Python file and CSV exports support this goal by allowing readers to inspect both the summary and the underlying job-level data. Figures should be regenerable from the same trace rather than manually redrawn from memory.</w:t>
      </w:r>
    </w:p>
    <w:p>
      <w:pPr/>
      <w:r>
        <w:t>A strong research report distinguishes measured or simulated values from interpretation. The reported averages and deadline-miss counts are direct outputs of the supplied code. Explanations about why FIFO has no semaphore wait in these cases are interpretations of the modeled schedule and should be presented as such. Claims about all periodic task sets, production operating systems, or formal guarantees would require additional evidence beyond these two simulations.</w:t>
      </w:r>
    </w:p>
    <w:p>
      <w:pPr/>
      <w:r>
        <w:t>Version control is valuable when a simulation is refined. A code change that alters event order, queue ordering, or state accounting may change the outputs even if the task set is unchanged. For each final run, preserve the exact source file, the output CSVs, and the generated figures together. If numbers are updated, regenerate all tables in the manuscript from the same run so that no stale value remains in the text or captions.</w:t>
      </w:r>
    </w:p>
    <w:p>
      <w:pPr/>
      <w:r>
        <w:t>The same transparency principle applies to negative results and limitations. If a metric is not independent from another metric, explain the overlap. If the experiment has not been validated against a physical system, state that it is a simulation. If the observation window is finite, avoid claiming an infinite-horizon guarantee. These qualifications do not weaken a carefully scoped study; they make the conclusions more credible and easier to reproduce.</w:t>
      </w:r>
    </w:p>
    <w:p>
      <w:pPr>
        <w:pStyle w:val="Heading1"/>
      </w:pPr>
      <w:r>
        <w:t>Appendix F. Worked metric calculations</w:t>
      </w:r>
    </w:p>
    <w:p>
      <w:pPr/>
      <w:r>
        <w:t>Consider a completed job with release time r, first dispatch time s, completion time f, and CPU execution demand C. Response time is calculated as s − r. Turnaround time is f − r. Under the accounting convention in this paper, waiting time is (f − r) − C. For example, if a job is released at time 2, first dispatched at time 3, completes at time 7, and requires 2 CPU units, its response time is 1, turnaround time is 5, and waiting time is 3. This example illustrates the arithmetic only; it is not an additional observation from the simulation.</w:t>
      </w:r>
    </w:p>
    <w:p>
      <w:pPr/>
      <w:r>
        <w:t>For a job that experiences semaphore waiting, the resource-wait value is the sum of intervals during which the job is unable to acquire the semaphore. If it is blocked from time 4 up to time 6 under a two-unit interval convention, its resource waiting is 2 time units. Since semaphore waiting is the only blocked state in this experiment, its block-time value represents the same interval. In a richer state model, other blocked causes would be counted separately.</w:t>
      </w:r>
    </w:p>
    <w:p>
      <w:pPr/>
      <w:r>
        <w:t>A deadline miss is determined by comparing completion time f with the absolute deadline d. If f is later than d, the job is counted as a miss under the strict comparison used by the code. A job completing exactly at its deadline is not late under that convention. Because deadline-miss counting is a discrete rule, a code review should confirm that the comparison operator matches the intended definition and is applied consistently to every policy.</w:t>
      </w:r>
    </w:p>
    <w:p>
      <w:pPr/>
      <w:r>
        <w:t>When calculating policy averages, sum the per-job values for the jobs included in the experiment and divide by the number of included jobs. The job count should be stated or recoverable from the job-details file. Do not average task-level means unless that is the explicitly intended weighting method, because averaging task means can produce a different result from pooling all jobs.</w:t>
      </w:r>
    </w:p>
    <w:p>
      <w:pPr>
        <w:pStyle w:val="Heading1"/>
      </w:pPr>
      <w:r>
        <w:t>Appendix G. Example validation scenarios</w:t>
      </w:r>
    </w:p>
    <w:p>
      <w:pPr/>
      <w:r>
        <w:t>Scenario 1: one task with one job and no resource conflict. The job should receive exactly its required CPU service and complete without semaphore waiting if it is the only user of the resource. This scenario validates basic execution and completion bookkeeping.</w:t>
      </w:r>
    </w:p>
    <w:p>
      <w:pPr/>
      <w:r>
        <w:t>Scenario 2: two jobs with non-overlapping critical sections. If the first job releases the semaphore before the second requests it, the second should acquire the semaphore without entering the blocked state. This checks that lock release updates the resource state before the next acquisition decision is evaluated.</w:t>
      </w:r>
    </w:p>
    <w:p>
      <w:pPr/>
      <w:r>
        <w:t>Scenario 3: a second job requests the semaphore while the first job holds it. The second job must not execute its protected region until the first releases the lock. The trace should show one owner at a time and a nonzero blocked interval for the waiting job. This scenario validates mutual exclusion and blocked-state accounting.</w:t>
      </w:r>
    </w:p>
    <w:p>
      <w:pPr/>
      <w:r>
        <w:t>Scenario 4: a lock holder is preempted by RM or EDF. The lock should remain held during preemption, and the waiting job should remain blocked until the owner resumes and releases the resource. This is a critical test because incorrectly releasing the lock on preemption would make the simulation violate the intended semaphore semantics.</w:t>
      </w:r>
    </w:p>
    <w:p>
      <w:pPr/>
      <w:r>
        <w:t>Scenario 5: equal scheduling priorities or equal absolute deadlines. The simulator should use a deterministic tie-break so repeated runs produce the same trace. The tie-break rule should be documented and tested explicitly, because an unspecified ordering can cause results to vary across implementations.</w:t>
      </w:r>
    </w:p>
    <w:p>
      <w:pPr/>
      <w:r>
        <w:t>Scenario 6: a job completes exactly at its absolute deadline. The simulator should apply the declared deadline-miss convention consistently. This edge case is especially useful for detecting off-by-one errors in integer-tick models, where the meaning of a completion timestamp can depend on whether intervals are represented as half-open or closed intervals.</w:t>
      </w:r>
    </w:p>
    <w:p>
      <w:pPr>
        <w:pStyle w:val="Heading1"/>
      </w:pPr>
      <w:r>
        <w:t>Appendix H. Glossary of terms</w:t>
      </w:r>
    </w:p>
    <w:p>
      <w:pPr/>
      <w:r>
        <w:t>Absolute deadline: the clock time by which a specific job is required to complete. For a job released at r with relative deadline D, the absolute deadline is r + D.</w:t>
      </w:r>
    </w:p>
    <w:p>
      <w:pPr/>
      <w:r>
        <w:t>Binary semaphore: a synchronization primitive representing an available/unavailable resource state, used here to enforce mutual exclusion for one critical section.</w:t>
      </w:r>
    </w:p>
    <w:p>
      <w:pPr/>
      <w:r>
        <w:t>Blocking: time during which a job cannot proceed because it is waiting for a condition or resource. In this simulation, semaphore waiting is the only blocked state.</w:t>
      </w:r>
    </w:p>
    <w:p>
      <w:pPr/>
      <w:r>
        <w:t>Critical section: the part of a job that accesses a protected resource and therefore requires successful semaphore acquisition before execution.</w:t>
      </w:r>
    </w:p>
    <w:p>
      <w:pPr/>
      <w:r>
        <w:t>EDF: Earliest Deadline First, a dynamic-priority scheduling policy that selects the ready job with the earliest absolute deadline.</w:t>
      </w:r>
    </w:p>
    <w:p>
      <w:pPr/>
      <w:r>
        <w:t>FIFO: First-In-First-Out scheduling, a policy that selects ready jobs in arrival order; in this experiment, CPU execution is non-preemptive unless a job blocks.</w:t>
      </w:r>
    </w:p>
    <w:p>
      <w:pPr/>
      <w:r>
        <w:t>Hyperperiod: the least common multiple of periodic task periods, representing the interval over which synchronous release patterns repeat.</w:t>
      </w:r>
    </w:p>
    <w:p>
      <w:pPr/>
      <w:r>
        <w:t>RM: Rate Monotonic scheduling, a fixed-priority policy that gives higher priority to tasks with shorter periods.</w:t>
      </w:r>
    </w:p>
    <w:p>
      <w:pPr/>
      <w:r>
        <w:t>Response time: the interval from job release to the first time it receives CPU service.</w:t>
      </w:r>
    </w:p>
    <w:p>
      <w:pPr/>
      <w:r>
        <w:t>Turnaround time: the interval from job release to completion.</w:t>
      </w:r>
    </w:p>
    <w:p>
      <w:pPr/>
      <w:r>
        <w:t>Utilization: the sum of execution-time-to-period ratios across periodic tasks, often used as a nominal measure of processor demand.</w:t>
      </w:r>
    </w:p>
    <w:p>
      <w:pPr>
        <w:pStyle w:val="Heading1"/>
      </w:pPr>
      <w:r>
        <w:t>3.9. Queue discipline and its influence on fairness</w:t>
      </w:r>
    </w:p>
    <w:p>
      <w:pPr/>
      <w:r>
        <w:t>Queue discipline determines which waiting job is permitted to acquire a resource after it becomes available. A FIFO semaphore queue is conceptually fair in the sense that earlier requests are considered before later requests, assuming every owner eventually releases the lock and the queue implementation preserves arrival order. This fairness property is distinct from CPU scheduling fairness. A job can be first in the semaphore queue but still wait for CPU time after it becomes ready, particularly under a preemptive priority policy.</w:t>
      </w:r>
    </w:p>
    <w:p>
      <w:pPr/>
      <w:r>
        <w:t>The simulator uses a FIFO wait queue for the semaphore to keep resource handoff deterministic. This is a modeling decision rather than a universal guarantee of binary semaphore implementations. Some systems leave the order of waiting threads unspecified, while others wake the highest-priority waiter. If the semaphore queue were priority ordered, RM and EDF could experience different resource delays even if the CPU scheduler remained unchanged.</w:t>
      </w:r>
    </w:p>
    <w:p>
      <w:pPr/>
      <w:r>
        <w:t>Queue discipline can affect both average delay and the distribution of delay. FIFO handoff can prevent a stream of later requests from overtaking an earlier waiter, but it can also make a short critical section wait behind a long one. Priority-ordered handoff may favor urgent jobs but can produce starvation for low-priority requests in some workloads. A comparative study should state the queue discipline as explicitly as it states the CPU scheduling policy.</w:t>
      </w:r>
    </w:p>
    <w:p>
      <w:pPr>
        <w:pStyle w:val="Heading1"/>
      </w:pPr>
      <w:r>
        <w:t>3.10. Preemption points and critical-section boundaries</w:t>
      </w:r>
    </w:p>
    <w:p>
      <w:pPr/>
      <w:r>
        <w:t>Preemption points are moments at which a running job may be interrupted and another ready job selected. In a discrete-time model, these points occur at integer boundaries. Real operating systems may support finer-grained preemption, but the exact response depends on interrupt latency and kernel critical sections. The current model assumes that RM and EDF can reconsider the running job at the represented boundaries, while FIFO does not preempt solely because a more urgent job arrives.</w:t>
      </w:r>
    </w:p>
    <w:p>
      <w:pPr/>
      <w:r>
        <w:t>The critical section begins when the job successfully acquires the semaphore and ends after the configured critical-section execution requirement has been consumed. If the job is preempted during this interval, the resource remains locked. This preserves mutual exclusion but can extend the wall-clock duration of ownership beyond the CPU execution duration of the critical section. The distinction between CPU time and elapsed lock-hold time is essential when interpreting blocking.</w:t>
      </w:r>
    </w:p>
    <w:p>
      <w:pPr/>
      <w:r>
        <w:t>In some implementations, code is designed to avoid preemption while holding a lock, or the kernel uses special rules to bound preemption. Other systems permit preemption and rely on inheritance or ceiling protocols to manage the resulting priority inversion. The present experiment adopts the latter basic possibility—preemption can occur while the lock is held—but does not implement a protocol to mitigate its consequences. It is therefore best understood as a baseline case.</w:t>
      </w:r>
    </w:p>
    <w:p>
      <w:pPr>
        <w:pStyle w:val="Heading1"/>
      </w:pPr>
      <w:r>
        <w:t>4.9. Understanding the interaction between lock ownership and dispatch</w:t>
      </w:r>
    </w:p>
    <w:p>
      <w:pPr/>
      <w:r>
        <w:t>A scheduler selects among ready jobs, not among all released jobs. If a job is blocked on the semaphore, it is excluded from the ready set even if its deadline is the earliest. This means that the scheduler's ranking can only be applied after the resource-state rules have determined which jobs are eligible to execute. A schedule that ignores this distinction may incorrectly show a job entering a critical section while another job still owns the semaphore.</w:t>
      </w:r>
    </w:p>
    <w:p>
      <w:pPr/>
      <w:r>
        <w:t>When a lock holder completes its critical section, it releases the semaphore and may make a waiting job ready. The scheduler then applies its own rule to the new ready set. Under FIFO, the newly unblocked job may still wait behind an earlier ready job; under RM or EDF, it may preempt the current job if its priority or deadline ranking warrants it. The resource queue and ready queue therefore interact at handoff points without being the same queue.</w:t>
      </w:r>
    </w:p>
    <w:p>
      <w:pPr/>
      <w:r>
        <w:t>This interaction suggests that detailed trace analysis should focus on lock acquisition, lock release, job release, and preemption events. A summary average alone cannot show whether a high resource-wait value arose from one long lock-hold interval or several shorter conflicts. Event logs that record owner, waiter, acquisition time, release time, and dispatch decisions would make these causal pathways easier to audit.</w:t>
      </w:r>
    </w:p>
    <w:p>
      <w:pPr>
        <w:pStyle w:val="Heading1"/>
      </w:pPr>
      <w:r>
        <w:t>5.10. Why utilization alone is insufficient with shared resources</w:t>
      </w:r>
    </w:p>
    <w:p>
      <w:pPr/>
      <w:r>
        <w:t>Nominal utilization sums each task's CPU execution demand divided by its period. It is a useful first check for processor demand, but it does not describe the temporal placement of that demand. Two task sets with equal utilization can have different release coincidences, deadlines, and blocking patterns. Once tasks share a semaphore, a job's progress can depend on the execution of another task that owns the resource, which is not captured by utilization alone.</w:t>
      </w:r>
    </w:p>
    <w:p>
      <w:pPr/>
      <w:r>
        <w:t>A blocking-aware response-time analysis typically includes terms for interference from higher-priority tasks and a blocking term representing lower-priority resource ownership under the selected protocol. The exact formula depends on the scheduling policy and locking protocol. Because the present experiment does not implement a formal priority-ceiling or inheritance protocol, it does not claim a general worst-case blocking bound. The simulation's observed blocking is descriptive evidence for the particular traces only.</w:t>
      </w:r>
    </w:p>
    <w:p>
      <w:pPr/>
      <w:r>
        <w:t>High utilization should also be distinguished from processor demand at every interval. A task set can have utilization below one and still miss a deadline if its jobs cluster unfavorably or if blocking is large. Conversely, an observed finite trace can meet every deadline even when a simple sufficient test is inconclusive. Formal analysis, simulation, and measurement answer related but different questions and are most useful when their assumptions are aligned.</w:t>
      </w:r>
    </w:p>
    <w:p>
      <w:pPr>
        <w:pStyle w:val="Heading1"/>
      </w:pPr>
      <w:r>
        <w:t>5.11. Educational value and appropriate use of the simulator</w:t>
      </w:r>
    </w:p>
    <w:p>
      <w:pPr/>
      <w:r>
        <w:t>A small simulator is valuable because it allows students to observe the consequences of policy choices and synchronization events in a controlled setting. Task parameters can be changed, the code can be inspected, and output traces can be compared without requiring access to a real-time operating system. The model makes concepts such as ready queues, preemption, semaphore ownership, blocking, and deadline misses concrete.</w:t>
      </w:r>
    </w:p>
    <w:p>
      <w:pPr/>
      <w:r>
        <w:t>The educational value depends on keeping the model's boundaries visible. Students should be encouraged to change one parameter at a time, predict the effect, run the simulation, and inspect the trace. If an unexpected result appears, they should identify the relevant release, dispatch, lock, and completion events. This method teaches both scheduling concepts and basic simulation validation.</w:t>
      </w:r>
    </w:p>
    <w:p>
      <w:pPr/>
      <w:r>
        <w:t>The simulator is not a certified schedulability analyzer and does not replace the documentation of a target platform. It should not be used to guarantee safety-critical deadlines without additional modeling, formal analysis, and independent validation. Its appropriate role is as a reproducible baseline for learning and for designing more complete experiments.</w:t>
      </w:r>
    </w:p>
    <w:p>
      <w:pPr>
        <w:pStyle w:val="Heading1"/>
      </w:pPr>
      <w:r>
        <w:t>Appendix I. Reporting template for additional experiments</w:t>
      </w:r>
    </w:p>
    <w:p>
      <w:pPr/>
      <w:r>
        <w:t>For each new experiment, record a unique case identifier, the task tuple for every task, the release offset, the observation horizon, and the total nominal utilization. Specify whether relative deadlines equal periods and whether jobs release synchronously. Include the critical-section length and position for each task, the number of shared resources, and the semaphore wait-queue discipline.</w:t>
      </w:r>
    </w:p>
    <w:p>
      <w:pPr/>
      <w:r>
        <w:t>For each scheduler, state whether it is preemptive, the priority rule, the tie-breaking rule, and the condition that triggers a rescheduling decision. State whether context-switch overhead, scheduler overhead, and lock operation costs are included. These details are necessary to determine whether two runs are meaningfully comparable.</w:t>
      </w:r>
    </w:p>
    <w:p>
      <w:pPr/>
      <w:r>
        <w:t>For each result, report the number of jobs included in the averages, mean and maximum waiting time, mean and maximum turnaround time, response-time statistics, resource-wait statistics, blocked-state breakdown, deadline-miss count, and unfinished-job count. If randomized workloads are used, report the number of trials, random seed policy, and distribution of task parameters. Do not report only a single favorable mean.</w:t>
      </w:r>
    </w:p>
    <w:p>
      <w:pPr>
        <w:pStyle w:val="Heading1"/>
      </w:pPr>
      <w:r>
        <w:t>Appendix J. Questions for a reproducibility review</w:t>
      </w:r>
    </w:p>
    <w:p>
      <w:pPr/>
      <w:r>
        <w:t>Can another reader recreate the task sets and the observation window from the manuscript alone? Can the reader identify the exact critical-section rule and determine when a job requests the semaphore? Are the lock owner and waiting jobs represented explicitly in the implementation? Is it clear whether a preempted lock holder retains the semaphore?</w:t>
      </w:r>
    </w:p>
    <w:p>
      <w:pPr/>
      <w:r>
        <w:t>Can each metric be recomputed from the job-level output? Are response time, turnaround time, waiting time, resource waiting, and block time defined unambiguously? Are overlapping metrics explained? Is the deadline-miss comparison rule stated, including what happens when completion equals the deadline?</w:t>
      </w:r>
    </w:p>
    <w:p>
      <w:pPr/>
      <w:r>
        <w:t>Do the plots and tables derive from the same code run? Does the paper distinguish the numerical observations from proposed explanations? Are limitations presented alongside the conclusions? Have small hand-checkable tests been used to validate the simulator's state transitions?</w:t>
      </w:r>
    </w:p>
    <w:p>
      <w:pPr/>
      <w:r>
        <w:t>A report that answers these questions clearly is easier to review and extend. Reproducibility is not only a matter of publishing source code; it also requires enough methodological detail to understand what the code is intended to model and which conclusions its outputs can support.</w:t>
      </w:r>
    </w:p>
    <w:p>
      <w:pPr>
        <w:pStyle w:val="Heading1"/>
      </w:pPr>
      <w:r>
        <w:t>3.11. Fairness, starvation, and bounded progress</w:t>
      </w:r>
    </w:p>
    <w:p>
      <w:pPr/>
      <w:r>
        <w:t>Fairness concerns whether jobs that remain eligible eventually receive service. FIFO ready-queue ordering often provides an intuitive fairness property because a job cannot be overtaken by jobs that arrive later, although the property depends on how newly unblocked jobs are inserted into the ready queue. Under RM, low-priority tasks can be delayed by repeated releases of higher-priority tasks. Under EDF, a job's relative position changes as new deadlines enter the ready set. These policies optimize different objectives and do not automatically guarantee equal service to all tasks.</w:t>
      </w:r>
    </w:p>
    <w:p>
      <w:pPr/>
      <w:r>
        <w:t>Starvation is distinct from a deadline miss. A job can eventually complete but miss its deadline because it waited too long; starvation usually describes a job that is postponed indefinitely or for an unbounded duration. The finite traces in this paper are too short to establish whether any policy can starve a task under an infinite execution. They can only show the delays and misses that occurred within the measured horizon.</w:t>
      </w:r>
    </w:p>
    <w:p>
      <w:pPr/>
      <w:r>
        <w:t>Bounded progress for semaphore users depends on both the wait-queue rule and the behavior of lock holders. A FIFO resource queue can bound overtaking among waiters if each critical section is finite and every owner releases the lock, but it does not by itself bound the CPU delay experienced by an unblocked job. Under preemptive scheduling, the lock holder may be delayed by other jobs, extending the elapsed time before release. A real-time guarantee therefore requires assumptions about both resource ownership and processor interference.</w:t>
      </w:r>
    </w:p>
    <w:p>
      <w:pPr>
        <w:pStyle w:val="Heading1"/>
      </w:pPr>
      <w:r>
        <w:t>3.12. Deterministic simulation versus stochastic workload evaluation</w:t>
      </w:r>
    </w:p>
    <w:p>
      <w:pPr/>
      <w:r>
        <w:t>The current experiment is deterministic: given the task parameters and event-ordering rules, the same code produces the same trace. Determinism is useful for debugging and for explaining individual scheduling decisions. It also makes it possible to compare output changes after a code modification without the confounding effect of random workload variation. However, deterministic examples do not describe the full range of behaviors possible in a large deployment.</w:t>
      </w:r>
    </w:p>
    <w:p>
      <w:pPr/>
      <w:r>
        <w:t>A stochastic evaluation could generate task sets over specified distributions of periods, execution requirements, and critical-section lengths. Such an experiment would need to define how task sets are accepted, whether utilization is fixed or sampled, how release offsets are selected, and how many trials are performed. The resulting data should include distributions of deadline-miss ratios and response times, not only an average across all jobs. Otherwise, a few easy task sets could dominate the reported mean and conceal difficult cases.</w:t>
      </w:r>
    </w:p>
    <w:p>
      <w:pPr/>
      <w:r>
        <w:t>Randomized testing should complement rather than replace carefully selected corner cases. Very high utilization, equal deadlines, simultaneous releases, long critical sections, and repeated lock conflicts are useful stress scenarios because they target known sources of scheduling difficulty. Each generated case should be retained when a failure occurs so that the trace can be reproduced and minimized into a smaller test.</w:t>
      </w:r>
    </w:p>
    <w:p>
      <w:pPr>
        <w:pStyle w:val="Heading1"/>
      </w:pPr>
      <w:r>
        <w:t>4.10. Interpreting the absence of FIFO resource waiting</w:t>
      </w:r>
    </w:p>
    <w:p>
      <w:pPr/>
      <w:r>
        <w:t>The zero resource-wait values for FIFO in both cases deserve a cautious interpretation. They indicate that, under the implemented task releases, non-preemptive CPU behavior, critical-section placement, and event order, the measured FIFO jobs did not accumulate semaphore waiting in the reported trace. They do not mean that FIFO removes the need for synchronization or that a binary semaphore can never block a FIFO-scheduled job.</w:t>
      </w:r>
    </w:p>
    <w:p>
      <w:pPr/>
      <w:r>
        <w:t>A simple counterexample outside the reported workload would be a job that holds the semaphore while it is executing its critical section and a second job that reaches its own critical section before the first releases the lock. The second job must wait, regardless of whether the CPU policy is FIFO, RM, or EDF. The duration of that wait would depend on how long the owner needs to finish the protected region and whether the owner is permitted to be preempted.</w:t>
      </w:r>
    </w:p>
    <w:p>
      <w:pPr/>
      <w:r>
        <w:t>For this reason, the paper's conclusion is limited to the two simulated cases. If the aim is to study semaphore behavior itself, future tests should deliberately construct a conflict case in which two jobs request the lock while it is held, and should verify the expected wait interval manually. That targeted test would complement the periodic workloads used for the main policy comparison.</w:t>
      </w:r>
    </w:p>
    <w:p>
      <w:pPr>
        <w:pStyle w:val="Heading1"/>
      </w:pPr>
      <w:r>
        <w:t>5.12. Recommendations for improving the implementation</w:t>
      </w:r>
    </w:p>
    <w:p>
      <w:pPr/>
      <w:r>
        <w:t>One improvement is to record a structured event log. Each record could contain simulation time, event type, job identifier, prior state, new state, semaphore owner, and scheduler choice. Such a log would make it easier to trace a surprising average back to a small set of events. It would also support automatic assertions about state transitions and make debugging more systematic than inspecting only the final Gantt chart.</w:t>
      </w:r>
    </w:p>
    <w:p>
      <w:pPr/>
      <w:r>
        <w:t>A second improvement is to represent job state and resource state with explicit data structures and narrowly defined transition functions. For example, acquisition should either assign ownership or enqueue a waiter; release should clear ownership and make the next waiter eligible; dispatch should select only from the ready set. Keeping these operations separate reduces the risk that a blocked job is accidentally treated as ready or that a preempted lock holder incorrectly releases its resource.</w:t>
      </w:r>
    </w:p>
    <w:p>
      <w:pPr/>
      <w:r>
        <w:t>A third improvement is to make metric accounting state-based. Instead of inferring all waiting from turnaround minus execution, the program could accumulate time in ready, running, semaphore-blocked, and other blocked states. The aggregate waiting definition could still be reported for compatibility, but the state ledger would allow the paper to explain exactly how the total was composed. Automated consistency checks should run after every simulation and fail loudly if any invariant is violated.</w:t>
      </w:r>
    </w:p>
    <w:p>
      <w:pPr>
        <w:pStyle w:val="Heading1"/>
      </w:pPr>
      <w:r>
        <w:t>5.13. Additional metrics for a stronger evaluation</w:t>
      </w:r>
    </w:p>
    <w:p>
      <w:pPr/>
      <w:r>
        <w:t>Maximum response time measures the largest interval from release to first dispatch among the observed jobs. It helps identify whether a task was delayed before receiving any CPU service. Maximum turnaround time identifies the slowest completed job from release to completion. These maximum values are often more informative for timing-sensitive systems than the average alone, although they remain observed maxima rather than proven worst-case bounds.</w:t>
      </w:r>
    </w:p>
    <w:p>
      <w:pPr/>
      <w:r>
        <w:t>Deadline-miss ratio divides the number of missed deadlines by the number of jobs whose deadlines are evaluated. Reporting the ratio alongside the raw count allows comparison across task sets with different numbers of jobs. Per-task miss counts are also important because an aggregate count may hide the fact that all misses belong to one task with a particularly short deadline.</w:t>
      </w:r>
    </w:p>
    <w:p>
      <w:pPr/>
      <w:r>
        <w:t>Maximum semaphore waiting and maximum elapsed lock-hold time can distinguish short frequent conflicts from one long conflict. If the model records the lock acquisition and release timestamps, it can calculate both the CPU service consumed inside the critical section and the wall-clock time for which the resource remained locked. This distinction is especially relevant when preemption is permitted while holding the semaphore.</w:t>
      </w:r>
    </w:p>
    <w:p>
      <w:pPr/>
      <w:r>
        <w:t>Finally, a useful evaluation can report the distribution of idle intervals and the number of context switches. Context switches are not represented as a cost in the current simulation, but their count can still be measured as a proxy for implementation activity. A future model could then assign a cost to each switch and rerun the experiment to estimate whether the ranking changes when scheduler overhead is included.</w:t>
      </w:r>
    </w:p>
    <w:p>
      <w:pPr>
        <w:pStyle w:val="Heading1"/>
      </w:pPr>
      <w:r>
        <w:t>Appendix K. Sample structure of a reproducible result record</w:t>
      </w:r>
    </w:p>
    <w:p>
      <w:pPr/>
      <w:r>
        <w:t>A complete record for one run should identify the experiment name, source-code revision, date of execution, Python version, task set, policy, critical-section rule, semaphore queue discipline, preemption rule, and simulation horizon. It should include the number of released, completed, unfinished, and deadline-missed jobs. This metadata prevents a table from becoming detached from the assumptions that produced it.</w:t>
      </w:r>
    </w:p>
    <w:p>
      <w:pPr/>
      <w:r>
        <w:t>Each job-level record should include a stable job identifier, task name, job index, release time, relative and absolute deadline, execution requirement, first dispatch, completion time, CPU execution consumed, resource-wait duration, blocked-state duration, and deadline-miss indicator. If a job does not complete in the observation window, its completion field should be represented explicitly as unfinished rather than silently omitted.</w:t>
      </w:r>
    </w:p>
    <w:p>
      <w:pPr/>
      <w:r>
        <w:t>Each event-level record should identify the timestamp and event type, including release, dispatch, preemption, lock request, lock acquisition, lock release, unblock, completion, and idle transition. Such event records make it possible to reconstruct the Gantt chart and verify that the job-level summary agrees with the actual simulated history. They also provide a useful basis for independent implementation checks.</w:t>
      </w:r>
    </w:p>
    <w:p>
      <w:pPr>
        <w:pStyle w:val="Heading1"/>
      </w:pPr>
      <w:r>
        <w:t>6. Conclusion</w:t>
      </w:r>
    </w:p>
    <w:p>
      <w:r>
        <w:t>A binary semaphore can protect a shared resource under FIFO, RM, and EDF, but the semaphore protocol interacts with the scheduler. The provided simulation and Gantt charts allow the same task sets to be compared under consistent assumptions. The results are illustrative rather than universal: adding priority inheritance, changing critical-section lengths, or introducing I/O blocking may change the ranking of the algorithms.</w:t>
      </w:r>
    </w:p>
    <w:p>
      <w:pPr>
        <w:pStyle w:val="Heading1"/>
      </w:pPr>
      <w:r>
        <w:t>Appendix A. How to run the code</w:t>
      </w:r>
    </w:p>
    <w:p>
      <w:r>
        <w:t>Install Python 3.10 or later. Run: python fifo_semaphore_comparison.py. The script writes semaphore_summary.csv, semaphore_job_details.csv, and semaphore_gantt.csv in the current directory and prints the summary to the terminal.</w:t>
      </w:r>
    </w:p>
    <w:p>
      <w:pPr>
        <w:pStyle w:val="Heading1"/>
      </w:pPr>
      <w:r>
        <w:t>Appendix B. Reproducibility and code</w:t>
      </w:r>
    </w:p>
    <w:p>
      <w:r>
        <w:t>The full source code is supplied as a separate .py file rather than embedded in the paper so it can be run and edited directly.</w:t>
      </w:r>
    </w:p>
    <w:p>
      <w:pPr>
        <w:pStyle w:val="Heading1"/>
      </w:pPr>
      <w:r>
        <w:t>Appendix C. Reading the generated CSV files</w:t>
      </w:r>
    </w:p>
    <w:p>
      <w:pPr/>
      <w:r>
        <w:t>The summary CSV contains one row per task set and scheduling policy. It is the most direct source for reproducing the averages in Table 1. Column names should be interpreted according to the definitions in Section 3.5, and all timing values use the simulation's time units. A change to the simulator's accounting rules may require a corresponding change to column descriptions and the paper's metric definitions.</w:t>
      </w:r>
    </w:p>
    <w:p>
      <w:pPr/>
      <w:r>
        <w:t>The job-details CSV contains a row for each job included in the observation horizon. It should be used to investigate individual deadline misses and outliers. When reading a row, identify the task name and job index, then compare release time, first dispatch, absolute deadline, and completion time. A job's response time and turnaround time can be recomputed from those timestamps as a basic audit of the output.</w:t>
      </w:r>
    </w:p>
    <w:p>
      <w:pPr/>
      <w:r>
        <w:t>The Gantt CSV contains the compressed processor intervals. Adjacent intervals are combined when the same label continues, making the file easier to read and plot. It can be used to reconstruct the schedule or create alternative visualizations. If a job is semaphore-blocked, it may not appear as a running interval; the job-details output is needed to see its blocked duration.</w:t>
      </w:r>
    </w:p>
    <w:p>
      <w:pPr>
        <w:pStyle w:val="Heading1"/>
      </w:pPr>
      <w:r>
        <w:t>Appendix D. Suggested experiment checklist</w:t>
      </w:r>
    </w:p>
    <w:p>
      <w:pPr/>
      <w:r>
        <w:t>Before running the experiment, confirm that all task parameters use the intended units and that each task's relative deadline is equal to its period for these two cases. Confirm that the critical-section rule is min(2, C) and that the semaphore is requested immediately before that section. Verify that the three policies are configured with the intended preemption behavior and that the same task sets are used for every policy.</w:t>
      </w:r>
    </w:p>
    <w:p>
      <w:pPr/>
      <w:r>
        <w:t>After the run, check that the summary CSV contains the expected six combinations: Case A under FIFO, RM, and EDF, and Case B under FIFO, RM, and EDF. Recompute at least one average from the job-level file. Check the Gantt intervals for negative or overlapping execution intervals, and confirm that a job never executes simultaneously with another job on the single processor. Inspect all deadline misses individually rather than relying only on the aggregate count.</w:t>
      </w:r>
    </w:p>
    <w:p>
      <w:pPr/>
      <w:r>
        <w:t>When preparing a report, state whether the figures represent observed trace averages or formal bounds. Include the task parameters, hyperperiod, utilization, critical-section assumption, preemption policy, and limitations. Do not describe the two workload cases as a universal benchmark. If the source code is modified, regenerate all CSV files and figures and update the paper's reported numbers from the new output.</w:t>
      </w:r>
    </w:p>
    <w:p>
      <w:pPr>
        <w:pStyle w:val="Heading1"/>
      </w:pPr>
      <w:r>
        <w:t>Appendix E. Interpreting results without overgeneralization</w:t>
      </w:r>
    </w:p>
    <w:p>
      <w:pPr/>
      <w:r>
        <w:t>A fair comparison needs a clear distinction between observation and explanation. The observation is that the included simulation reports lower average waiting and turnaround for FIFO in both selected cases and no FIFO deadline misses within those traces. An explanation is that the non-preemptive behavior and these particular release patterns may reduce lock-holder preemption and resource queueing. The explanation is plausible under the model, but the data from two cases do not prove it for other task sets.</w:t>
      </w:r>
    </w:p>
    <w:p>
      <w:pPr/>
      <w:r>
        <w:t>A second distinction is between simulation outcomes and theoretical guarantees. The results describe a finite set of jobs over each selected horizon. A schedulability guarantee normally addresses all jobs under a specified set of assumptions and execution bounds. The absence of a deadline miss in one finite simulation is evidence about that trace, not a proof that a task set will always meet deadlines under every legal release pattern.</w:t>
      </w:r>
    </w:p>
    <w:p>
      <w:pPr/>
      <w:r>
        <w:t>A third distinction is between scheduler policy and synchronization policy. FIFO, RM, and EDF determine which ready job is selected, while the semaphore controls access to the protected region. A result attributed to a scheduler can be mediated by the lock-holder state and the semaphore wait queue. A future experiment should vary these dimensions separately so that causal interpretation is stronger.</w:t>
      </w:r>
    </w:p>
    <w:p>
      <w:pPr>
        <w:pStyle w:val="Heading1"/>
      </w:pPr>
      <w:r>
        <w:t>References</w:t>
      </w:r>
    </w:p>
    <w:p>
      <w:r>
        <w:t>[1] C. L. Liu and J. W. Layland, “Scheduling Algorithms for Multiprogramming in a Hard-Real-Time Environment,” Journal of the ACM, vol. 20, no. 1, pp. 46–61, 1973.</w:t>
      </w:r>
    </w:p>
    <w:p>
      <w:r>
        <w:t>[2] A. Silberschatz, P. B. Galvin, and G. Gagne, Operating System Concepts, 10th ed., Wiley, 2018.</w:t>
      </w:r>
    </w:p>
    <w:p>
      <w:r>
        <w:t>[3] J. W. S. Liu, Real-Time Systems, Prentice Hall, 2000.</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Semaphore-Based FIFO Scheduling and Comparison with RM and EDF</dc:title>
  <dc:subject>Expanded simulation study of real-time CPU scheduling and binary semaphore blocking</dc:subject>
  <dc:creator>Erfan Barati</dc:creator>
  <cp:keywords>FIFO, semaphore, Rate Monotonic, EDF, real-time scheduling, blocking</cp:keywords>
  <dc:description>generated by python-docx</dc:description>
  <cp:lastModifiedBy/>
  <cp:revision>1</cp:revision>
  <dcterms:created xsi:type="dcterms:W3CDTF">2013-12-23T23:15:00Z</dcterms:created>
  <dcterms:modified xsi:type="dcterms:W3CDTF">2013-12-23T23:15:00Z</dcterms:modified>
  <cp:category/>
</cp:coreProperties>
</file>