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jc w:val="center"/>
        <w:tblLayout w:type="autofit"/>
        <w:tblLook w:firstColumn="1" w:firstRow="1" w:lastColumn="0" w:lastRow="0" w:noHBand="0" w:noVBand="1" w:val="04A0"/>
      </w:tblPr>
      <w:tblGrid>
        <w:gridCol w:w="5040"/>
        <w:gridCol w:w="5040"/>
      </w:tblGrid>
      <w:tr>
        <w:tc>
          <w:tcPr>
            <w:tcW w:type="dxa" w:w="5040"/>
          </w:tcPr>
          <w:p>
            <w:pPr>
              <w:spacing w:after="0"/>
              <w:jc w:val="left"/>
            </w:pPr>
            <w:r>
              <w:drawing>
                <wp:inline xmlns:a="http://schemas.openxmlformats.org/drawingml/2006/main" xmlns:pic="http://schemas.openxmlformats.org/drawingml/2006/picture">
                  <wp:extent cx="1554480" cy="561860"/>
                  <wp:docPr id="1" name="Picture 1"/>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1554480" cy="561860"/>
                          </a:xfrm>
                          <a:prstGeom prst="rect"/>
                        </pic:spPr>
                      </pic:pic>
                    </a:graphicData>
                  </a:graphic>
                </wp:inline>
              </w:drawing>
            </w:r>
          </w:p>
        </w:tc>
        <w:tc>
          <w:tcPr>
            <w:tcW w:type="dxa" w:w="5040"/>
          </w:tcPr>
          <w:p>
            <w:pPr>
              <w:spacing w:after="0"/>
              <w:jc w:val="right"/>
            </w:pPr>
            <w:r>
              <w:drawing>
                <wp:inline xmlns:a="http://schemas.openxmlformats.org/drawingml/2006/main" xmlns:pic="http://schemas.openxmlformats.org/drawingml/2006/picture">
                  <wp:extent cx="1097280" cy="194957"/>
                  <wp:docPr id="2" name="Picture 2"/>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1097280" cy="194957"/>
                          </a:xfrm>
                          <a:prstGeom prst="rect"/>
                        </pic:spPr>
                      </pic:pic>
                    </a:graphicData>
                  </a:graphic>
                </wp:inline>
              </w:drawing>
            </w:r>
          </w:p>
        </w:tc>
      </w:tr>
    </w:tbl>
    <w:p/>
    <w:p/>
    <w:p>
      <w:pPr>
        <w:jc w:val="left"/>
      </w:pPr>
      <w:r>
        <w:rPr>
          <w:rFonts w:ascii="Aptos" w:hAnsi="Aptos"/>
          <w:color w:val="002D72"/>
          <w:sz w:val="68"/>
        </w:rPr>
        <w:t>Access Review</w:t>
        <w:br/>
        <w:t>User Guide</w:t>
      </w:r>
    </w:p>
    <w:p>
      <w:r>
        <w:rPr>
          <w:rFonts w:ascii="Aptos" w:hAnsi="Aptos"/>
          <w:color w:val="00A9E0"/>
          <w:sz w:val="30"/>
        </w:rPr>
        <w:t>Client Application Access Attestation - BPO Operations</w:t>
      </w:r>
    </w:p>
    <w:p>
      <w:r>
        <w:rPr>
          <w:rFonts w:ascii="Aptos" w:hAnsi="Aptos"/>
          <w:color w:val="1F2A44"/>
          <w:sz w:val="20"/>
        </w:rPr>
        <w:t>Tuesday, June 9, 2026</w:t>
      </w:r>
    </w:p>
    <w:p/>
    <w:p>
      <w:pPr>
        <w:jc w:val="center"/>
      </w:pPr>
      <w:r>
        <w:drawing>
          <wp:inline xmlns:a="http://schemas.openxmlformats.org/drawingml/2006/main" xmlns:pic="http://schemas.openxmlformats.org/drawingml/2006/picture">
            <wp:extent cx="5943600" cy="3343275"/>
            <wp:docPr id="3" name="Picture 3"/>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943600" cy="3343275"/>
                    </a:xfrm>
                    <a:prstGeom prst="rect"/>
                  </pic:spPr>
                </pic:pic>
              </a:graphicData>
            </a:graphic>
          </wp:inline>
        </w:drawing>
      </w:r>
    </w:p>
    <w:p>
      <w:pPr>
        <w:sectPr>
          <w:headerReference w:type="first" r:id="rId15"/>
          <w:footerReference w:type="first" r:id="rId16"/>
          <w:headerReference w:type="default" r:id="rId19"/>
          <w:footerReference w:type="default" r:id="rId20"/>
          <w:pgSz w:w="12240" w:h="15840"/>
          <w:pgMar w:top="936" w:right="1080" w:bottom="792" w:left="1080" w:header="360" w:footer="259" w:gutter="0"/>
          <w:pgNumType w:start="1"/>
          <w:cols w:space="720"/>
          <w:docGrid w:linePitch="360"/>
        </w:sectPr>
      </w:pPr>
    </w:p>
    <w:p>
      <w:pPr>
        <w:pStyle w:val="Heading1"/>
      </w:pPr>
      <w:r>
        <w:t>Table of contents</w:t>
      </w:r>
    </w:p>
    <w:p>
      <w:pPr>
        <w:ind w:left="0"/>
      </w:pPr>
      <w:r>
        <w:rPr>
          <w:rFonts w:ascii="Aptos" w:hAnsi="Aptos"/>
          <w:color w:val="1F2A44"/>
          <w:sz w:val="20"/>
        </w:rPr>
        <w:t>1 Introduction</w:t>
      </w:r>
      <w:r>
        <w:tab/>
        <w:t>2</w:t>
      </w:r>
    </w:p>
    <w:p>
      <w:pPr>
        <w:ind w:left="288"/>
      </w:pPr>
      <w:r>
        <w:rPr>
          <w:rFonts w:ascii="Aptos" w:hAnsi="Aptos"/>
          <w:color w:val="1F2A44"/>
          <w:sz w:val="20"/>
        </w:rPr>
        <w:t>1.1 Key concepts at a glance</w:t>
      </w:r>
      <w:r>
        <w:tab/>
        <w:t>2</w:t>
      </w:r>
    </w:p>
    <w:p>
      <w:pPr>
        <w:ind w:left="288"/>
      </w:pPr>
      <w:r>
        <w:rPr>
          <w:rFonts w:ascii="Aptos" w:hAnsi="Aptos"/>
          <w:color w:val="1F2A44"/>
          <w:sz w:val="20"/>
        </w:rPr>
        <w:t>1.2 Who does what</w:t>
      </w:r>
      <w:r>
        <w:tab/>
        <w:t>2</w:t>
      </w:r>
    </w:p>
    <w:p>
      <w:pPr>
        <w:ind w:left="0"/>
      </w:pPr>
      <w:r>
        <w:rPr>
          <w:rFonts w:ascii="Aptos" w:hAnsi="Aptos"/>
          <w:color w:val="1F2A44"/>
          <w:sz w:val="20"/>
        </w:rPr>
        <w:t>2 Getting started</w:t>
      </w:r>
      <w:r>
        <w:tab/>
        <w:t>3</w:t>
      </w:r>
    </w:p>
    <w:p>
      <w:pPr>
        <w:ind w:left="288"/>
      </w:pPr>
      <w:r>
        <w:rPr>
          <w:rFonts w:ascii="Aptos" w:hAnsi="Aptos"/>
          <w:color w:val="1F2A44"/>
          <w:sz w:val="20"/>
        </w:rPr>
        <w:t>2.1 Opening the application</w:t>
      </w:r>
      <w:r>
        <w:tab/>
        <w:t>3</w:t>
      </w:r>
    </w:p>
    <w:p>
      <w:pPr>
        <w:ind w:left="288"/>
      </w:pPr>
      <w:r>
        <w:rPr>
          <w:rFonts w:ascii="Aptos" w:hAnsi="Aptos"/>
          <w:color w:val="1F2A44"/>
          <w:sz w:val="20"/>
        </w:rPr>
        <w:t>2.2 Signing in</w:t>
      </w:r>
      <w:r>
        <w:tab/>
        <w:t>3</w:t>
      </w:r>
    </w:p>
    <w:p>
      <w:pPr>
        <w:ind w:left="288"/>
      </w:pPr>
      <w:r>
        <w:rPr>
          <w:rFonts w:ascii="Aptos" w:hAnsi="Aptos"/>
          <w:color w:val="1F2A44"/>
          <w:sz w:val="20"/>
        </w:rPr>
        <w:t>2.3 The top bar and navigation</w:t>
      </w:r>
      <w:r>
        <w:tab/>
        <w:t>3</w:t>
      </w:r>
    </w:p>
    <w:p>
      <w:pPr>
        <w:ind w:left="288"/>
      </w:pPr>
      <w:r>
        <w:rPr>
          <w:rFonts w:ascii="Aptos" w:hAnsi="Aptos"/>
          <w:color w:val="1F2A44"/>
          <w:sz w:val="20"/>
        </w:rPr>
        <w:t>2.4 Switching between your views</w:t>
      </w:r>
      <w:r>
        <w:tab/>
        <w:t>4</w:t>
      </w:r>
    </w:p>
    <w:p>
      <w:pPr>
        <w:ind w:left="0"/>
      </w:pPr>
      <w:r>
        <w:rPr>
          <w:rFonts w:ascii="Aptos" w:hAnsi="Aptos"/>
          <w:color w:val="1F2A44"/>
          <w:sz w:val="20"/>
        </w:rPr>
        <w:t>3 Associate view - attesting your own access</w:t>
      </w:r>
      <w:r>
        <w:tab/>
        <w:t>4</w:t>
      </w:r>
    </w:p>
    <w:p>
      <w:pPr>
        <w:ind w:left="288"/>
      </w:pPr>
      <w:r>
        <w:rPr>
          <w:rFonts w:ascii="Aptos" w:hAnsi="Aptos"/>
          <w:color w:val="1F2A44"/>
          <w:sz w:val="20"/>
        </w:rPr>
        <w:t>3.1 Your dashboard</w:t>
      </w:r>
      <w:r>
        <w:tab/>
        <w:t>5</w:t>
      </w:r>
    </w:p>
    <w:p>
      <w:pPr>
        <w:ind w:left="288"/>
      </w:pPr>
      <w:r>
        <w:rPr>
          <w:rFonts w:ascii="Aptos" w:hAnsi="Aptos"/>
          <w:color w:val="1F2A44"/>
          <w:sz w:val="20"/>
        </w:rPr>
        <w:t>3.2 Reading the attestation table</w:t>
      </w:r>
      <w:r>
        <w:tab/>
        <w:t>5</w:t>
      </w:r>
    </w:p>
    <w:p>
      <w:pPr>
        <w:ind w:left="288"/>
      </w:pPr>
      <w:r>
        <w:rPr>
          <w:rFonts w:ascii="Aptos" w:hAnsi="Aptos"/>
          <w:color w:val="1F2A44"/>
          <w:sz w:val="20"/>
        </w:rPr>
        <w:t>3.3 Attesting a tool - step by step</w:t>
      </w:r>
      <w:r>
        <w:tab/>
        <w:t>6</w:t>
      </w:r>
    </w:p>
    <w:p>
      <w:pPr>
        <w:ind w:left="288"/>
      </w:pPr>
      <w:r>
        <w:rPr>
          <w:rFonts w:ascii="Aptos" w:hAnsi="Aptos"/>
          <w:color w:val="1F2A44"/>
          <w:sz w:val="20"/>
        </w:rPr>
        <w:t>3.4 Reporting a tool you should not have (a dispute)</w:t>
      </w:r>
      <w:r>
        <w:tab/>
        <w:t>6</w:t>
      </w:r>
    </w:p>
    <w:p>
      <w:pPr>
        <w:ind w:left="288"/>
      </w:pPr>
      <w:r>
        <w:rPr>
          <w:rFonts w:ascii="Aptos" w:hAnsi="Aptos"/>
          <w:color w:val="1F2A44"/>
          <w:sz w:val="20"/>
        </w:rPr>
        <w:t>3.5 Submitting your attestation</w:t>
      </w:r>
      <w:r>
        <w:tab/>
        <w:t>7</w:t>
      </w:r>
    </w:p>
    <w:p>
      <w:pPr>
        <w:ind w:left="288"/>
      </w:pPr>
      <w:r>
        <w:rPr>
          <w:rFonts w:ascii="Aptos" w:hAnsi="Aptos"/>
          <w:color w:val="1F2A44"/>
          <w:sz w:val="20"/>
        </w:rPr>
        <w:t>3.6 Dark mode</w:t>
      </w:r>
      <w:r>
        <w:tab/>
        <w:t>7</w:t>
      </w:r>
    </w:p>
    <w:p>
      <w:pPr>
        <w:ind w:left="0"/>
      </w:pPr>
      <w:r>
        <w:rPr>
          <w:rFonts w:ascii="Aptos" w:hAnsi="Aptos"/>
          <w:color w:val="1F2A44"/>
          <w:sz w:val="20"/>
        </w:rPr>
        <w:t>4 Manager view - tracking your team</w:t>
      </w:r>
      <w:r>
        <w:tab/>
        <w:t>8</w:t>
      </w:r>
    </w:p>
    <w:p>
      <w:pPr>
        <w:ind w:left="288"/>
      </w:pPr>
      <w:r>
        <w:rPr>
          <w:rFonts w:ascii="Aptos" w:hAnsi="Aptos"/>
          <w:color w:val="1F2A44"/>
          <w:sz w:val="20"/>
        </w:rPr>
        <w:t>4.1 Team overview</w:t>
      </w:r>
      <w:r>
        <w:tab/>
        <w:t>8</w:t>
      </w:r>
    </w:p>
    <w:p>
      <w:pPr>
        <w:ind w:left="288"/>
      </w:pPr>
      <w:r>
        <w:rPr>
          <w:rFonts w:ascii="Aptos" w:hAnsi="Aptos"/>
          <w:color w:val="1F2A44"/>
          <w:sz w:val="20"/>
        </w:rPr>
        <w:t>4.2 Inspecting a team member</w:t>
      </w:r>
      <w:r>
        <w:tab/>
        <w:t>9</w:t>
      </w:r>
    </w:p>
    <w:p>
      <w:pPr>
        <w:ind w:left="288"/>
      </w:pPr>
      <w:r>
        <w:rPr>
          <w:rFonts w:ascii="Aptos" w:hAnsi="Aptos"/>
          <w:color w:val="1F2A44"/>
          <w:sz w:val="20"/>
        </w:rPr>
        <w:t>4.3 Reopening a submitted attestation</w:t>
      </w:r>
      <w:r>
        <w:tab/>
        <w:t>10</w:t>
      </w:r>
    </w:p>
    <w:p>
      <w:pPr>
        <w:ind w:left="288"/>
      </w:pPr>
      <w:r>
        <w:rPr>
          <w:rFonts w:ascii="Aptos" w:hAnsi="Aptos"/>
          <w:color w:val="1F2A44"/>
          <w:sz w:val="20"/>
        </w:rPr>
        <w:t>4.4 Exporting disputes</w:t>
      </w:r>
      <w:r>
        <w:tab/>
        <w:t>10</w:t>
      </w:r>
    </w:p>
    <w:p>
      <w:pPr>
        <w:ind w:left="0"/>
      </w:pPr>
      <w:r>
        <w:rPr>
          <w:rFonts w:ascii="Aptos" w:hAnsi="Aptos"/>
          <w:color w:val="1F2A44"/>
          <w:sz w:val="20"/>
        </w:rPr>
        <w:t>5 Access management - granting and revoking</w:t>
      </w:r>
      <w:r>
        <w:tab/>
        <w:t>10</w:t>
      </w:r>
    </w:p>
    <w:p>
      <w:pPr>
        <w:ind w:left="288"/>
      </w:pPr>
      <w:r>
        <w:rPr>
          <w:rFonts w:ascii="Aptos" w:hAnsi="Aptos"/>
          <w:color w:val="1F2A44"/>
          <w:sz w:val="20"/>
        </w:rPr>
        <w:t>5.1 Granting new access</w:t>
      </w:r>
      <w:r>
        <w:tab/>
        <w:t>11</w:t>
      </w:r>
    </w:p>
    <w:p>
      <w:pPr>
        <w:ind w:left="288"/>
      </w:pPr>
      <w:r>
        <w:rPr>
          <w:rFonts w:ascii="Aptos" w:hAnsi="Aptos"/>
          <w:color w:val="1F2A44"/>
          <w:sz w:val="20"/>
        </w:rPr>
        <w:t>5.2 Managing existing access</w:t>
      </w:r>
      <w:r>
        <w:tab/>
        <w:t>12</w:t>
      </w:r>
    </w:p>
    <w:p>
      <w:pPr>
        <w:ind w:left="0"/>
      </w:pPr>
      <w:r>
        <w:rPr>
          <w:rFonts w:ascii="Aptos" w:hAnsi="Aptos"/>
          <w:color w:val="1F2A44"/>
          <w:sz w:val="20"/>
        </w:rPr>
        <w:t>6 Oversight dashboards - Admin, GFH, GFH Delegate, IFH</w:t>
      </w:r>
      <w:r>
        <w:tab/>
        <w:t>12</w:t>
      </w:r>
    </w:p>
    <w:p>
      <w:pPr>
        <w:ind w:left="288"/>
      </w:pPr>
      <w:r>
        <w:rPr>
          <w:rFonts w:ascii="Aptos" w:hAnsi="Aptos"/>
          <w:color w:val="1F2A44"/>
          <w:sz w:val="20"/>
        </w:rPr>
        <w:t>6.1 Dashboard anatomy</w:t>
      </w:r>
      <w:r>
        <w:tab/>
        <w:t>12</w:t>
      </w:r>
    </w:p>
    <w:p>
      <w:pPr>
        <w:ind w:left="288"/>
      </w:pPr>
      <w:r>
        <w:rPr>
          <w:rFonts w:ascii="Aptos" w:hAnsi="Aptos"/>
          <w:color w:val="1F2A44"/>
          <w:sz w:val="20"/>
        </w:rPr>
        <w:t>6.2 How the four oversight roles differ</w:t>
      </w:r>
      <w:r>
        <w:tab/>
        <w:t>13</w:t>
      </w:r>
    </w:p>
    <w:p>
      <w:pPr>
        <w:ind w:left="576"/>
      </w:pPr>
      <w:r>
        <w:rPr>
          <w:rFonts w:ascii="Aptos" w:hAnsi="Aptos"/>
          <w:color w:val="1F2A44"/>
          <w:sz w:val="20"/>
        </w:rPr>
        <w:t>6.2.1 GFH view (scoped, with setup rights)</w:t>
      </w:r>
      <w:r>
        <w:tab/>
        <w:t>13</w:t>
      </w:r>
    </w:p>
    <w:p>
      <w:pPr>
        <w:ind w:left="576"/>
      </w:pPr>
      <w:r>
        <w:rPr>
          <w:rFonts w:ascii="Aptos" w:hAnsi="Aptos"/>
          <w:color w:val="1F2A44"/>
          <w:sz w:val="20"/>
        </w:rPr>
        <w:t>6.2.2 GFH Delegate view (organisation-wide)</w:t>
      </w:r>
      <w:r>
        <w:tab/>
        <w:t>14</w:t>
      </w:r>
    </w:p>
    <w:p>
      <w:pPr>
        <w:ind w:left="576"/>
      </w:pPr>
      <w:r>
        <w:rPr>
          <w:rFonts w:ascii="Aptos" w:hAnsi="Aptos"/>
          <w:color w:val="1F2A44"/>
          <w:sz w:val="20"/>
        </w:rPr>
        <w:t>6.2.3 IFH view (scoped, view-only)</w:t>
      </w:r>
      <w:r>
        <w:tab/>
        <w:t>15</w:t>
      </w:r>
    </w:p>
    <w:p>
      <w:pPr>
        <w:ind w:left="288"/>
      </w:pPr>
      <w:r>
        <w:rPr>
          <w:rFonts w:ascii="Aptos" w:hAnsi="Aptos"/>
          <w:color w:val="1F2A44"/>
          <w:sz w:val="20"/>
        </w:rPr>
        <w:t>6.3 Drilling into a department</w:t>
      </w:r>
      <w:r>
        <w:tab/>
        <w:t>16</w:t>
      </w:r>
    </w:p>
    <w:p>
      <w:pPr>
        <w:ind w:left="288"/>
      </w:pPr>
      <w:r>
        <w:rPr>
          <w:rFonts w:ascii="Aptos" w:hAnsi="Aptos"/>
          <w:color w:val="1F2A44"/>
          <w:sz w:val="20"/>
        </w:rPr>
        <w:t>6.4 Notifications</w:t>
      </w:r>
      <w:r>
        <w:tab/>
        <w:t>17</w:t>
      </w:r>
    </w:p>
    <w:p>
      <w:pPr>
        <w:ind w:left="288"/>
      </w:pPr>
      <w:r>
        <w:rPr>
          <w:rFonts w:ascii="Aptos" w:hAnsi="Aptos"/>
          <w:color w:val="1F2A44"/>
          <w:sz w:val="20"/>
        </w:rPr>
        <w:t>6.5 Adding clients and tools (Admin / GFH / GFH Delegate)</w:t>
      </w:r>
      <w:r>
        <w:tab/>
        <w:t>18</w:t>
      </w:r>
    </w:p>
    <w:p>
      <w:pPr>
        <w:ind w:left="0"/>
      </w:pPr>
      <w:r>
        <w:rPr>
          <w:rFonts w:ascii="Aptos" w:hAnsi="Aptos"/>
          <w:color w:val="1F2A44"/>
          <w:sz w:val="20"/>
        </w:rPr>
        <w:t>7 User directory (Administrators)</w:t>
      </w:r>
      <w:r>
        <w:tab/>
        <w:t>18</w:t>
      </w:r>
    </w:p>
    <w:p>
      <w:pPr>
        <w:ind w:left="288"/>
      </w:pPr>
      <w:r>
        <w:rPr>
          <w:rFonts w:ascii="Aptos" w:hAnsi="Aptos"/>
          <w:color w:val="1F2A44"/>
          <w:sz w:val="20"/>
        </w:rPr>
        <w:t>7.1 Editing a user</w:t>
      </w:r>
      <w:r>
        <w:tab/>
        <w:t>19</w:t>
      </w:r>
    </w:p>
    <w:p>
      <w:pPr>
        <w:ind w:left="0"/>
      </w:pPr>
      <w:r>
        <w:rPr>
          <w:rFonts w:ascii="Aptos" w:hAnsi="Aptos"/>
          <w:color w:val="1F2A44"/>
          <w:sz w:val="20"/>
        </w:rPr>
        <w:t>8 Reference</w:t>
      </w:r>
      <w:r>
        <w:tab/>
        <w:t>20</w:t>
      </w:r>
    </w:p>
    <w:p>
      <w:pPr>
        <w:ind w:left="288"/>
      </w:pPr>
      <w:r>
        <w:rPr>
          <w:rFonts w:ascii="Aptos" w:hAnsi="Aptos"/>
          <w:color w:val="1F2A44"/>
          <w:sz w:val="20"/>
        </w:rPr>
        <w:t>8.1 Completion status thresholds</w:t>
      </w:r>
      <w:r>
        <w:tab/>
        <w:t>20</w:t>
      </w:r>
    </w:p>
    <w:p>
      <w:pPr>
        <w:ind w:left="288"/>
      </w:pPr>
      <w:r>
        <w:rPr>
          <w:rFonts w:ascii="Aptos" w:hAnsi="Aptos"/>
          <w:color w:val="1F2A44"/>
          <w:sz w:val="20"/>
        </w:rPr>
        <w:t>8.2 Role &amp; permission matrix</w:t>
      </w:r>
      <w:r>
        <w:tab/>
        <w:t>20</w:t>
      </w:r>
    </w:p>
    <w:p>
      <w:pPr>
        <w:ind w:left="288"/>
      </w:pPr>
      <w:r>
        <w:rPr>
          <w:rFonts w:ascii="Aptos" w:hAnsi="Aptos"/>
          <w:color w:val="1F2A44"/>
          <w:sz w:val="20"/>
        </w:rPr>
        <w:t>8.3 Glossary</w:t>
      </w:r>
      <w:r>
        <w:tab/>
        <w:t>20</w:t>
      </w:r>
    </w:p>
    <w:p>
      <w:pPr>
        <w:ind w:left="288"/>
      </w:pPr>
      <w:r>
        <w:rPr>
          <w:rFonts w:ascii="Aptos" w:hAnsi="Aptos"/>
          <w:color w:val="1F2A44"/>
          <w:sz w:val="20"/>
        </w:rPr>
        <w:t>8.4 Troubleshooting &amp; FAQ</w:t>
      </w:r>
      <w:r>
        <w:tab/>
        <w:t>21</w:t>
      </w:r>
    </w:p>
    <w:p>
      <w:r>
        <w:br w:type="page"/>
      </w:r>
    </w:p>
    <w:p>
      <w:pPr>
        <w:pStyle w:val="Heading1"/>
      </w:pPr>
      <w:r>
        <w:rPr>
          <w:rFonts w:ascii="Aptos" w:hAnsi="Aptos"/>
          <w:b w:val="0"/>
          <w:i w:val="0"/>
        </w:rPr>
        <w:t>1 Introduction</w:t>
      </w:r>
    </w:p>
    <w:p>
      <w:pPr/>
      <w:r>
        <w:rPr>
          <w:rFonts w:ascii="Aptos" w:hAnsi="Aptos"/>
          <w:b w:val="0"/>
          <w:i w:val="0"/>
        </w:rPr>
        <w:t>Access Review is Broadridge BPO’s web application for tool-access attestation. Periodically (each review cycle), every associate is asked to confirm which client applications and tools they still have access to, and which of those they actually used during the cycle. Managers track their team’s progress, reconcile any access disputes, and adjust who can use which tool. Oversight roles (GFH, GFH Delegate, IFH, and Admin) monitor completion across departments and export the exceptions that need follow-up. The result is an auditable record, each cycle, that access granted matches access needed — a core control for client data protection and regulatory compliance.</w:t>
      </w:r>
    </w:p>
    <w:p>
      <w:pPr>
        <w:pStyle w:val="Heading2"/>
      </w:pPr>
      <w:r>
        <w:rPr>
          <w:rFonts w:ascii="Aptos" w:hAnsi="Aptos"/>
          <w:b w:val="0"/>
          <w:i w:val="0"/>
        </w:rPr>
        <w:t>1.1 Key concepts at a glance</w:t>
      </w:r>
    </w:p>
    <w:p>
      <w:pPr/>
      <w:r>
        <w:rPr>
          <w:rFonts w:ascii="Aptos" w:hAnsi="Aptos"/>
          <w:b w:val="0"/>
          <w:i w:val="0"/>
        </w:rPr>
        <w:t>Cycle A defined attestation period with a start date, end date, and due date (for example, Q1 2026 Attestation, due 16 June 2026). The application always opens on the current cycle; you can switch cycles from the cycle picker. Client An external client whose applications your team supports (e.g. Barclays, Marex, Natixis). Client IDs are stored as text to preserve leading zeros. Tool A specific application or service used for a client (e.g. Trade Capture, Risk Engine, Compli- ance Portal). Attestation Your confirmation, per tool, of (a) whether you still have access and (b) whether you used it this cycle. Dispute A tool you flag as No access — you are telling the business that the system shows access you do not actually have (or no longer need). Disputes are surfaced to your manager and to oversight for reconciliation.</w:t>
      </w:r>
    </w:p>
    <w:p>
      <w:pPr>
        <w:pStyle w:val="Heading2"/>
      </w:pPr>
      <w:r>
        <w:rPr>
          <w:rFonts w:ascii="Aptos" w:hAnsi="Aptos"/>
          <w:b w:val="0"/>
          <w:i w:val="0"/>
        </w:rPr>
        <w:t>1.2 Who does what</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002D72"/>
          </w:tcPr>
          <w:p>
            <w:r/>
            <w:r>
              <w:rPr>
                <w:rFonts w:ascii="Aptos" w:hAnsi="Aptos"/>
                <w:b/>
                <w:color w:val="FFFFFF"/>
                <w:sz w:val="19"/>
              </w:rPr>
              <w:t>Role</w:t>
            </w:r>
          </w:p>
        </w:tc>
        <w:tc>
          <w:tcPr>
            <w:tcW w:type="dxa" w:w="5040"/>
            <w:vAlign w:val="center"/>
            <w:shd w:fill="002D72"/>
          </w:tcPr>
          <w:p>
            <w:r/>
            <w:r>
              <w:rPr>
                <w:rFonts w:ascii="Aptos" w:hAnsi="Aptos"/>
                <w:b/>
                <w:color w:val="FFFFFF"/>
                <w:sz w:val="19"/>
              </w:rPr>
              <w:t>Primary task in Access Review</w:t>
            </w:r>
          </w:p>
        </w:tc>
      </w:tr>
      <w:tr>
        <w:tc>
          <w:tcPr>
            <w:tcW w:type="dxa" w:w="5040"/>
            <w:vAlign w:val="center"/>
            <w:shd w:fill="F2F4F7"/>
          </w:tcPr>
          <w:p>
            <w:r/>
            <w:r>
              <w:rPr>
                <w:rFonts w:ascii="Aptos" w:hAnsi="Aptos"/>
                <w:b/>
                <w:color w:val="1F2A44"/>
                <w:sz w:val="19"/>
              </w:rPr>
              <w:t>Associate</w:t>
            </w:r>
          </w:p>
        </w:tc>
        <w:tc>
          <w:tcPr>
            <w:tcW w:type="dxa" w:w="5040"/>
            <w:vAlign w:val="center"/>
            <w:shd w:fill="F2F4F7"/>
          </w:tcPr>
          <w:p>
            <w:r/>
            <w:r>
              <w:rPr>
                <w:rFonts w:ascii="Aptos" w:hAnsi="Aptos"/>
                <w:b w:val="0"/>
                <w:color w:val="1F2A44"/>
                <w:sz w:val="19"/>
              </w:rPr>
              <w:t>Attest your own tools each cycle (used / not used / no access) and submit.</w:t>
            </w:r>
          </w:p>
        </w:tc>
      </w:tr>
      <w:tr>
        <w:tc>
          <w:tcPr>
            <w:tcW w:type="dxa" w:w="5040"/>
            <w:vAlign w:val="center"/>
          </w:tcPr>
          <w:p>
            <w:r/>
            <w:r>
              <w:rPr>
                <w:rFonts w:ascii="Aptos" w:hAnsi="Aptos"/>
                <w:b/>
                <w:color w:val="1F2A44"/>
                <w:sz w:val="19"/>
              </w:rPr>
              <w:t>Manager</w:t>
            </w:r>
          </w:p>
        </w:tc>
        <w:tc>
          <w:tcPr>
            <w:tcW w:type="dxa" w:w="5040"/>
            <w:vAlign w:val="center"/>
          </w:tcPr>
          <w:p>
            <w:r/>
            <w:r>
              <w:rPr>
                <w:rFonts w:ascii="Aptos" w:hAnsi="Aptos"/>
                <w:b w:val="0"/>
                <w:color w:val="1F2A44"/>
                <w:sz w:val="19"/>
              </w:rPr>
              <w:t>Track direct reports completion; reconcile disputes; grant, time-box, or revoke access.</w:t>
            </w:r>
          </w:p>
        </w:tc>
      </w:tr>
      <w:tr>
        <w:tc>
          <w:tcPr>
            <w:tcW w:type="dxa" w:w="5040"/>
            <w:vAlign w:val="center"/>
            <w:shd w:fill="F2F4F7"/>
          </w:tcPr>
          <w:p>
            <w:r/>
            <w:r>
              <w:rPr>
                <w:rFonts w:ascii="Aptos" w:hAnsi="Aptos"/>
                <w:b/>
                <w:color w:val="1F2A44"/>
                <w:sz w:val="19"/>
              </w:rPr>
              <w:t>GFH (Global Functional Head)</w:t>
            </w:r>
          </w:p>
        </w:tc>
        <w:tc>
          <w:tcPr>
            <w:tcW w:type="dxa" w:w="5040"/>
            <w:vAlign w:val="center"/>
            <w:shd w:fill="F2F4F7"/>
          </w:tcPr>
          <w:p>
            <w:r/>
            <w:r>
              <w:rPr>
                <w:rFonts w:ascii="Aptos" w:hAnsi="Aptos"/>
                <w:b w:val="0"/>
                <w:color w:val="1F2A44"/>
                <w:sz w:val="19"/>
              </w:rPr>
              <w:t>Monitor completion for the departments you head; add clients/tools.</w:t>
            </w:r>
          </w:p>
        </w:tc>
      </w:tr>
      <w:tr>
        <w:tc>
          <w:tcPr>
            <w:tcW w:type="dxa" w:w="5040"/>
            <w:vAlign w:val="center"/>
          </w:tcPr>
          <w:p>
            <w:r/>
            <w:r>
              <w:rPr>
                <w:rFonts w:ascii="Aptos" w:hAnsi="Aptos"/>
                <w:b/>
                <w:color w:val="1F2A44"/>
                <w:sz w:val="19"/>
              </w:rPr>
              <w:t>GFH Delegate</w:t>
            </w:r>
          </w:p>
        </w:tc>
        <w:tc>
          <w:tcPr>
            <w:tcW w:type="dxa" w:w="5040"/>
            <w:vAlign w:val="center"/>
          </w:tcPr>
          <w:p>
            <w:r/>
            <w:r>
              <w:rPr>
                <w:rFonts w:ascii="Aptos" w:hAnsi="Aptos"/>
                <w:b w:val="0"/>
                <w:color w:val="1F2A44"/>
                <w:sz w:val="19"/>
              </w:rPr>
              <w:t>Same organisation-wide visibility as an administrator, minus user administration.</w:t>
            </w:r>
          </w:p>
        </w:tc>
      </w:tr>
      <w:tr>
        <w:tc>
          <w:tcPr>
            <w:tcW w:type="dxa" w:w="5040"/>
            <w:vAlign w:val="center"/>
            <w:shd w:fill="F2F4F7"/>
          </w:tcPr>
          <w:p>
            <w:r/>
            <w:r>
              <w:rPr>
                <w:rFonts w:ascii="Aptos" w:hAnsi="Aptos"/>
                <w:b/>
                <w:color w:val="1F2A44"/>
                <w:sz w:val="19"/>
              </w:rPr>
              <w:t>IFH (In-Country Functional Head)</w:t>
            </w:r>
          </w:p>
        </w:tc>
        <w:tc>
          <w:tcPr>
            <w:tcW w:type="dxa" w:w="5040"/>
            <w:vAlign w:val="center"/>
            <w:shd w:fill="F2F4F7"/>
          </w:tcPr>
          <w:p>
            <w:r/>
            <w:r>
              <w:rPr>
                <w:rFonts w:ascii="Aptos" w:hAnsi="Aptos"/>
                <w:b w:val="0"/>
                <w:color w:val="1F2A44"/>
                <w:sz w:val="19"/>
              </w:rPr>
              <w:t>Monitor completion for your departments - view only.</w:t>
            </w:r>
          </w:p>
        </w:tc>
      </w:tr>
      <w:tr>
        <w:tc>
          <w:tcPr>
            <w:tcW w:type="dxa" w:w="5040"/>
            <w:vAlign w:val="center"/>
          </w:tcPr>
          <w:p>
            <w:r/>
            <w:r>
              <w:rPr>
                <w:rFonts w:ascii="Aptos" w:hAnsi="Aptos"/>
                <w:b/>
                <w:color w:val="1F2A44"/>
                <w:sz w:val="19"/>
              </w:rPr>
              <w:t>Admin</w:t>
            </w:r>
          </w:p>
        </w:tc>
        <w:tc>
          <w:tcPr>
            <w:tcW w:type="dxa" w:w="5040"/>
            <w:vAlign w:val="center"/>
          </w:tcPr>
          <w:p>
            <w:r/>
            <w:r>
              <w:rPr>
                <w:rFonts w:ascii="Aptos" w:hAnsi="Aptos"/>
                <w:b w:val="0"/>
                <w:color w:val="1F2A44"/>
                <w:sz w:val="19"/>
              </w:rPr>
              <w:t>Organisation-wide oversight, client/tool setup, and the user directory.</w:t>
            </w:r>
          </w:p>
        </w:tc>
      </w:tr>
    </w:tbl>
    <w:p/>
    <w:p>
      <w:pPr/>
      <w:r>
        <w:rPr>
          <w:rFonts w:ascii="Aptos" w:hAnsi="Aptos"/>
          <w:b w:val="0"/>
          <w:i w:val="0"/>
        </w:rPr>
        <w:t>Associate Attest your own tools each cycle (used / not used / no access) and submit.</w:t>
      </w:r>
    </w:p>
    <w:p>
      <w:pPr/>
      <w:r>
        <w:rPr>
          <w:rFonts w:ascii="Aptos" w:hAnsi="Aptos"/>
          <w:b w:val="0"/>
          <w:i w:val="0"/>
        </w:rPr>
        <w:t>Manager Track direct reports’ completion; reconcile disputes; grant, time-box, or revoke access.</w:t>
      </w:r>
    </w:p>
    <w:p>
      <w:pPr/>
      <w:r>
        <w:rPr>
          <w:rFonts w:ascii="Aptos" w:hAnsi="Aptos"/>
          <w:b w:val="0"/>
          <w:i w:val="0"/>
        </w:rPr>
        <w:t>GFH (Global Functional Head) Monitor completion for the department(s) you head; add clients/tools.</w:t>
      </w:r>
    </w:p>
    <w:p>
      <w:pPr/>
      <w:r>
        <w:rPr>
          <w:rFonts w:ascii="Aptos" w:hAnsi="Aptos"/>
          <w:b w:val="0"/>
          <w:i w:val="0"/>
        </w:rPr>
        <w:t>GFH Delegate Same organisation-wide visibility as an administrator (minus user administration).</w:t>
      </w:r>
    </w:p>
    <w:p>
      <w:pPr/>
      <w:r>
        <w:rPr>
          <w:rFonts w:ascii="Aptos" w:hAnsi="Aptos"/>
          <w:b w:val="0"/>
          <w:i w:val="0"/>
        </w:rPr>
        <w:t>IFH (In-Country Functional Head) Monitor completion for your department(s) — view only.</w:t>
      </w:r>
    </w:p>
    <w:p>
      <w:pPr/>
      <w:r>
        <w:rPr>
          <w:rFonts w:ascii="Aptos" w:hAnsi="Aptos"/>
          <w:b w:val="0"/>
          <w:i w:val="0"/>
        </w:rPr>
        <w:t>Admin Organisation-wide oversight, client/tool setup, and the user directory.</w:t>
      </w:r>
    </w:p>
    <w:p>
      <w:pPr/>
      <w:r>
        <w:rPr>
          <w:rFonts w:ascii="Aptos" w:hAnsi="Aptos"/>
          <w:b w:val="0"/>
          <w:i w:val="0"/>
        </w:rPr>
        <w:t>Roles are additive. A person can be an associate and a manager and an oversight role at the same time. The view you land on is your highest role, and you can switch between the views Accessyou areReviewentitled· User toGuide(see Section 2.3). 2 GETTING STARTED</w:t>
      </w:r>
    </w:p>
    <w:p>
      <w:pPr>
        <w:pStyle w:val="Heading1"/>
      </w:pPr>
      <w:r>
        <w:rPr>
          <w:rFonts w:ascii="Aptos" w:hAnsi="Aptos"/>
          <w:b w:val="0"/>
          <w:i w:val="0"/>
        </w:rPr>
        <w:t>2 Getting started</w:t>
      </w:r>
    </w:p>
    <w:p>
      <w:pPr>
        <w:pStyle w:val="Heading2"/>
      </w:pPr>
      <w:r>
        <w:rPr>
          <w:rFonts w:ascii="Aptos" w:hAnsi="Aptos"/>
          <w:b w:val="0"/>
          <w:i w:val="0"/>
        </w:rPr>
        <w:t>2.1 Opening the application</w:t>
      </w:r>
    </w:p>
    <w:p>
      <w:pPr/>
      <w:r>
        <w:rPr>
          <w:rFonts w:ascii="Aptos" w:hAnsi="Aptos"/>
          <w:b w:val="0"/>
          <w:i w:val="0"/>
        </w:rPr>
        <w:t>Open a web browser (Microsoft Edge or Google Chrome are recommended) and go to:</w:t>
      </w:r>
    </w:p>
    <w:p>
      <w:pPr/>
      <w:r>
        <w:rPr>
          <w:rFonts w:ascii="Aptos" w:hAnsi="Aptos"/>
          <w:b w:val="0"/>
          <w:i w:val="0"/>
        </w:rPr>
        <w:t>http://10.17.69.188/ClientAppAttestation/</w:t>
      </w:r>
    </w:p>
    <w:p>
      <w:pPr/>
      <w:r>
        <w:rPr>
          <w:rFonts w:ascii="Aptos" w:hAnsi="Aptos"/>
          <w:b w:val="0"/>
          <w:i w:val="0"/>
        </w:rPr>
        <w:t>Bookmark this address. The trailing slash matters — always open the URL exactly as shown.</w:t>
      </w:r>
    </w:p>
    <w:p>
      <w:pPr>
        <w:pStyle w:val="Heading2"/>
      </w:pPr>
      <w:r>
        <w:rPr>
          <w:rFonts w:ascii="Aptos" w:hAnsi="Aptos"/>
          <w:b w:val="0"/>
          <w:i w:val="0"/>
        </w:rPr>
        <w:t>2.2 Signing in</w:t>
      </w:r>
    </w:p>
    <w:p>
      <w:pPr/>
      <w:r>
        <w:rPr>
          <w:rFonts w:ascii="Aptos" w:hAnsi="Aptos"/>
          <w:b w:val="0"/>
          <w:i w:val="0"/>
        </w:rPr>
        <w:t>Access Review uses your Windows / company sign-in automatically. In normal use you will not see a login form — the application recognises your Windows account and takes you straight to your dashboard. If your identity cannot be verified (for example, you are not yet registered in the system, or you opened the site from an unsupported network), you will see the sign-in card in Figure</w:t>
      </w:r>
    </w:p>
    <w:p>
      <w:pPr>
        <w:pStyle w:val="ListNumber"/>
      </w:pPr>
      <w:r>
        <w:rPr>
          <w:rFonts w:ascii="Aptos" w:hAnsi="Aptos"/>
          <w:sz w:val="20"/>
        </w:rPr>
        <w:t>Click Try again; if it still fails, contact the dashboard administrator to confirm your account is set up.</w:t>
      </w:r>
    </w:p>
    <w:p>
      <w:pPr>
        <w:jc w:val="center"/>
      </w:pPr>
      <w:r>
        <w:drawing>
          <wp:inline xmlns:a="http://schemas.openxmlformats.org/drawingml/2006/main" xmlns:pic="http://schemas.openxmlformats.org/drawingml/2006/picture">
            <wp:extent cx="5394960" cy="3726119"/>
            <wp:docPr id="4" name="Picture 4"/>
            <wp:cNvGraphicFramePr>
              <a:graphicFrameLocks noChangeAspect="1"/>
            </wp:cNvGraphicFramePr>
            <a:graphic>
              <a:graphicData uri="http://schemas.openxmlformats.org/drawingml/2006/picture">
                <pic:pic>
                  <pic:nvPicPr>
                    <pic:cNvPr id="0" name="page04_img1.jpg"/>
                    <pic:cNvPicPr/>
                  </pic:nvPicPr>
                  <pic:blipFill>
                    <a:blip r:embed="rId26"/>
                    <a:stretch>
                      <a:fillRect/>
                    </a:stretch>
                  </pic:blipFill>
                  <pic:spPr>
                    <a:xfrm>
                      <a:off x="0" y="0"/>
                      <a:ext cx="5394960" cy="3726119"/>
                    </a:xfrm>
                    <a:prstGeom prst="rect"/>
                  </pic:spPr>
                </pic:pic>
              </a:graphicData>
            </a:graphic>
          </wp:inline>
        </w:drawing>
      </w:r>
    </w:p>
    <w:p>
      <w:pPr>
        <w:jc w:val="center"/>
      </w:pPr>
      <w:r>
        <w:rPr>
          <w:rFonts w:ascii="Aptos" w:hAnsi="Aptos"/>
          <w:b w:val="0"/>
          <w:i/>
          <w:color w:val="002D72"/>
          <w:sz w:val="17"/>
        </w:rPr>
        <w:t>Figure 1 – The sign-in card. You normally bypass this automatically via Windows single sign-on; it only appears when your account could not be verified.</w:t>
      </w:r>
    </w:p>
    <w:p>
      <w:pPr>
        <w:pStyle w:val="Heading3"/>
      </w:pPr>
      <w:r>
        <w:rPr>
          <w:rFonts w:ascii="Aptos" w:hAnsi="Aptos"/>
          <w:b/>
          <w:i w:val="0"/>
          <w:color w:val="00A9E0"/>
        </w:rPr>
        <w:t>IMPORTANT</w:t>
      </w:r>
    </w:p>
    <w:p>
      <w:pPr/>
      <w:r>
        <w:rPr>
          <w:rFonts w:ascii="Aptos" w:hAnsi="Aptos"/>
          <w:b w:val="0"/>
          <w:i w:val="0"/>
        </w:rPr>
        <w:t>“We could not verify your sign-in” almost always means your Windows account is not yet mapped to a user record in Access Review, or your browser did not pass your Windows credentials. Try the site in Edge/Chrome on the corporate network first, then raise it with the administrator.</w:t>
      </w:r>
    </w:p>
    <w:p>
      <w:pPr>
        <w:pStyle w:val="Heading2"/>
      </w:pPr>
      <w:r>
        <w:rPr>
          <w:rFonts w:ascii="Aptos" w:hAnsi="Aptos"/>
          <w:b w:val="0"/>
          <w:i w:val="0"/>
        </w:rPr>
        <w:t>2.3 The top bar and navigation</w:t>
      </w:r>
    </w:p>
    <w:p>
      <w:pPr/>
      <w:r>
        <w:rPr>
          <w:rFonts w:ascii="Aptos" w:hAnsi="Aptos"/>
          <w:b w:val="0"/>
          <w:i w:val="0"/>
        </w:rPr>
        <w:t>Every screen shares a top bar (Figure 2). From left to right it contains:</w:t>
      </w:r>
    </w:p>
    <w:p>
      <w:pPr>
        <w:pStyle w:val="ListBullet"/>
      </w:pPr>
      <w:r>
        <w:rPr>
          <w:rFonts w:ascii="Aptos" w:hAnsi="Aptos"/>
          <w:sz w:val="20"/>
        </w:rPr>
        <w:t>the Broadridge / Access Review brand mark;</w:t>
      </w:r>
    </w:p>
    <w:p>
      <w:pPr>
        <w:pStyle w:val="ListBullet"/>
      </w:pPr>
      <w:r>
        <w:rPr>
          <w:rFonts w:ascii="Aptos" w:hAnsi="Aptos"/>
          <w:sz w:val="20"/>
        </w:rPr>
        <w:t>the Cycle picker — shows the current cycle, its due date, and days remaining; click it to switch to a past or future cycle;</w:t>
      </w:r>
    </w:p>
    <w:p>
      <w:pPr>
        <w:pStyle w:val="ListBullet"/>
      </w:pPr>
      <w:r>
        <w:rPr>
          <w:rFonts w:ascii="Aptos" w:hAnsi="Aptos"/>
          <w:sz w:val="20"/>
        </w:rPr>
        <w:t>the view tabs (only shown if you have more than the associate role) — Associate view, Manager view, Access, and, for administrators, Admin Dashboard and Users;</w:t>
      </w:r>
    </w:p>
    <w:p>
      <w:pPr>
        <w:pStyle w:val="ListBullet"/>
      </w:pPr>
      <w:r>
        <w:rPr>
          <w:rFonts w:ascii="Aptos" w:hAnsi="Aptos"/>
          <w:sz w:val="20"/>
        </w:rPr>
        <w:t>a Search box (filters the current screen);</w:t>
      </w:r>
    </w:p>
    <w:p>
      <w:pPr>
        <w:pStyle w:val="ListBullet"/>
      </w:pPr>
      <w:r>
        <w:rPr>
          <w:rFonts w:ascii="Aptos" w:hAnsi="Aptos"/>
          <w:sz w:val="20"/>
        </w:rPr>
        <w:t>a Theme toggle (light / dark — see Section 3.6);</w:t>
      </w:r>
    </w:p>
    <w:p>
      <w:pPr>
        <w:pStyle w:val="ListBullet"/>
      </w:pPr>
      <w:r>
        <w:rPr>
          <w:rFonts w:ascii="Aptos" w:hAnsi="Aptos"/>
          <w:sz w:val="20"/>
        </w:rPr>
        <w:t>your Profile menu (name, ID, and Sign out).</w:t>
      </w:r>
    </w:p>
    <w:p>
      <w:pPr>
        <w:jc w:val="center"/>
      </w:pPr>
      <w:r>
        <w:drawing>
          <wp:inline xmlns:a="http://schemas.openxmlformats.org/drawingml/2006/main" xmlns:pic="http://schemas.openxmlformats.org/drawingml/2006/picture">
            <wp:extent cx="5394960" cy="3424001"/>
            <wp:docPr id="5" name="Picture 5"/>
            <wp:cNvGraphicFramePr>
              <a:graphicFrameLocks noChangeAspect="1"/>
            </wp:cNvGraphicFramePr>
            <a:graphic>
              <a:graphicData uri="http://schemas.openxmlformats.org/drawingml/2006/picture">
                <pic:pic>
                  <pic:nvPicPr>
                    <pic:cNvPr id="0" name="page05_img1.jpg"/>
                    <pic:cNvPicPr/>
                  </pic:nvPicPr>
                  <pic:blipFill>
                    <a:blip r:embed="rId27"/>
                    <a:stretch>
                      <a:fillRect/>
                    </a:stretch>
                  </pic:blipFill>
                  <pic:spPr>
                    <a:xfrm>
                      <a:off x="0" y="0"/>
                      <a:ext cx="5394960" cy="3424001"/>
                    </a:xfrm>
                    <a:prstGeom prst="rect"/>
                  </pic:spPr>
                </pic:pic>
              </a:graphicData>
            </a:graphic>
          </wp:inline>
        </w:drawing>
      </w:r>
    </w:p>
    <w:p>
      <w:pPr>
        <w:jc w:val="center"/>
      </w:pPr>
      <w:r>
        <w:rPr>
          <w:rFonts w:ascii="Aptos" w:hAnsi="Aptos"/>
          <w:b w:val="0"/>
          <w:i/>
          <w:color w:val="002D72"/>
          <w:sz w:val="17"/>
        </w:rPr>
        <w:t>Figure 2 – The cycle picker open. Each cycle shows its date range and how many days remain until the due date; a tick marks the cycle you are currently viewing.</w:t>
      </w:r>
    </w:p>
    <w:p>
      <w:pPr>
        <w:pStyle w:val="Heading3"/>
      </w:pPr>
      <w:r>
        <w:rPr>
          <w:rFonts w:ascii="Aptos" w:hAnsi="Aptos"/>
          <w:b/>
          <w:i w:val="0"/>
          <w:color w:val="00A9E0"/>
        </w:rPr>
        <w:t>TIP</w:t>
      </w:r>
    </w:p>
    <w:p>
      <w:pPr/>
      <w:r>
        <w:rPr>
          <w:rFonts w:ascii="Aptos" w:hAnsi="Aptos"/>
          <w:b w:val="0"/>
          <w:i w:val="0"/>
        </w:rPr>
        <w:t>Switching cycles changes everything on the screen to that cycle’s data. If your numbers look unexpected, check which cycle is selected in the picker first.</w:t>
      </w:r>
    </w:p>
    <w:p>
      <w:pPr>
        <w:pStyle w:val="Heading2"/>
      </w:pPr>
      <w:r>
        <w:rPr>
          <w:rFonts w:ascii="Aptos" w:hAnsi="Aptos"/>
          <w:b w:val="0"/>
          <w:i w:val="0"/>
        </w:rPr>
        <w:t>2.4 Switching between your views</w:t>
      </w:r>
    </w:p>
    <w:p>
      <w:pPr/>
      <w:r>
        <w:rPr>
          <w:rFonts w:ascii="Aptos" w:hAnsi="Aptos"/>
          <w:b w:val="0"/>
          <w:i w:val="0"/>
        </w:rPr>
        <w:t>If you hold more than one role, use the view tabs in the top bar (or, on the oversight dashboard, the Associate View / Team View links in the left sidebar) to move between: the Associate view (your own attestations), the Manager view (your team), the Access screen (granting/revoking), the Admin Dashboard (oversight), and the Users directory (administrators only).</w:t>
      </w:r>
    </w:p>
    <w:p>
      <w:pPr>
        <w:pStyle w:val="Heading1"/>
      </w:pPr>
      <w:r>
        <w:rPr>
          <w:rFonts w:ascii="Aptos" w:hAnsi="Aptos"/>
          <w:b w:val="0"/>
          <w:i w:val="0"/>
        </w:rPr>
        <w:t>3 Associate view — attesting your own access</w:t>
      </w:r>
    </w:p>
    <w:p>
      <w:pPr/>
      <w:r>
        <w:rPr>
          <w:rFonts w:ascii="Aptos" w:hAnsi="Aptos"/>
          <w:b w:val="0"/>
          <w:i w:val="0"/>
        </w:rPr>
        <w:t>This is the part of Access Review that every user completes each cycle.</w:t>
      </w:r>
    </w:p>
    <w:p>
      <w:pPr>
        <w:pStyle w:val="Heading2"/>
      </w:pPr>
      <w:r>
        <w:rPr>
          <w:rFonts w:ascii="Aptos" w:hAnsi="Aptos"/>
          <w:b w:val="0"/>
          <w:i w:val="0"/>
        </w:rPr>
        <w:t>3.1 Your dashboard</w:t>
      </w:r>
    </w:p>
    <w:p>
      <w:pPr/>
      <w:r>
        <w:rPr>
          <w:rFonts w:ascii="Aptos" w:hAnsi="Aptos"/>
          <w:b w:val="0"/>
          <w:i w:val="0"/>
        </w:rPr>
        <w:t>On opening, the associate dashboard (Figure 3) greets you and summarises the cycle:</w:t>
      </w:r>
    </w:p>
    <w:p>
      <w:pPr>
        <w:pStyle w:val="ListBullet"/>
      </w:pPr>
      <w:r>
        <w:rPr>
          <w:rFonts w:ascii="Aptos" w:hAnsi="Aptos"/>
          <w:sz w:val="20"/>
        </w:rPr>
        <w:t>Headline — how many tools you still have left to attest before the due date.</w:t>
      </w:r>
    </w:p>
    <w:p>
      <w:pPr>
        <w:pStyle w:val="ListBullet"/>
      </w:pPr>
      <w:r>
        <w:rPr>
          <w:rFonts w:ascii="Aptos" w:hAnsi="Aptos"/>
          <w:sz w:val="20"/>
        </w:rPr>
        <w:t>KPI tiles — Attested, Remaining, Clients, and Days left.</w:t>
      </w:r>
    </w:p>
    <w:p>
      <w:pPr>
        <w:pStyle w:val="ListBullet"/>
      </w:pPr>
      <w:r>
        <w:rPr>
          <w:rFonts w:ascii="Aptos" w:hAnsi="Aptos"/>
          <w:sz w:val="20"/>
        </w:rPr>
        <w:t>Cycle progress card — your overall completion (e.g. “4 / 5, 80%”) with the Submit attestation button.</w:t>
      </w:r>
    </w:p>
    <w:p>
      <w:pPr>
        <w:pStyle w:val="ListBullet"/>
      </w:pPr>
      <w:r>
        <w:rPr>
          <w:rFonts w:ascii="Aptos" w:hAnsi="Aptos"/>
          <w:sz w:val="20"/>
        </w:rPr>
        <w:t>Client cards — one expandable card per client you have access to, each showing the tool count and how many are still pending.</w:t>
      </w:r>
    </w:p>
    <w:p>
      <w:pPr>
        <w:jc w:val="center"/>
      </w:pPr>
      <w:r>
        <w:drawing>
          <wp:inline xmlns:a="http://schemas.openxmlformats.org/drawingml/2006/main" xmlns:pic="http://schemas.openxmlformats.org/drawingml/2006/picture">
            <wp:extent cx="5394960" cy="3424001"/>
            <wp:docPr id="6" name="Picture 6"/>
            <wp:cNvGraphicFramePr>
              <a:graphicFrameLocks noChangeAspect="1"/>
            </wp:cNvGraphicFramePr>
            <a:graphic>
              <a:graphicData uri="http://schemas.openxmlformats.org/drawingml/2006/picture">
                <pic:pic>
                  <pic:nvPicPr>
                    <pic:cNvPr id="0" name="page06_img1.jpg"/>
                    <pic:cNvPicPr/>
                  </pic:nvPicPr>
                  <pic:blipFill>
                    <a:blip r:embed="rId28"/>
                    <a:stretch>
                      <a:fillRect/>
                    </a:stretch>
                  </pic:blipFill>
                  <pic:spPr>
                    <a:xfrm>
                      <a:off x="0" y="0"/>
                      <a:ext cx="5394960" cy="3424001"/>
                    </a:xfrm>
                    <a:prstGeom prst="rect"/>
                  </pic:spPr>
                </pic:pic>
              </a:graphicData>
            </a:graphic>
          </wp:inline>
        </w:drawing>
      </w:r>
    </w:p>
    <w:p>
      <w:pPr>
        <w:jc w:val="center"/>
      </w:pPr>
      <w:r>
        <w:rPr>
          <w:rFonts w:ascii="Aptos" w:hAnsi="Aptos"/>
          <w:b w:val="0"/>
          <w:i/>
          <w:color w:val="002D72"/>
          <w:sz w:val="17"/>
        </w:rPr>
        <w:t>Figure 3 – The associate dashboard. The amber row is a tool still awaiting an answer; the last client shows one tool marked Not used and one flagged as a No access dispute (with a remark).</w:t>
      </w:r>
    </w:p>
    <w:p>
      <w:pPr>
        <w:pStyle w:val="Heading2"/>
      </w:pPr>
      <w:r>
        <w:rPr>
          <w:rFonts w:ascii="Aptos" w:hAnsi="Aptos"/>
          <w:b w:val="0"/>
          <w:i w:val="0"/>
        </w:rPr>
        <w:t>3.2 Reading the attestation table</w:t>
      </w:r>
    </w:p>
    <w:p>
      <w:pPr/>
      <w:r>
        <w:rPr>
          <w:rFonts w:ascii="Aptos" w:hAnsi="Aptos"/>
          <w:b w:val="0"/>
          <w:i w:val="0"/>
        </w:rPr>
        <w:t>Click a client card to expand it. Each tool is one row with four columns (Figure 4):</w:t>
      </w:r>
    </w:p>
    <w:p>
      <w:pPr/>
      <w:r>
        <w:rPr>
          <w:rFonts w:ascii="Aptos" w:hAnsi="Aptos"/>
          <w:b w:val="0"/>
          <w:i w:val="0"/>
        </w:rPr>
        <w:t>Tool The application name. Confirm Access True = “yes, I do have access to this tool”. False = “no, I do not have (or no longer need) this access” — this raises a dispute. Did you use? Used or Not used this cycle. This is disabled if you set Confirm Access to False (you cannot have “used” a tool you say you cannot access). Remark An optional free-text note — required when you flag No access.</w:t>
      </w:r>
    </w:p>
    <w:p>
      <w:pPr>
        <w:jc w:val="center"/>
      </w:pPr>
      <w:r>
        <w:drawing>
          <wp:inline xmlns:a="http://schemas.openxmlformats.org/drawingml/2006/main" xmlns:pic="http://schemas.openxmlformats.org/drawingml/2006/picture">
            <wp:extent cx="4023360" cy="576682"/>
            <wp:docPr id="7" name="Picture 7"/>
            <wp:cNvGraphicFramePr>
              <a:graphicFrameLocks noChangeAspect="1"/>
            </wp:cNvGraphicFramePr>
            <a:graphic>
              <a:graphicData uri="http://schemas.openxmlformats.org/drawingml/2006/picture">
                <pic:pic>
                  <pic:nvPicPr>
                    <pic:cNvPr id="0" name="page07_img1.jpg"/>
                    <pic:cNvPicPr/>
                  </pic:nvPicPr>
                  <pic:blipFill>
                    <a:blip r:embed="rId29"/>
                    <a:stretch>
                      <a:fillRect/>
                    </a:stretch>
                  </pic:blipFill>
                  <pic:spPr>
                    <a:xfrm>
                      <a:off x="0" y="0"/>
                      <a:ext cx="4023360" cy="576682"/>
                    </a:xfrm>
                    <a:prstGeom prst="rect"/>
                  </pic:spPr>
                </pic:pic>
              </a:graphicData>
            </a:graphic>
          </wp:inline>
        </w:drawing>
      </w:r>
    </w:p>
    <w:p>
      <w:pPr>
        <w:jc w:val="center"/>
      </w:pPr>
      <w:r>
        <w:rPr>
          <w:rFonts w:ascii="Aptos" w:hAnsi="Aptos"/>
          <w:b w:val="0"/>
          <w:i/>
          <w:color w:val="002D72"/>
          <w:sz w:val="17"/>
        </w:rPr>
        <w:t>Figure 4 – A single client’s tool table. “Risk Engine” is confirmed but Not used; “Reporting Suite” is a No access dispute carrying a remark.</w:t>
      </w:r>
    </w:p>
    <w:p>
      <w:pPr>
        <w:pStyle w:val="Heading2"/>
      </w:pPr>
      <w:r>
        <w:rPr>
          <w:rFonts w:ascii="Aptos" w:hAnsi="Aptos"/>
          <w:b w:val="0"/>
          <w:i w:val="0"/>
        </w:rPr>
        <w:t>3.3 Attesting a tool — step by step</w:t>
      </w:r>
    </w:p>
    <w:p>
      <w:pPr>
        <w:pStyle w:val="ListNumber"/>
      </w:pPr>
      <w:r>
        <w:rPr>
          <w:rFonts w:ascii="Aptos" w:hAnsi="Aptos"/>
          <w:sz w:val="20"/>
        </w:rPr>
        <w:t>Expand the client card.</w:t>
      </w:r>
    </w:p>
    <w:p>
      <w:pPr>
        <w:pStyle w:val="ListNumber"/>
      </w:pPr>
      <w:r>
        <w:rPr>
          <w:rFonts w:ascii="Aptos" w:hAnsi="Aptos"/>
          <w:sz w:val="20"/>
        </w:rPr>
        <w:t>For each tool, set Confirm Access:</w:t>
      </w:r>
    </w:p>
    <w:p>
      <w:pPr>
        <w:pStyle w:val="ListBullet"/>
      </w:pPr>
      <w:r>
        <w:rPr>
          <w:rFonts w:ascii="Aptos" w:hAnsi="Aptos"/>
          <w:sz w:val="20"/>
        </w:rPr>
        <w:t>Keep it True if you still have (and need) this access.</w:t>
      </w:r>
    </w:p>
    <w:p>
      <w:pPr>
        <w:pStyle w:val="ListBullet"/>
      </w:pPr>
      <w:r>
        <w:rPr>
          <w:rFonts w:ascii="Aptos" w:hAnsi="Aptos"/>
          <w:sz w:val="20"/>
        </w:rPr>
        <w:t>Set it to False if you should not have this access. The Did you use? toggle then greys out, and you must add a remark explaining why (see Section 3.4).</w:t>
      </w:r>
    </w:p>
    <w:p>
      <w:pPr>
        <w:pStyle w:val="ListNumber"/>
      </w:pPr>
      <w:r>
        <w:rPr>
          <w:rFonts w:ascii="Aptos" w:hAnsi="Aptos"/>
          <w:sz w:val="20"/>
        </w:rPr>
        <w:t>For tools you confirmed access to, set Did you use? to Used or Not used.</w:t>
      </w:r>
    </w:p>
    <w:p>
      <w:pPr>
        <w:pStyle w:val="ListNumber"/>
      </w:pPr>
      <w:r>
        <w:rPr>
          <w:rFonts w:ascii="Aptos" w:hAnsi="Aptos"/>
          <w:sz w:val="20"/>
        </w:rPr>
        <w:t>(Optional) Add a Remark on any tool to give your manager or auditor context.</w:t>
      </w:r>
    </w:p>
    <w:p>
      <w:pPr/>
      <w:r>
        <w:rPr>
          <w:rFonts w:ascii="Aptos" w:hAnsi="Aptos"/>
          <w:b w:val="0"/>
          <w:i w:val="0"/>
        </w:rPr>
        <w:t>Your changes save automatically as you click — there is no separate “save” step. Rows you have not yet answered are highlighted amber and counted in Remaining.</w:t>
      </w:r>
    </w:p>
    <w:p>
      <w:pPr>
        <w:pStyle w:val="Heading2"/>
      </w:pPr>
      <w:r>
        <w:rPr>
          <w:rFonts w:ascii="Aptos" w:hAnsi="Aptos"/>
          <w:b w:val="0"/>
          <w:i w:val="0"/>
        </w:rPr>
        <w:t>3.4 Reporting a tool you should not have (a dispute)</w:t>
      </w:r>
    </w:p>
    <w:p>
      <w:pPr/>
      <w:r>
        <w:rPr>
          <w:rFonts w:ascii="Aptos" w:hAnsi="Aptos"/>
          <w:b w:val="0"/>
          <w:i w:val="0"/>
        </w:rPr>
        <w:t>When you set Confirm Access to False, click the Remark button on that row and explain the situation — for example, “I no longer use this tool, please remove my access.” (Figure 5). Remarks are limited to 500 characters and are visible to your manager and to audit.</w:t>
      </w:r>
    </w:p>
    <w:p>
      <w:pPr>
        <w:jc w:val="center"/>
      </w:pPr>
      <w:r>
        <w:drawing>
          <wp:inline xmlns:a="http://schemas.openxmlformats.org/drawingml/2006/main" xmlns:pic="http://schemas.openxmlformats.org/drawingml/2006/picture">
            <wp:extent cx="5394960" cy="3424001"/>
            <wp:docPr id="8" name="Picture 8"/>
            <wp:cNvGraphicFramePr>
              <a:graphicFrameLocks noChangeAspect="1"/>
            </wp:cNvGraphicFramePr>
            <a:graphic>
              <a:graphicData uri="http://schemas.openxmlformats.org/drawingml/2006/picture">
                <pic:pic>
                  <pic:nvPicPr>
                    <pic:cNvPr id="0" name="page07_img2.jpg"/>
                    <pic:cNvPicPr/>
                  </pic:nvPicPr>
                  <pic:blipFill>
                    <a:blip r:embed="rId30"/>
                    <a:stretch>
                      <a:fillRect/>
                    </a:stretch>
                  </pic:blipFill>
                  <pic:spPr>
                    <a:xfrm>
                      <a:off x="0" y="0"/>
                      <a:ext cx="5394960" cy="3424001"/>
                    </a:xfrm>
                    <a:prstGeom prst="rect"/>
                  </pic:spPr>
                </pic:pic>
              </a:graphicData>
            </a:graphic>
          </wp:inline>
        </w:drawing>
      </w:r>
    </w:p>
    <w:p>
      <w:pPr>
        <w:jc w:val="center"/>
      </w:pPr>
      <w:r>
        <w:rPr>
          <w:rFonts w:ascii="Aptos" w:hAnsi="Aptos"/>
          <w:b w:val="0"/>
          <w:i/>
          <w:color w:val="002D72"/>
          <w:sz w:val="17"/>
        </w:rPr>
        <w:t>Figure 5 – The remark editor. Leave the box empty and save to clear an existing remark. A remark is mandatory for every tool you flag as No access.</w:t>
      </w:r>
    </w:p>
    <w:p>
      <w:pPr>
        <w:pStyle w:val="Heading3"/>
      </w:pPr>
      <w:r>
        <w:rPr>
          <w:rFonts w:ascii="Aptos" w:hAnsi="Aptos"/>
          <w:b/>
          <w:i w:val="0"/>
          <w:color w:val="00A9E0"/>
        </w:rPr>
        <w:t>IMPORTANT</w:t>
      </w:r>
    </w:p>
    <w:p>
      <w:pPr/>
      <w:r>
        <w:rPr>
          <w:rFonts w:ascii="Aptos" w:hAnsi="Aptos"/>
          <w:b w:val="0"/>
          <w:i w:val="0"/>
        </w:rPr>
        <w:t>You cannot submit until every tool you marked No access has a remark. The application tells you how many remarks are still missing.</w:t>
      </w:r>
    </w:p>
    <w:p>
      <w:pPr>
        <w:pStyle w:val="Heading2"/>
      </w:pPr>
      <w:r>
        <w:rPr>
          <w:rFonts w:ascii="Aptos" w:hAnsi="Aptos"/>
          <w:b w:val="0"/>
          <w:i w:val="0"/>
        </w:rPr>
        <w:t>3.5 Submitting your attestation</w:t>
      </w:r>
    </w:p>
    <w:p>
      <w:pPr/>
      <w:r>
        <w:rPr>
          <w:rFonts w:ascii="Aptos" w:hAnsi="Aptos"/>
          <w:b w:val="0"/>
          <w:i w:val="0"/>
        </w:rPr>
        <w:t>When every tool has an answer (and every dispute has a remark), click Submit attestation in the Cycle progress card. After submission:</w:t>
      </w:r>
    </w:p>
    <w:p>
      <w:pPr>
        <w:pStyle w:val="ListBullet"/>
      </w:pPr>
      <w:r>
        <w:rPr>
          <w:rFonts w:ascii="Aptos" w:hAnsi="Aptos"/>
          <w:sz w:val="20"/>
        </w:rPr>
        <w:t>the attestation is locked — a green banner appears on each client and the toggles become read-only (Figure 6);</w:t>
      </w:r>
    </w:p>
    <w:p>
      <w:pPr>
        <w:pStyle w:val="ListBullet"/>
      </w:pPr>
      <w:r>
        <w:rPr>
          <w:rFonts w:ascii="Aptos" w:hAnsi="Aptos"/>
          <w:sz w:val="20"/>
        </w:rPr>
        <w:t>the Submit button changes to Submitted;</w:t>
      </w:r>
    </w:p>
    <w:p>
      <w:pPr>
        <w:pStyle w:val="ListBullet"/>
      </w:pPr>
      <w:r>
        <w:rPr>
          <w:rFonts w:ascii="Aptos" w:hAnsi="Aptos"/>
          <w:sz w:val="20"/>
        </w:rPr>
        <w:t>your manager sees your status flip to Submitted.</w:t>
      </w:r>
    </w:p>
    <w:p>
      <w:pPr>
        <w:jc w:val="center"/>
      </w:pPr>
      <w:r>
        <w:drawing>
          <wp:inline xmlns:a="http://schemas.openxmlformats.org/drawingml/2006/main" xmlns:pic="http://schemas.openxmlformats.org/drawingml/2006/picture">
            <wp:extent cx="5394960" cy="3424001"/>
            <wp:docPr id="9" name="Picture 9"/>
            <wp:cNvGraphicFramePr>
              <a:graphicFrameLocks noChangeAspect="1"/>
            </wp:cNvGraphicFramePr>
            <a:graphic>
              <a:graphicData uri="http://schemas.openxmlformats.org/drawingml/2006/picture">
                <pic:pic>
                  <pic:nvPicPr>
                    <pic:cNvPr id="0" name="page08_img1.jpg"/>
                    <pic:cNvPicPr/>
                  </pic:nvPicPr>
                  <pic:blipFill>
                    <a:blip r:embed="rId31"/>
                    <a:stretch>
                      <a:fillRect/>
                    </a:stretch>
                  </pic:blipFill>
                  <pic:spPr>
                    <a:xfrm>
                      <a:off x="0" y="0"/>
                      <a:ext cx="5394960" cy="3424001"/>
                    </a:xfrm>
                    <a:prstGeom prst="rect"/>
                  </pic:spPr>
                </pic:pic>
              </a:graphicData>
            </a:graphic>
          </wp:inline>
        </w:drawing>
      </w:r>
    </w:p>
    <w:p>
      <w:pPr>
        <w:jc w:val="center"/>
      </w:pPr>
      <w:r>
        <w:rPr>
          <w:rFonts w:ascii="Aptos" w:hAnsi="Aptos"/>
          <w:b w:val="0"/>
          <w:i/>
          <w:color w:val="002D72"/>
          <w:sz w:val="17"/>
        </w:rPr>
        <w:t>Figure 6 – A submitted, locked attestation. Everything is read-only and the “submitted and locked” banner is shown. Only a manager can reopen it.</w:t>
      </w:r>
    </w:p>
    <w:p>
      <w:pPr>
        <w:pStyle w:val="Heading3"/>
      </w:pPr>
      <w:r>
        <w:rPr>
          <w:rFonts w:ascii="Aptos" w:hAnsi="Aptos"/>
          <w:b/>
          <w:i w:val="0"/>
          <w:color w:val="00A9E0"/>
        </w:rPr>
        <w:t>NOTE</w:t>
      </w:r>
    </w:p>
    <w:p>
      <w:pPr/>
      <w:r>
        <w:rPr>
          <w:rFonts w:ascii="Aptos" w:hAnsi="Aptos"/>
          <w:b w:val="0"/>
          <w:i w:val="0"/>
        </w:rPr>
        <w:t>Made a mistake after submitting? Ask your manager to Reopen your attestation (Section 4.3); you can then edit and re-submit.</w:t>
      </w:r>
    </w:p>
    <w:p>
      <w:pPr>
        <w:pStyle w:val="Heading2"/>
      </w:pPr>
      <w:r>
        <w:rPr>
          <w:rFonts w:ascii="Aptos" w:hAnsi="Aptos"/>
          <w:b w:val="0"/>
          <w:i w:val="0"/>
        </w:rPr>
        <w:t>3.6 Dark mode</w:t>
      </w:r>
    </w:p>
    <w:p>
      <w:pPr/>
      <w:r>
        <w:rPr>
          <w:rFonts w:ascii="Aptos" w:hAnsi="Aptos"/>
          <w:b w:val="0"/>
          <w:i w:val="0"/>
        </w:rPr>
        <w:t>Use the sun/moon toggle in the top bar to switch between light and dark themes (Figure 7). The choice is purely visual and applies to every screen.</w:t>
      </w:r>
    </w:p>
    <w:p>
      <w:pPr>
        <w:jc w:val="center"/>
      </w:pPr>
      <w:r>
        <w:drawing>
          <wp:inline xmlns:a="http://schemas.openxmlformats.org/drawingml/2006/main" xmlns:pic="http://schemas.openxmlformats.org/drawingml/2006/picture">
            <wp:extent cx="5394960" cy="3424001"/>
            <wp:docPr id="10" name="Picture 10"/>
            <wp:cNvGraphicFramePr>
              <a:graphicFrameLocks noChangeAspect="1"/>
            </wp:cNvGraphicFramePr>
            <a:graphic>
              <a:graphicData uri="http://schemas.openxmlformats.org/drawingml/2006/picture">
                <pic:pic>
                  <pic:nvPicPr>
                    <pic:cNvPr id="0" name="page09_img1.jpg"/>
                    <pic:cNvPicPr/>
                  </pic:nvPicPr>
                  <pic:blipFill>
                    <a:blip r:embed="rId32"/>
                    <a:stretch>
                      <a:fillRect/>
                    </a:stretch>
                  </pic:blipFill>
                  <pic:spPr>
                    <a:xfrm>
                      <a:off x="0" y="0"/>
                      <a:ext cx="5394960" cy="3424001"/>
                    </a:xfrm>
                    <a:prstGeom prst="rect"/>
                  </pic:spPr>
                </pic:pic>
              </a:graphicData>
            </a:graphic>
          </wp:inline>
        </w:drawing>
      </w:r>
    </w:p>
    <w:p>
      <w:pPr>
        <w:jc w:val="center"/>
      </w:pPr>
      <w:r>
        <w:rPr>
          <w:rFonts w:ascii="Aptos" w:hAnsi="Aptos"/>
          <w:b w:val="0"/>
          <w:i/>
          <w:color w:val="002D72"/>
          <w:sz w:val="17"/>
        </w:rPr>
        <w:t>Figure 7 – The associate dashboard in dark mode.</w:t>
      </w:r>
    </w:p>
    <w:p>
      <w:pPr>
        <w:pStyle w:val="Heading1"/>
      </w:pPr>
      <w:r>
        <w:rPr>
          <w:rFonts w:ascii="Aptos" w:hAnsi="Aptos"/>
          <w:b w:val="0"/>
          <w:i w:val="0"/>
        </w:rPr>
        <w:t>4 Manager view — tracking your team</w:t>
      </w:r>
    </w:p>
    <w:p>
      <w:pPr/>
      <w:r>
        <w:rPr>
          <w:rFonts w:ascii="Aptos" w:hAnsi="Aptos"/>
          <w:b w:val="0"/>
          <w:i w:val="0"/>
        </w:rPr>
        <w:t>Managers see the Manager view by default. It answers one question: is my team done, and what needs my attention?</w:t>
      </w:r>
    </w:p>
    <w:p>
      <w:pPr>
        <w:pStyle w:val="Heading2"/>
      </w:pPr>
      <w:r>
        <w:rPr>
          <w:rFonts w:ascii="Aptos" w:hAnsi="Aptos"/>
          <w:b w:val="0"/>
          <w:i w:val="0"/>
        </w:rPr>
        <w:t>4.1 Team overview</w:t>
      </w:r>
    </w:p>
    <w:p>
      <w:pPr/>
      <w:r>
        <w:rPr>
          <w:rFonts w:ascii="Aptos" w:hAnsi="Aptos"/>
          <w:b w:val="0"/>
          <w:i w:val="0"/>
        </w:rPr>
        <w:t>The manager overview (Figure 8) shows:</w:t>
      </w:r>
    </w:p>
    <w:p>
      <w:pPr>
        <w:pStyle w:val="ListBullet"/>
      </w:pPr>
      <w:r>
        <w:rPr>
          <w:rFonts w:ascii="Aptos" w:hAnsi="Aptos"/>
          <w:sz w:val="20"/>
        </w:rPr>
        <w:t>a red disputes banner when one or more reports have flagged access disputes this cycle, with an Export disputes button;</w:t>
      </w:r>
    </w:p>
    <w:p>
      <w:pPr>
        <w:pStyle w:val="ListBullet"/>
      </w:pPr>
      <w:r>
        <w:rPr>
          <w:rFonts w:ascii="Aptos" w:hAnsi="Aptos"/>
          <w:sz w:val="20"/>
        </w:rPr>
        <w:t>summary tiles — Direct reports, Submitted, In progress, Not started;</w:t>
      </w:r>
    </w:p>
    <w:p>
      <w:pPr>
        <w:pStyle w:val="ListBullet"/>
      </w:pPr>
      <w:r>
        <w:rPr>
          <w:rFonts w:ascii="Aptos" w:hAnsi="Aptos"/>
          <w:sz w:val="20"/>
        </w:rPr>
        <w:t>the Team completion table — every direct report with a progress bar, a tools count, and a status badge. Filter with Everyone / Not started / In progress / Submitted, or search by name or ID.</w:t>
      </w:r>
    </w:p>
    <w:p>
      <w:pPr>
        <w:jc w:val="center"/>
      </w:pPr>
      <w:r>
        <w:drawing>
          <wp:inline xmlns:a="http://schemas.openxmlformats.org/drawingml/2006/main" xmlns:pic="http://schemas.openxmlformats.org/drawingml/2006/picture">
            <wp:extent cx="5394960" cy="3424001"/>
            <wp:docPr id="11" name="Picture 11"/>
            <wp:cNvGraphicFramePr>
              <a:graphicFrameLocks noChangeAspect="1"/>
            </wp:cNvGraphicFramePr>
            <a:graphic>
              <a:graphicData uri="http://schemas.openxmlformats.org/drawingml/2006/picture">
                <pic:pic>
                  <pic:nvPicPr>
                    <pic:cNvPr id="0" name="page10_img1.jpg"/>
                    <pic:cNvPicPr/>
                  </pic:nvPicPr>
                  <pic:blipFill>
                    <a:blip r:embed="rId33"/>
                    <a:stretch>
                      <a:fillRect/>
                    </a:stretch>
                  </pic:blipFill>
                  <pic:spPr>
                    <a:xfrm>
                      <a:off x="0" y="0"/>
                      <a:ext cx="5394960" cy="3424001"/>
                    </a:xfrm>
                    <a:prstGeom prst="rect"/>
                  </pic:spPr>
                </pic:pic>
              </a:graphicData>
            </a:graphic>
          </wp:inline>
        </w:drawing>
      </w:r>
    </w:p>
    <w:p>
      <w:pPr>
        <w:jc w:val="center"/>
      </w:pPr>
      <w:r>
        <w:rPr>
          <w:rFonts w:ascii="Aptos" w:hAnsi="Aptos"/>
          <w:b w:val="0"/>
          <w:i/>
          <w:color w:val="002D72"/>
          <w:sz w:val="17"/>
        </w:rPr>
        <w:t>Figure 8 – The manager overview, with the access-disputes banner, status summary, and the filterable team table.</w:t>
      </w:r>
    </w:p>
    <w:p>
      <w:pPr>
        <w:pStyle w:val="Heading2"/>
      </w:pPr>
      <w:r>
        <w:rPr>
          <w:rFonts w:ascii="Aptos" w:hAnsi="Aptos"/>
          <w:b w:val="0"/>
          <w:i w:val="0"/>
        </w:rPr>
        <w:t>4.2 Inspecting a team member</w:t>
      </w:r>
    </w:p>
    <w:p>
      <w:pPr/>
      <w:r>
        <w:rPr>
          <w:rFonts w:ascii="Aptos" w:hAnsi="Aptos"/>
          <w:b w:val="0"/>
          <w:i w:val="0"/>
        </w:rPr>
        <w:t>Click any team member to open the Selected member panel (Figure 9). It shows their completion percentage and status, a per-client progress breakdown, and — if they reported any — an Access disputes list with the tool, client, and the associate’s remark.</w:t>
      </w:r>
    </w:p>
    <w:p>
      <w:pPr>
        <w:jc w:val="center"/>
      </w:pPr>
      <w:r>
        <w:drawing>
          <wp:inline xmlns:a="http://schemas.openxmlformats.org/drawingml/2006/main" xmlns:pic="http://schemas.openxmlformats.org/drawingml/2006/picture">
            <wp:extent cx="5394960" cy="3424001"/>
            <wp:docPr id="12" name="Picture 12"/>
            <wp:cNvGraphicFramePr>
              <a:graphicFrameLocks noChangeAspect="1"/>
            </wp:cNvGraphicFramePr>
            <a:graphic>
              <a:graphicData uri="http://schemas.openxmlformats.org/drawingml/2006/picture">
                <pic:pic>
                  <pic:nvPicPr>
                    <pic:cNvPr id="0" name="page11_img1.jpg"/>
                    <pic:cNvPicPr/>
                  </pic:nvPicPr>
                  <pic:blipFill>
                    <a:blip r:embed="rId34"/>
                    <a:stretch>
                      <a:fillRect/>
                    </a:stretch>
                  </pic:blipFill>
                  <pic:spPr>
                    <a:xfrm>
                      <a:off x="0" y="0"/>
                      <a:ext cx="5394960" cy="3424001"/>
                    </a:xfrm>
                    <a:prstGeom prst="rect"/>
                  </pic:spPr>
                </pic:pic>
              </a:graphicData>
            </a:graphic>
          </wp:inline>
        </w:drawing>
      </w:r>
    </w:p>
    <w:p>
      <w:pPr>
        <w:jc w:val="center"/>
      </w:pPr>
      <w:r>
        <w:rPr>
          <w:rFonts w:ascii="Aptos" w:hAnsi="Aptos"/>
          <w:b w:val="0"/>
          <w:i/>
          <w:color w:val="002D72"/>
          <w:sz w:val="17"/>
        </w:rPr>
        <w:t>Figure 9 – Member detail. The selected associate is fully complete, but has one access dispute (“Compliance Portal — Barclays”) that the manager should reconcile.</w:t>
      </w:r>
    </w:p>
    <w:p>
      <w:pPr>
        <w:pStyle w:val="Heading2"/>
      </w:pPr>
      <w:r>
        <w:rPr>
          <w:rFonts w:ascii="Aptos" w:hAnsi="Aptos"/>
          <w:b w:val="0"/>
          <w:i w:val="0"/>
        </w:rPr>
        <w:t>4.3 Reopening a submitted attestation</w:t>
      </w:r>
    </w:p>
    <w:p>
      <w:pPr/>
      <w:r>
        <w:rPr>
          <w:rFonts w:ascii="Aptos" w:hAnsi="Aptos"/>
          <w:b w:val="0"/>
          <w:i w:val="0"/>
        </w:rPr>
        <w:t>If a report needs to correct an attestation they already submitted, select them and click Reopen attestation (visible only when their status is Submitted). Confirm the prompt; the attestation unlocks and the associate can edit and re-submit.</w:t>
      </w:r>
    </w:p>
    <w:p>
      <w:pPr>
        <w:pStyle w:val="Heading2"/>
      </w:pPr>
      <w:r>
        <w:rPr>
          <w:rFonts w:ascii="Aptos" w:hAnsi="Aptos"/>
          <w:b w:val="0"/>
          <w:i w:val="0"/>
        </w:rPr>
        <w:t>4.4 Exporting disputes</w:t>
      </w:r>
    </w:p>
    <w:p>
      <w:pPr/>
      <w:r>
        <w:rPr>
          <w:rFonts w:ascii="Aptos" w:hAnsi="Aptos"/>
          <w:b w:val="0"/>
          <w:i w:val="0"/>
        </w:rPr>
        <w:t>Click Export disputes (in the banner) to download a spreadsheet of every disputed tool across your team — associate, tool, client, the remark, and contact details — for reconciliation and access removal.</w:t>
      </w:r>
    </w:p>
    <w:p>
      <w:pPr>
        <w:pStyle w:val="Heading1"/>
      </w:pPr>
      <w:r>
        <w:rPr>
          <w:rFonts w:ascii="Aptos" w:hAnsi="Aptos"/>
          <w:b w:val="0"/>
          <w:i w:val="0"/>
        </w:rPr>
        <w:t>5 Access management — granting and revoking</w:t>
      </w:r>
    </w:p>
    <w:p>
      <w:pPr/>
      <w:r>
        <w:rPr>
          <w:rFonts w:ascii="Aptos" w:hAnsi="Aptos"/>
          <w:b w:val="0"/>
          <w:i w:val="0"/>
        </w:rPr>
        <w:t>The Access screen (Figure 10) lets managers control which tools each direct report can use. Pick a team member from the left list; their access appears on the right.</w:t>
      </w:r>
    </w:p>
    <w:p>
      <w:pPr>
        <w:jc w:val="center"/>
      </w:pPr>
      <w:r>
        <w:drawing>
          <wp:inline xmlns:a="http://schemas.openxmlformats.org/drawingml/2006/main" xmlns:pic="http://schemas.openxmlformats.org/drawingml/2006/picture">
            <wp:extent cx="5394960" cy="3424001"/>
            <wp:docPr id="13" name="Picture 13"/>
            <wp:cNvGraphicFramePr>
              <a:graphicFrameLocks noChangeAspect="1"/>
            </wp:cNvGraphicFramePr>
            <a:graphic>
              <a:graphicData uri="http://schemas.openxmlformats.org/drawingml/2006/picture">
                <pic:pic>
                  <pic:nvPicPr>
                    <pic:cNvPr id="0" name="page12_img1.jpg"/>
                    <pic:cNvPicPr/>
                  </pic:nvPicPr>
                  <pic:blipFill>
                    <a:blip r:embed="rId35"/>
                    <a:stretch>
                      <a:fillRect/>
                    </a:stretch>
                  </pic:blipFill>
                  <pic:spPr>
                    <a:xfrm>
                      <a:off x="0" y="0"/>
                      <a:ext cx="5394960" cy="3424001"/>
                    </a:xfrm>
                    <a:prstGeom prst="rect"/>
                  </pic:spPr>
                </pic:pic>
              </a:graphicData>
            </a:graphic>
          </wp:inline>
        </w:drawing>
      </w:r>
    </w:p>
    <w:p>
      <w:pPr>
        <w:jc w:val="center"/>
      </w:pPr>
      <w:r>
        <w:rPr>
          <w:rFonts w:ascii="Aptos" w:hAnsi="Aptos"/>
          <w:b w:val="0"/>
          <w:i/>
          <w:color w:val="002D72"/>
          <w:sz w:val="17"/>
        </w:rPr>
        <w:t>Figure 10 – Access management for a selected report: the Grant new access form on top, and the current Tool access table below (note the full-access rows, an Open access row, and a row with an end date).</w:t>
      </w:r>
    </w:p>
    <w:p>
      <w:pPr>
        <w:pStyle w:val="Heading2"/>
      </w:pPr>
      <w:r>
        <w:rPr>
          <w:rFonts w:ascii="Aptos" w:hAnsi="Aptos"/>
          <w:b w:val="0"/>
          <w:i w:val="0"/>
        </w:rPr>
        <w:t>5.1 Granting new access</w:t>
      </w:r>
    </w:p>
    <w:p>
      <w:pPr/>
      <w:r>
        <w:rPr>
          <w:rFonts w:ascii="Aptos" w:hAnsi="Aptos"/>
          <w:b w:val="0"/>
          <w:i w:val="0"/>
        </w:rPr>
        <w:t>In Grant new access:</w:t>
      </w:r>
    </w:p>
    <w:p>
      <w:pPr>
        <w:pStyle w:val="ListNumber"/>
      </w:pPr>
      <w:r>
        <w:rPr>
          <w:rFonts w:ascii="Aptos" w:hAnsi="Aptos"/>
          <w:sz w:val="20"/>
        </w:rPr>
        <w:t>Choose a Client, then a Tool. (You can only grant tools that belong to your department.)</w:t>
      </w:r>
    </w:p>
    <w:p>
      <w:pPr>
        <w:pStyle w:val="ListNumber"/>
      </w:pPr>
      <w:r>
        <w:rPr>
          <w:rFonts w:ascii="Aptos" w:hAnsi="Aptos"/>
          <w:sz w:val="20"/>
        </w:rPr>
        <w:t>Set Access from (defaults to today) and, optionally, Access to for time-boxed access. Leave Access to blank for open-ended access.</w:t>
      </w:r>
    </w:p>
    <w:p>
      <w:pPr>
        <w:pStyle w:val="ListNumber"/>
      </w:pPr>
      <w:r>
        <w:rPr>
          <w:rFonts w:ascii="Aptos" w:hAnsi="Aptos"/>
          <w:sz w:val="20"/>
        </w:rPr>
        <w:t>Choose the Access type (Figure 11):</w:t>
      </w:r>
    </w:p>
    <w:p>
      <w:pPr>
        <w:pStyle w:val="ListBullet"/>
      </w:pPr>
      <w:r>
        <w:rPr>
          <w:rFonts w:ascii="Aptos" w:hAnsi="Aptos"/>
          <w:sz w:val="20"/>
        </w:rPr>
        <w:t>Full access — access is active immediately.</w:t>
      </w:r>
    </w:p>
    <w:p>
      <w:pPr>
        <w:pStyle w:val="ListBullet"/>
      </w:pPr>
      <w:r>
        <w:rPr>
          <w:rFonts w:ascii="Aptos" w:hAnsi="Aptos"/>
          <w:sz w:val="20"/>
        </w:rPr>
        <w:t>Open access — a placeholder for access whose paperwork is still in process. It is marked pending until you later grant it fully. 4. Click Grant access.</w:t>
      </w:r>
    </w:p>
    <w:p>
      <w:pPr>
        <w:jc w:val="center"/>
      </w:pPr>
      <w:r>
        <w:drawing>
          <wp:inline xmlns:a="http://schemas.openxmlformats.org/drawingml/2006/main" xmlns:pic="http://schemas.openxmlformats.org/drawingml/2006/picture">
            <wp:extent cx="4023360" cy="890504"/>
            <wp:docPr id="14" name="Picture 14"/>
            <wp:cNvGraphicFramePr>
              <a:graphicFrameLocks noChangeAspect="1"/>
            </wp:cNvGraphicFramePr>
            <a:graphic>
              <a:graphicData uri="http://schemas.openxmlformats.org/drawingml/2006/picture">
                <pic:pic>
                  <pic:nvPicPr>
                    <pic:cNvPr id="0" name="page12_img2.jpg"/>
                    <pic:cNvPicPr/>
                  </pic:nvPicPr>
                  <pic:blipFill>
                    <a:blip r:embed="rId36"/>
                    <a:stretch>
                      <a:fillRect/>
                    </a:stretch>
                  </pic:blipFill>
                  <pic:spPr>
                    <a:xfrm>
                      <a:off x="0" y="0"/>
                      <a:ext cx="4023360" cy="890504"/>
                    </a:xfrm>
                    <a:prstGeom prst="rect"/>
                  </pic:spPr>
                </pic:pic>
              </a:graphicData>
            </a:graphic>
          </wp:inline>
        </w:drawing>
      </w:r>
    </w:p>
    <w:p>
      <w:pPr>
        <w:jc w:val="center"/>
      </w:pPr>
      <w:r>
        <w:rPr>
          <w:rFonts w:ascii="Aptos" w:hAnsi="Aptos"/>
          <w:b w:val="0"/>
          <w:i/>
          <w:color w:val="002D72"/>
          <w:sz w:val="17"/>
        </w:rPr>
        <w:t>Figure 11 – The grant form with Open access selected — used when the access request is still being processed.</w:t>
      </w:r>
    </w:p>
    <w:p>
      <w:pPr>
        <w:pStyle w:val="Heading2"/>
      </w:pPr>
      <w:r>
        <w:rPr>
          <w:rFonts w:ascii="Aptos" w:hAnsi="Aptos"/>
          <w:b w:val="0"/>
          <w:i w:val="0"/>
        </w:rPr>
        <w:t>5.2 Managing existing access</w:t>
      </w:r>
    </w:p>
    <w:p>
      <w:pPr/>
      <w:r>
        <w:rPr>
          <w:rFonts w:ascii="Aptos" w:hAnsi="Aptos"/>
          <w:b w:val="0"/>
          <w:i w:val="0"/>
        </w:rPr>
        <w:t>In the Tool access table, each row offers:</w:t>
      </w:r>
    </w:p>
    <w:p>
      <w:pPr>
        <w:pStyle w:val="ListBullet"/>
      </w:pPr>
      <w:r>
        <w:rPr>
          <w:rFonts w:ascii="Aptos" w:hAnsi="Aptos"/>
          <w:sz w:val="20"/>
        </w:rPr>
        <w:t>End date — edit the To date to time-box a full-access row; click Clear to make it open-ended again.</w:t>
      </w:r>
    </w:p>
    <w:p>
      <w:pPr>
        <w:pStyle w:val="ListBullet"/>
      </w:pPr>
      <w:r>
        <w:rPr>
          <w:rFonts w:ascii="Aptos" w:hAnsi="Aptos"/>
          <w:sz w:val="20"/>
        </w:rPr>
        <w:t>Revoke now — ends access today (the row is closed out with today’s date).</w:t>
      </w:r>
    </w:p>
    <w:p>
      <w:pPr>
        <w:pStyle w:val="ListBullet"/>
      </w:pPr>
      <w:r>
        <w:rPr>
          <w:rFonts w:ascii="Aptos" w:hAnsi="Aptos"/>
          <w:sz w:val="20"/>
        </w:rPr>
        <w:t>Grant full access — shown on Open access rows; promotes a pending placeholder to active, open-ended access.</w:t>
      </w:r>
    </w:p>
    <w:p>
      <w:pPr>
        <w:pStyle w:val="Heading3"/>
      </w:pPr>
      <w:r>
        <w:rPr>
          <w:rFonts w:ascii="Aptos" w:hAnsi="Aptos"/>
          <w:b/>
          <w:i w:val="0"/>
          <w:color w:val="00A9E0"/>
        </w:rPr>
        <w:t>IMPORTANT</w:t>
      </w:r>
    </w:p>
    <w:p>
      <w:pPr/>
      <w:r>
        <w:rPr>
          <w:rFonts w:ascii="Aptos" w:hAnsi="Aptos"/>
          <w:b w:val="0"/>
          <w:i w:val="0"/>
        </w:rPr>
        <w:t>Access scoping is enforced by department: a manager can only grant or change tools that belong to their own department. If a tool you expect is missing from the Tool list, it belongs to another department — ask that department’s GFH or an administrator to add it.</w:t>
      </w:r>
    </w:p>
    <w:p>
      <w:pPr>
        <w:pStyle w:val="Heading1"/>
      </w:pPr>
      <w:r>
        <w:rPr>
          <w:rFonts w:ascii="Aptos" w:hAnsi="Aptos"/>
          <w:b w:val="0"/>
          <w:i w:val="0"/>
        </w:rPr>
        <w:t>6 Oversight dashboards — Admin, GFH, GFH Delegate, IFH</w:t>
      </w:r>
    </w:p>
    <w:p>
      <w:pPr/>
      <w:r>
        <w:rPr>
          <w:rFonts w:ascii="Aptos" w:hAnsi="Aptos"/>
          <w:b w:val="0"/>
          <w:i w:val="0"/>
        </w:rPr>
        <w:t>Oversight roles open on the dashboard (Figure 12). All four roles share the same layout; they differ in how much they can see and what they can do.</w:t>
      </w:r>
    </w:p>
    <w:p>
      <w:pPr>
        <w:jc w:val="center"/>
      </w:pPr>
      <w:r>
        <w:drawing>
          <wp:inline xmlns:a="http://schemas.openxmlformats.org/drawingml/2006/main" xmlns:pic="http://schemas.openxmlformats.org/drawingml/2006/picture">
            <wp:extent cx="5394960" cy="3424001"/>
            <wp:docPr id="15" name="Picture 15"/>
            <wp:cNvGraphicFramePr>
              <a:graphicFrameLocks noChangeAspect="1"/>
            </wp:cNvGraphicFramePr>
            <a:graphic>
              <a:graphicData uri="http://schemas.openxmlformats.org/drawingml/2006/picture">
                <pic:pic>
                  <pic:nvPicPr>
                    <pic:cNvPr id="0" name="page13_img1.jpg"/>
                    <pic:cNvPicPr/>
                  </pic:nvPicPr>
                  <pic:blipFill>
                    <a:blip r:embed="rId37"/>
                    <a:stretch>
                      <a:fillRect/>
                    </a:stretch>
                  </pic:blipFill>
                  <pic:spPr>
                    <a:xfrm>
                      <a:off x="0" y="0"/>
                      <a:ext cx="5394960" cy="3424001"/>
                    </a:xfrm>
                    <a:prstGeom prst="rect"/>
                  </pic:spPr>
                </pic:pic>
              </a:graphicData>
            </a:graphic>
          </wp:inline>
        </w:drawing>
      </w:r>
    </w:p>
    <w:p>
      <w:pPr>
        <w:jc w:val="center"/>
      </w:pPr>
      <w:r>
        <w:rPr>
          <w:rFonts w:ascii="Aptos" w:hAnsi="Aptos"/>
          <w:b w:val="0"/>
          <w:i/>
          <w:color w:val="002D72"/>
          <w:sz w:val="17"/>
        </w:rPr>
        <w:t>Figure 12 – The Admin Dashboard: an organisation-wide KPI band, then one card per department with a completion donut and a per-client breakdown.</w:t>
      </w:r>
    </w:p>
    <w:p>
      <w:pPr>
        <w:pStyle w:val="Heading2"/>
      </w:pPr>
      <w:r>
        <w:rPr>
          <w:rFonts w:ascii="Aptos" w:hAnsi="Aptos"/>
          <w:b w:val="0"/>
          <w:i w:val="0"/>
        </w:rPr>
        <w:t>6.1 Dashboard anatomy</w:t>
      </w:r>
    </w:p>
    <w:p>
      <w:pPr>
        <w:pStyle w:val="ListBullet"/>
      </w:pPr>
      <w:r>
        <w:rPr>
          <w:rFonts w:ascii="Aptos" w:hAnsi="Aptos"/>
          <w:sz w:val="20"/>
        </w:rPr>
        <w:t>KPI band — associates, associate-tool combinations, submitted, pending, and the number of at-risk departments in scope.</w:t>
      </w:r>
    </w:p>
    <w:p>
      <w:pPr>
        <w:pStyle w:val="ListBullet"/>
      </w:pPr>
      <w:r>
        <w:rPr>
          <w:rFonts w:ascii="Aptos" w:hAnsi="Aptos"/>
          <w:sz w:val="20"/>
        </w:rPr>
        <w:t>Department cards — each shows the responsible GFH, a completion donut, a status badge, the submitted/total count, and a per-client completion breakdown. The card colour and status follow the completion thresholds in Section 8.1.</w:t>
      </w:r>
    </w:p>
    <w:p>
      <w:pPr>
        <w:pStyle w:val="ListBullet"/>
      </w:pPr>
      <w:r>
        <w:rPr>
          <w:rFonts w:ascii="Aptos" w:hAnsi="Aptos"/>
          <w:sz w:val="20"/>
        </w:rPr>
        <w:t>Search — filter the visible departments.</w:t>
      </w:r>
    </w:p>
    <w:p>
      <w:pPr>
        <w:pStyle w:val="ListBullet"/>
      </w:pPr>
      <w:r>
        <w:rPr>
          <w:rFonts w:ascii="Aptos" w:hAnsi="Aptos"/>
          <w:sz w:val="20"/>
        </w:rPr>
        <w:t>Cycle picker, notifications, theme, profile — as on every screen. The notifications bell (Figure 17) flags departments that are behind as the due date approaches.</w:t>
      </w:r>
    </w:p>
    <w:p>
      <w:pPr>
        <w:pStyle w:val="Heading2"/>
      </w:pPr>
      <w:r>
        <w:rPr>
          <w:rFonts w:ascii="Aptos" w:hAnsi="Aptos"/>
          <w:b w:val="0"/>
          <w:i w:val="0"/>
        </w:rPr>
        <w:t>6.2 How the four oversight roles differ</w:t>
      </w:r>
    </w:p>
    <w:p>
      <w:pPr/>
      <w:r>
        <w:rPr>
          <w:rFonts w:ascii="Aptos" w:hAnsi="Aptos"/>
          <w:b w:val="0"/>
          <w:i w:val="0"/>
        </w:rPr>
        <w:t>Admin GFH Delegate GFH IFH</w:t>
      </w:r>
    </w:p>
    <w:p>
      <w:pPr/>
      <w:r>
        <w:rPr>
          <w:rFonts w:ascii="Aptos" w:hAnsi="Aptos"/>
          <w:b w:val="0"/>
          <w:i w:val="0"/>
        </w:rPr>
        <w:t>Departments visible All All Own department(s) Own department(s)</w:t>
      </w:r>
    </w:p>
    <w:p>
      <w:pPr/>
      <w:r>
        <w:rPr>
          <w:rFonts w:ascii="Aptos" w:hAnsi="Aptos"/>
          <w:b w:val="0"/>
          <w:i w:val="0"/>
        </w:rPr>
        <w:t>Title shown “Admin Dashboard” “Admin Dashboard” “Name — GFH View” “Name — IFH View”</w:t>
      </w:r>
    </w:p>
    <w:p>
      <w:pPr/>
      <w:r>
        <w:rPr>
          <w:rFonts w:ascii="Aptos" w:hAnsi="Aptos"/>
          <w:b w:val="0"/>
          <w:i w:val="0"/>
        </w:rPr>
        <w:t>Add Client / Add Tool Yes Yes Yes —</w:t>
      </w:r>
    </w:p>
    <w:p>
      <w:pPr/>
      <w:r>
        <w:rPr>
          <w:rFonts w:ascii="Aptos" w:hAnsi="Aptos"/>
          <w:b w:val="0"/>
          <w:i w:val="0"/>
        </w:rPr>
        <w:t>User directory (Users tab) Yes — — —</w:t>
      </w:r>
    </w:p>
    <w:p>
      <w:pPr/>
      <w:r>
        <w:rPr>
          <w:rFonts w:ascii="Aptos" w:hAnsi="Aptos"/>
          <w:b w:val="0"/>
          <w:i w:val="0"/>
        </w:rPr>
        <w:t>Drill-down &amp; exports Yes Yes Yes Yes</w:t>
      </w:r>
    </w:p>
    <w:p>
      <w:pPr>
        <w:pStyle w:val="Heading3"/>
      </w:pPr>
      <w:r>
        <w:rPr>
          <w:rFonts w:ascii="Aptos" w:hAnsi="Aptos"/>
          <w:b/>
          <w:i w:val="0"/>
          <w:color w:val="00A9E0"/>
        </w:rPr>
        <w:t>ADMIN &amp; OVERSIGHT ROLES</w:t>
      </w:r>
    </w:p>
    <w:p>
      <w:pPr/>
      <w:r>
        <w:rPr>
          <w:rFonts w:ascii="Aptos" w:hAnsi="Aptos"/>
          <w:b w:val="0"/>
          <w:i w:val="0"/>
        </w:rPr>
        <w:t>In plain terms: Admin can do everything, including managing user records. GFH Delegate sees the whole organisation and can add clients/tools, but cannot administer users. A GFH (Global Functional Head) manages the department(s) they head and can add clients/tools there. An IFH (In-Country Functional Head) monitors their department(s) but cannot add clients or tools — it is a view-only oversight role.</w:t>
      </w:r>
    </w:p>
    <w:p>
      <w:pPr>
        <w:pStyle w:val="Heading3"/>
      </w:pPr>
      <w:r>
        <w:rPr>
          <w:rFonts w:ascii="Aptos" w:hAnsi="Aptos"/>
          <w:b w:val="0"/>
          <w:i w:val="0"/>
        </w:rPr>
        <w:t>6.2.1 GFH view (scoped, with setup rights)</w:t>
      </w:r>
    </w:p>
    <w:p>
      <w:pPr/>
      <w:r>
        <w:rPr>
          <w:rFonts w:ascii="Aptos" w:hAnsi="Aptos"/>
          <w:b w:val="0"/>
          <w:i w:val="0"/>
        </w:rPr>
        <w:t>A GFH sees only the department(s) they head and the title reads “Name — GFH View” (Figure 13). The Add Client and Add Tool buttons are available.</w:t>
      </w:r>
    </w:p>
    <w:p>
      <w:pPr>
        <w:jc w:val="center"/>
      </w:pPr>
      <w:r>
        <w:drawing>
          <wp:inline xmlns:a="http://schemas.openxmlformats.org/drawingml/2006/main" xmlns:pic="http://schemas.openxmlformats.org/drawingml/2006/picture">
            <wp:extent cx="5394960" cy="3424001"/>
            <wp:docPr id="16" name="Picture 16"/>
            <wp:cNvGraphicFramePr>
              <a:graphicFrameLocks noChangeAspect="1"/>
            </wp:cNvGraphicFramePr>
            <a:graphic>
              <a:graphicData uri="http://schemas.openxmlformats.org/drawingml/2006/picture">
                <pic:pic>
                  <pic:nvPicPr>
                    <pic:cNvPr id="0" name="page15_img1.jpg"/>
                    <pic:cNvPicPr/>
                  </pic:nvPicPr>
                  <pic:blipFill>
                    <a:blip r:embed="rId38"/>
                    <a:stretch>
                      <a:fillRect/>
                    </a:stretch>
                  </pic:blipFill>
                  <pic:spPr>
                    <a:xfrm>
                      <a:off x="0" y="0"/>
                      <a:ext cx="5394960" cy="3424001"/>
                    </a:xfrm>
                    <a:prstGeom prst="rect"/>
                  </pic:spPr>
                </pic:pic>
              </a:graphicData>
            </a:graphic>
          </wp:inline>
        </w:drawing>
      </w:r>
    </w:p>
    <w:p>
      <w:pPr>
        <w:jc w:val="center"/>
      </w:pPr>
      <w:r>
        <w:rPr>
          <w:rFonts w:ascii="Aptos" w:hAnsi="Aptos"/>
          <w:b w:val="0"/>
          <w:i/>
          <w:color w:val="002D72"/>
          <w:sz w:val="17"/>
        </w:rPr>
        <w:t>Figure 13 – A GFH dashboard scoped to a single department (“International”), retaining the Add Client / Add Tool buttons.</w:t>
      </w:r>
    </w:p>
    <w:p>
      <w:pPr>
        <w:pStyle w:val="Heading3"/>
      </w:pPr>
      <w:r>
        <w:rPr>
          <w:rFonts w:ascii="Aptos" w:hAnsi="Aptos"/>
          <w:b w:val="0"/>
          <w:i w:val="0"/>
        </w:rPr>
        <w:t>6.2.2 GFH Delegate view (organisation-wide)</w:t>
      </w:r>
    </w:p>
    <w:p>
      <w:pPr/>
      <w:r>
        <w:rPr>
          <w:rFonts w:ascii="Aptos" w:hAnsi="Aptos"/>
          <w:b w:val="0"/>
          <w:i w:val="0"/>
        </w:rPr>
        <w:t>A GFH Delegate has the same organisation-wide reach as an administrator and keeps the Add Client/Add Tool buttons, but has no access to the user directory. The dashboard is titled “Admin Dashboard”; the role badge in the sidebar reads “GFHDelegate” (Figure 14).</w:t>
      </w:r>
    </w:p>
    <w:p>
      <w:pPr>
        <w:jc w:val="center"/>
      </w:pPr>
      <w:r>
        <w:drawing>
          <wp:inline xmlns:a="http://schemas.openxmlformats.org/drawingml/2006/main" xmlns:pic="http://schemas.openxmlformats.org/drawingml/2006/picture">
            <wp:extent cx="5394960" cy="3424001"/>
            <wp:docPr id="17" name="Picture 17"/>
            <wp:cNvGraphicFramePr>
              <a:graphicFrameLocks noChangeAspect="1"/>
            </wp:cNvGraphicFramePr>
            <a:graphic>
              <a:graphicData uri="http://schemas.openxmlformats.org/drawingml/2006/picture">
                <pic:pic>
                  <pic:nvPicPr>
                    <pic:cNvPr id="0" name="page16_img1.jpg"/>
                    <pic:cNvPicPr/>
                  </pic:nvPicPr>
                  <pic:blipFill>
                    <a:blip r:embed="rId39"/>
                    <a:stretch>
                      <a:fillRect/>
                    </a:stretch>
                  </pic:blipFill>
                  <pic:spPr>
                    <a:xfrm>
                      <a:off x="0" y="0"/>
                      <a:ext cx="5394960" cy="3424001"/>
                    </a:xfrm>
                    <a:prstGeom prst="rect"/>
                  </pic:spPr>
                </pic:pic>
              </a:graphicData>
            </a:graphic>
          </wp:inline>
        </w:drawing>
      </w:r>
    </w:p>
    <w:p>
      <w:pPr>
        <w:jc w:val="center"/>
      </w:pPr>
      <w:r>
        <w:rPr>
          <w:rFonts w:ascii="Aptos" w:hAnsi="Aptos"/>
          <w:b w:val="0"/>
          <w:i/>
          <w:color w:val="002D72"/>
          <w:sz w:val="17"/>
        </w:rPr>
        <w:t>Figure 14 – A GFH Delegate sees every department, like an administrator. The sidebar role badge (lower left) distinguishes the delegate from a full administrator.</w:t>
      </w:r>
    </w:p>
    <w:p>
      <w:pPr>
        <w:pStyle w:val="Heading3"/>
      </w:pPr>
      <w:r>
        <w:rPr>
          <w:rFonts w:ascii="Aptos" w:hAnsi="Aptos"/>
          <w:b w:val="0"/>
          <w:i w:val="0"/>
        </w:rPr>
        <w:t>6.2.3 IFH view (scoped, view-only)</w:t>
      </w:r>
    </w:p>
    <w:p>
      <w:pPr/>
      <w:r>
        <w:rPr>
          <w:rFonts w:ascii="Aptos" w:hAnsi="Aptos"/>
          <w:b w:val="0"/>
          <w:i w:val="0"/>
        </w:rPr>
        <w:t>An IFH sees only their department(s), titled “Name — IFH View”, and has no Add Client/Add Tool buttons (Figure 15).</w:t>
      </w:r>
    </w:p>
    <w:p>
      <w:pPr>
        <w:jc w:val="center"/>
      </w:pPr>
      <w:r>
        <w:drawing>
          <wp:inline xmlns:a="http://schemas.openxmlformats.org/drawingml/2006/main" xmlns:pic="http://schemas.openxmlformats.org/drawingml/2006/picture">
            <wp:extent cx="5394960" cy="3424001"/>
            <wp:docPr id="18" name="Picture 18"/>
            <wp:cNvGraphicFramePr>
              <a:graphicFrameLocks noChangeAspect="1"/>
            </wp:cNvGraphicFramePr>
            <a:graphic>
              <a:graphicData uri="http://schemas.openxmlformats.org/drawingml/2006/picture">
                <pic:pic>
                  <pic:nvPicPr>
                    <pic:cNvPr id="0" name="page17_img1.jpg"/>
                    <pic:cNvPicPr/>
                  </pic:nvPicPr>
                  <pic:blipFill>
                    <a:blip r:embed="rId40"/>
                    <a:stretch>
                      <a:fillRect/>
                    </a:stretch>
                  </pic:blipFill>
                  <pic:spPr>
                    <a:xfrm>
                      <a:off x="0" y="0"/>
                      <a:ext cx="5394960" cy="3424001"/>
                    </a:xfrm>
                    <a:prstGeom prst="rect"/>
                  </pic:spPr>
                </pic:pic>
              </a:graphicData>
            </a:graphic>
          </wp:inline>
        </w:drawing>
      </w:r>
    </w:p>
    <w:p>
      <w:pPr>
        <w:jc w:val="center"/>
      </w:pPr>
      <w:r>
        <w:rPr>
          <w:rFonts w:ascii="Aptos" w:hAnsi="Aptos"/>
          <w:b w:val="0"/>
          <w:i/>
          <w:color w:val="002D72"/>
          <w:sz w:val="17"/>
        </w:rPr>
        <w:t>Figure 15 – An IFH dashboard — scoped like a GFH, but without client/tool setup buttons.</w:t>
      </w:r>
    </w:p>
    <w:p>
      <w:pPr>
        <w:pStyle w:val="Heading2"/>
      </w:pPr>
      <w:r>
        <w:rPr>
          <w:rFonts w:ascii="Aptos" w:hAnsi="Aptos"/>
          <w:b w:val="0"/>
          <w:i w:val="0"/>
        </w:rPr>
        <w:t>6.3 Drilling into a department</w:t>
      </w:r>
    </w:p>
    <w:p>
      <w:pPr/>
      <w:r>
        <w:rPr>
          <w:rFonts w:ascii="Aptos" w:hAnsi="Aptos"/>
          <w:b w:val="0"/>
          <w:i w:val="0"/>
        </w:rPr>
        <w:t>Click a department card to drill in (Figure 16). You get:</w:t>
      </w:r>
    </w:p>
    <w:p>
      <w:pPr>
        <w:pStyle w:val="ListBullet"/>
      </w:pPr>
      <w:r>
        <w:rPr>
          <w:rFonts w:ascii="Aptos" w:hAnsi="Aptos"/>
          <w:sz w:val="20"/>
        </w:rPr>
        <w:t>a breadcrumb (All Departments) to go back, and a Filter by client row;</w:t>
      </w:r>
    </w:p>
    <w:p>
      <w:pPr>
        <w:pStyle w:val="ListBullet"/>
      </w:pPr>
      <w:r>
        <w:rPr>
          <w:rFonts w:ascii="Aptos" w:hAnsi="Aptos"/>
          <w:sz w:val="20"/>
        </w:rPr>
        <w:t>a department header with the completion breakdown bar and donut;</w:t>
      </w:r>
    </w:p>
    <w:p>
      <w:pPr>
        <w:pStyle w:val="ListBullet"/>
      </w:pPr>
      <w:r>
        <w:rPr>
          <w:rFonts w:ascii="Aptos" w:hAnsi="Aptos"/>
          <w:sz w:val="20"/>
        </w:rPr>
        <w:t>an Exception Exports card — download Incomplete submissions (associates who have not finished) and Access disputes (tools reported as No access);</w:t>
      </w:r>
    </w:p>
    <w:p>
      <w:pPr>
        <w:pStyle w:val="ListBullet"/>
      </w:pPr>
      <w:r>
        <w:rPr>
          <w:rFonts w:ascii="Aptos" w:hAnsi="Aptos"/>
          <w:sz w:val="20"/>
        </w:rPr>
        <w:t>a Managers grid — each manager’s completion. Click a manager to drill further into their associates.</w:t>
      </w:r>
    </w:p>
    <w:p>
      <w:pPr>
        <w:jc w:val="center"/>
      </w:pPr>
      <w:r>
        <w:drawing>
          <wp:inline xmlns:a="http://schemas.openxmlformats.org/drawingml/2006/main" xmlns:pic="http://schemas.openxmlformats.org/drawingml/2006/picture">
            <wp:extent cx="5394960" cy="3424001"/>
            <wp:docPr id="19" name="Picture 19"/>
            <wp:cNvGraphicFramePr>
              <a:graphicFrameLocks noChangeAspect="1"/>
            </wp:cNvGraphicFramePr>
            <a:graphic>
              <a:graphicData uri="http://schemas.openxmlformats.org/drawingml/2006/picture">
                <pic:pic>
                  <pic:nvPicPr>
                    <pic:cNvPr id="0" name="page18_img1.jpg"/>
                    <pic:cNvPicPr/>
                  </pic:nvPicPr>
                  <pic:blipFill>
                    <a:blip r:embed="rId41"/>
                    <a:stretch>
                      <a:fillRect/>
                    </a:stretch>
                  </pic:blipFill>
                  <pic:spPr>
                    <a:xfrm>
                      <a:off x="0" y="0"/>
                      <a:ext cx="5394960" cy="3424001"/>
                    </a:xfrm>
                    <a:prstGeom prst="rect"/>
                  </pic:spPr>
                </pic:pic>
              </a:graphicData>
            </a:graphic>
          </wp:inline>
        </w:drawing>
      </w:r>
    </w:p>
    <w:p>
      <w:pPr>
        <w:jc w:val="center"/>
      </w:pPr>
      <w:r>
        <w:rPr>
          <w:rFonts w:ascii="Aptos" w:hAnsi="Aptos"/>
          <w:b w:val="0"/>
          <w:i/>
          <w:color w:val="002D72"/>
          <w:sz w:val="17"/>
        </w:rPr>
        <w:t>Figure 16 – Department drill-down: completion breakdown, the Exception Exports card, and the managers grid.</w:t>
      </w:r>
    </w:p>
    <w:p>
      <w:pPr>
        <w:pStyle w:val="Heading2"/>
      </w:pPr>
      <w:r>
        <w:rPr>
          <w:rFonts w:ascii="Aptos" w:hAnsi="Aptos"/>
          <w:b w:val="0"/>
          <w:i w:val="0"/>
        </w:rPr>
        <w:t>6.4 Notifications</w:t>
      </w:r>
    </w:p>
    <w:p>
      <w:pPr/>
      <w:r>
        <w:rPr>
          <w:rFonts w:ascii="Aptos" w:hAnsi="Aptos"/>
          <w:b w:val="0"/>
          <w:i w:val="0"/>
        </w:rPr>
        <w:t>The bell in the top bar opens the notifications panel (Figure 17), which highlights departments falling behind as the due date nears, plus a cycle reminder. Use Mark all read to clear the badge.</w:t>
      </w:r>
    </w:p>
    <w:p>
      <w:pPr>
        <w:jc w:val="center"/>
      </w:pPr>
      <w:r>
        <w:drawing>
          <wp:inline xmlns:a="http://schemas.openxmlformats.org/drawingml/2006/main" xmlns:pic="http://schemas.openxmlformats.org/drawingml/2006/picture">
            <wp:extent cx="5394960" cy="3424001"/>
            <wp:docPr id="20" name="Picture 20"/>
            <wp:cNvGraphicFramePr>
              <a:graphicFrameLocks noChangeAspect="1"/>
            </wp:cNvGraphicFramePr>
            <a:graphic>
              <a:graphicData uri="http://schemas.openxmlformats.org/drawingml/2006/picture">
                <pic:pic>
                  <pic:nvPicPr>
                    <pic:cNvPr id="0" name="page18_img2.jpg"/>
                    <pic:cNvPicPr/>
                  </pic:nvPicPr>
                  <pic:blipFill>
                    <a:blip r:embed="rId42"/>
                    <a:stretch>
                      <a:fillRect/>
                    </a:stretch>
                  </pic:blipFill>
                  <pic:spPr>
                    <a:xfrm>
                      <a:off x="0" y="0"/>
                      <a:ext cx="5394960" cy="3424001"/>
                    </a:xfrm>
                    <a:prstGeom prst="rect"/>
                  </pic:spPr>
                </pic:pic>
              </a:graphicData>
            </a:graphic>
          </wp:inline>
        </w:drawing>
      </w:r>
    </w:p>
    <w:p>
      <w:pPr>
        <w:jc w:val="center"/>
      </w:pPr>
      <w:r>
        <w:rPr>
          <w:rFonts w:ascii="Aptos" w:hAnsi="Aptos"/>
          <w:b w:val="0"/>
          <w:i/>
          <w:color w:val="002D72"/>
          <w:sz w:val="17"/>
        </w:rPr>
        <w:t>Figure 17 – The notifications panel.</w:t>
      </w:r>
    </w:p>
    <w:p>
      <w:pPr>
        <w:pStyle w:val="Heading2"/>
      </w:pPr>
      <w:r>
        <w:rPr>
          <w:rFonts w:ascii="Aptos" w:hAnsi="Aptos"/>
          <w:b w:val="0"/>
          <w:i w:val="0"/>
        </w:rPr>
        <w:t>6.5 Adding clients and tools (Admin / GFH / GFH Delegate)</w:t>
      </w:r>
    </w:p>
    <w:p>
      <w:pPr/>
      <w:r>
        <w:rPr>
          <w:rFonts w:ascii="Aptos" w:hAnsi="Aptos"/>
          <w:b w:val="0"/>
          <w:i w:val="0"/>
        </w:rPr>
        <w:t>Add a client. Click Add Client, enter a Client ID (text — leading zeros are preserved, e.g. “0039”) and a Client Name, then Add Client (Figure 18).</w:t>
      </w:r>
    </w:p>
    <w:p>
      <w:pPr>
        <w:jc w:val="center"/>
      </w:pPr>
      <w:r>
        <w:drawing>
          <wp:inline xmlns:a="http://schemas.openxmlformats.org/drawingml/2006/main" xmlns:pic="http://schemas.openxmlformats.org/drawingml/2006/picture">
            <wp:extent cx="5394960" cy="3424001"/>
            <wp:docPr id="21" name="Picture 21"/>
            <wp:cNvGraphicFramePr>
              <a:graphicFrameLocks noChangeAspect="1"/>
            </wp:cNvGraphicFramePr>
            <a:graphic>
              <a:graphicData uri="http://schemas.openxmlformats.org/drawingml/2006/picture">
                <pic:pic>
                  <pic:nvPicPr>
                    <pic:cNvPr id="0" name="page19_img1.jpg"/>
                    <pic:cNvPicPr/>
                  </pic:nvPicPr>
                  <pic:blipFill>
                    <a:blip r:embed="rId43"/>
                    <a:stretch>
                      <a:fillRect/>
                    </a:stretch>
                  </pic:blipFill>
                  <pic:spPr>
                    <a:xfrm>
                      <a:off x="0" y="0"/>
                      <a:ext cx="5394960" cy="3424001"/>
                    </a:xfrm>
                    <a:prstGeom prst="rect"/>
                  </pic:spPr>
                </pic:pic>
              </a:graphicData>
            </a:graphic>
          </wp:inline>
        </w:drawing>
      </w:r>
    </w:p>
    <w:p>
      <w:pPr>
        <w:jc w:val="center"/>
      </w:pPr>
      <w:r>
        <w:rPr>
          <w:rFonts w:ascii="Aptos" w:hAnsi="Aptos"/>
          <w:b w:val="0"/>
          <w:i/>
          <w:color w:val="002D72"/>
          <w:sz w:val="17"/>
        </w:rPr>
        <w:t>Figure 18 – The Add Client dialog.</w:t>
      </w:r>
    </w:p>
    <w:p>
      <w:pPr/>
      <w:r>
        <w:rPr>
          <w:rFonts w:ascii="Aptos" w:hAnsi="Aptos"/>
          <w:b w:val="0"/>
          <w:i w:val="0"/>
        </w:rPr>
        <w:t>Add a tool. Click Add Tool, choose the Client and the Department the tool belongs to, type the Tool Name, then Add Tool (Figure 19). The tool then becomes available for managers in that department to assign.</w:t>
      </w:r>
    </w:p>
    <w:p>
      <w:pPr>
        <w:jc w:val="center"/>
      </w:pPr>
      <w:r>
        <w:drawing>
          <wp:inline xmlns:a="http://schemas.openxmlformats.org/drawingml/2006/main" xmlns:pic="http://schemas.openxmlformats.org/drawingml/2006/picture">
            <wp:extent cx="5394960" cy="3424001"/>
            <wp:docPr id="22" name="Picture 22"/>
            <wp:cNvGraphicFramePr>
              <a:graphicFrameLocks noChangeAspect="1"/>
            </wp:cNvGraphicFramePr>
            <a:graphic>
              <a:graphicData uri="http://schemas.openxmlformats.org/drawingml/2006/picture">
                <pic:pic>
                  <pic:nvPicPr>
                    <pic:cNvPr id="0" name="page19_img2.jpg"/>
                    <pic:cNvPicPr/>
                  </pic:nvPicPr>
                  <pic:blipFill>
                    <a:blip r:embed="rId44"/>
                    <a:stretch>
                      <a:fillRect/>
                    </a:stretch>
                  </pic:blipFill>
                  <pic:spPr>
                    <a:xfrm>
                      <a:off x="0" y="0"/>
                      <a:ext cx="5394960" cy="3424001"/>
                    </a:xfrm>
                    <a:prstGeom prst="rect"/>
                  </pic:spPr>
                </pic:pic>
              </a:graphicData>
            </a:graphic>
          </wp:inline>
        </w:drawing>
      </w:r>
    </w:p>
    <w:p>
      <w:pPr>
        <w:jc w:val="center"/>
      </w:pPr>
      <w:r>
        <w:rPr>
          <w:rFonts w:ascii="Aptos" w:hAnsi="Aptos"/>
          <w:b w:val="0"/>
          <w:i/>
          <w:color w:val="002D72"/>
          <w:sz w:val="17"/>
        </w:rPr>
        <w:t>Figure 19 – The Add Tool dialog. The department determines which managers can later grant the tool.</w:t>
      </w:r>
    </w:p>
    <w:p>
      <w:pPr>
        <w:pStyle w:val="Heading1"/>
      </w:pPr>
      <w:r>
        <w:rPr>
          <w:rFonts w:ascii="Aptos" w:hAnsi="Aptos"/>
          <w:b w:val="0"/>
          <w:i w:val="0"/>
        </w:rPr>
        <w:t>7 User directory (Administrators)</w:t>
      </w:r>
    </w:p>
    <w:p>
      <w:pPr/>
      <w:r>
        <w:rPr>
          <w:rFonts w:ascii="Aptos" w:hAnsi="Aptos"/>
          <w:b w:val="0"/>
          <w:i w:val="0"/>
        </w:rPr>
        <w:t>Administrators can open the Users tab for a read-only directory of everyone in the system (Figure 20): associate ID, full name, user name, department, and manager. Use the search box to filter by name, ID, user name, department, or manager.</w:t>
      </w:r>
    </w:p>
    <w:p>
      <w:pPr>
        <w:jc w:val="center"/>
      </w:pPr>
      <w:r>
        <w:drawing>
          <wp:inline xmlns:a="http://schemas.openxmlformats.org/drawingml/2006/main" xmlns:pic="http://schemas.openxmlformats.org/drawingml/2006/picture">
            <wp:extent cx="5394960" cy="3424001"/>
            <wp:docPr id="23" name="Picture 23"/>
            <wp:cNvGraphicFramePr>
              <a:graphicFrameLocks noChangeAspect="1"/>
            </wp:cNvGraphicFramePr>
            <a:graphic>
              <a:graphicData uri="http://schemas.openxmlformats.org/drawingml/2006/picture">
                <pic:pic>
                  <pic:nvPicPr>
                    <pic:cNvPr id="0" name="page20_img1.jpg"/>
                    <pic:cNvPicPr/>
                  </pic:nvPicPr>
                  <pic:blipFill>
                    <a:blip r:embed="rId45"/>
                    <a:stretch>
                      <a:fillRect/>
                    </a:stretch>
                  </pic:blipFill>
                  <pic:spPr>
                    <a:xfrm>
                      <a:off x="0" y="0"/>
                      <a:ext cx="5394960" cy="3424001"/>
                    </a:xfrm>
                    <a:prstGeom prst="rect"/>
                  </pic:spPr>
                </pic:pic>
              </a:graphicData>
            </a:graphic>
          </wp:inline>
        </w:drawing>
      </w:r>
    </w:p>
    <w:p>
      <w:pPr>
        <w:jc w:val="center"/>
      </w:pPr>
      <w:r>
        <w:rPr>
          <w:rFonts w:ascii="Aptos" w:hAnsi="Aptos"/>
          <w:b w:val="0"/>
          <w:i/>
          <w:color w:val="002D72"/>
          <w:sz w:val="17"/>
        </w:rPr>
        <w:t>Figure 20 – The user directory. The edit (pencil) action in the last column is available to administrators only.</w:t>
      </w:r>
    </w:p>
    <w:p>
      <w:pPr>
        <w:pStyle w:val="Heading2"/>
      </w:pPr>
      <w:r>
        <w:rPr>
          <w:rFonts w:ascii="Aptos" w:hAnsi="Aptos"/>
          <w:b w:val="0"/>
          <w:i w:val="0"/>
        </w:rPr>
        <w:t>7.1 Editing a user</w:t>
      </w:r>
    </w:p>
    <w:p>
      <w:pPr/>
      <w:r>
        <w:rPr>
          <w:rFonts w:ascii="Aptos" w:hAnsi="Aptos"/>
          <w:b w:val="0"/>
          <w:i w:val="0"/>
        </w:rPr>
        <w:t>Click the pencil icon on a row to open Edit User (Figure 21). You can update the first/last name, user name, department, manager, and e-mail address, then Save.</w:t>
      </w:r>
    </w:p>
    <w:p>
      <w:pPr>
        <w:jc w:val="center"/>
      </w:pPr>
      <w:r>
        <w:drawing>
          <wp:inline xmlns:a="http://schemas.openxmlformats.org/drawingml/2006/main" xmlns:pic="http://schemas.openxmlformats.org/drawingml/2006/picture">
            <wp:extent cx="5394960" cy="3424001"/>
            <wp:docPr id="24" name="Picture 24"/>
            <wp:cNvGraphicFramePr>
              <a:graphicFrameLocks noChangeAspect="1"/>
            </wp:cNvGraphicFramePr>
            <a:graphic>
              <a:graphicData uri="http://schemas.openxmlformats.org/drawingml/2006/picture">
                <pic:pic>
                  <pic:nvPicPr>
                    <pic:cNvPr id="0" name="page20_img2.jpg"/>
                    <pic:cNvPicPr/>
                  </pic:nvPicPr>
                  <pic:blipFill>
                    <a:blip r:embed="rId46"/>
                    <a:stretch>
                      <a:fillRect/>
                    </a:stretch>
                  </pic:blipFill>
                  <pic:spPr>
                    <a:xfrm>
                      <a:off x="0" y="0"/>
                      <a:ext cx="5394960" cy="3424001"/>
                    </a:xfrm>
                    <a:prstGeom prst="rect"/>
                  </pic:spPr>
                </pic:pic>
              </a:graphicData>
            </a:graphic>
          </wp:inline>
        </w:drawing>
      </w:r>
    </w:p>
    <w:p>
      <w:pPr>
        <w:jc w:val="center"/>
      </w:pPr>
      <w:r>
        <w:rPr>
          <w:rFonts w:ascii="Aptos" w:hAnsi="Aptos"/>
          <w:b w:val="0"/>
          <w:i/>
          <w:color w:val="002D72"/>
          <w:sz w:val="17"/>
        </w:rPr>
        <w:t>Figure 21 – The Edit User dialog.</w:t>
      </w:r>
    </w:p>
    <w:p>
      <w:pPr>
        <w:pStyle w:val="Heading3"/>
      </w:pPr>
      <w:r>
        <w:rPr>
          <w:rFonts w:ascii="Aptos" w:hAnsi="Aptos"/>
          <w:b/>
          <w:i w:val="0"/>
          <w:color w:val="00A9E0"/>
        </w:rPr>
        <w:t>IMPORTANT</w:t>
      </w:r>
    </w:p>
    <w:p>
      <w:pPr/>
      <w:r>
        <w:rPr>
          <w:rFonts w:ascii="Aptos" w:hAnsi="Aptos"/>
          <w:b w:val="0"/>
          <w:i w:val="0"/>
        </w:rPr>
        <w:t>Changing a user’s Manager immediately moves them into that manager’s team for tracking and access management. Changing the Department affects which tools can be granted to them.</w:t>
      </w:r>
    </w:p>
    <w:p>
      <w:pPr>
        <w:pStyle w:val="Heading1"/>
      </w:pPr>
      <w:r>
        <w:rPr>
          <w:rFonts w:ascii="Aptos" w:hAnsi="Aptos"/>
          <w:b w:val="0"/>
          <w:i w:val="0"/>
        </w:rPr>
        <w:t>8 Reference</w:t>
      </w:r>
    </w:p>
    <w:p>
      <w:pPr>
        <w:pStyle w:val="Heading2"/>
      </w:pPr>
      <w:r>
        <w:rPr>
          <w:rFonts w:ascii="Aptos" w:hAnsi="Aptos"/>
          <w:b w:val="0"/>
          <w:i w:val="0"/>
        </w:rPr>
        <w:t>8.1 Completion status thresholds</w:t>
      </w:r>
    </w:p>
    <w:p>
      <w:pPr/>
      <w:r>
        <w:rPr>
          <w:rFonts w:ascii="Aptos" w:hAnsi="Aptos"/>
          <w:b w:val="0"/>
          <w:i w:val="0"/>
        </w:rPr>
        <w:t>Department and manager completion is colour-coded by percentage:</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002D72"/>
          </w:tcPr>
          <w:p>
            <w:r/>
            <w:r>
              <w:rPr>
                <w:rFonts w:ascii="Aptos" w:hAnsi="Aptos"/>
                <w:b/>
                <w:color w:val="FFFFFF"/>
                <w:sz w:val="19"/>
              </w:rPr>
              <w:t>Status</w:t>
            </w:r>
          </w:p>
        </w:tc>
        <w:tc>
          <w:tcPr>
            <w:tcW w:type="dxa" w:w="5040"/>
            <w:vAlign w:val="center"/>
            <w:shd w:fill="002D72"/>
          </w:tcPr>
          <w:p>
            <w:r/>
            <w:r>
              <w:rPr>
                <w:rFonts w:ascii="Aptos" w:hAnsi="Aptos"/>
                <w:b/>
                <w:color w:val="FFFFFF"/>
                <w:sz w:val="19"/>
              </w:rPr>
              <w:t>Completion</w:t>
            </w:r>
          </w:p>
        </w:tc>
      </w:tr>
      <w:tr>
        <w:tc>
          <w:tcPr>
            <w:tcW w:type="dxa" w:w="5040"/>
            <w:vAlign w:val="center"/>
            <w:shd w:fill="F2F4F7"/>
          </w:tcPr>
          <w:p>
            <w:r/>
            <w:r>
              <w:rPr>
                <w:rFonts w:ascii="Aptos" w:hAnsi="Aptos"/>
                <w:b/>
                <w:color w:val="1F2A44"/>
                <w:sz w:val="19"/>
              </w:rPr>
              <w:t>At Risk</w:t>
            </w:r>
          </w:p>
        </w:tc>
        <w:tc>
          <w:tcPr>
            <w:tcW w:type="dxa" w:w="5040"/>
            <w:vAlign w:val="center"/>
            <w:shd w:fill="F2F4F7"/>
          </w:tcPr>
          <w:p>
            <w:r/>
            <w:r>
              <w:rPr>
                <w:rFonts w:ascii="Aptos" w:hAnsi="Aptos"/>
                <w:b w:val="0"/>
                <w:color w:val="1F2A44"/>
                <w:sz w:val="19"/>
              </w:rPr>
              <w:t>below 50%</w:t>
            </w:r>
          </w:p>
        </w:tc>
      </w:tr>
      <w:tr>
        <w:tc>
          <w:tcPr>
            <w:tcW w:type="dxa" w:w="5040"/>
            <w:vAlign w:val="center"/>
          </w:tcPr>
          <w:p>
            <w:r/>
            <w:r>
              <w:rPr>
                <w:rFonts w:ascii="Aptos" w:hAnsi="Aptos"/>
                <w:b/>
                <w:color w:val="1F2A44"/>
                <w:sz w:val="19"/>
              </w:rPr>
              <w:t>Below Target</w:t>
            </w:r>
          </w:p>
        </w:tc>
        <w:tc>
          <w:tcPr>
            <w:tcW w:type="dxa" w:w="5040"/>
            <w:vAlign w:val="center"/>
          </w:tcPr>
          <w:p>
            <w:r/>
            <w:r>
              <w:rPr>
                <w:rFonts w:ascii="Aptos" w:hAnsi="Aptos"/>
                <w:b w:val="0"/>
                <w:color w:val="1F2A44"/>
                <w:sz w:val="19"/>
              </w:rPr>
              <w:t>50% - 74%</w:t>
            </w:r>
          </w:p>
        </w:tc>
      </w:tr>
      <w:tr>
        <w:tc>
          <w:tcPr>
            <w:tcW w:type="dxa" w:w="5040"/>
            <w:vAlign w:val="center"/>
            <w:shd w:fill="F2F4F7"/>
          </w:tcPr>
          <w:p>
            <w:r/>
            <w:r>
              <w:rPr>
                <w:rFonts w:ascii="Aptos" w:hAnsi="Aptos"/>
                <w:b/>
                <w:color w:val="1F2A44"/>
                <w:sz w:val="19"/>
              </w:rPr>
              <w:t>On Track</w:t>
            </w:r>
          </w:p>
        </w:tc>
        <w:tc>
          <w:tcPr>
            <w:tcW w:type="dxa" w:w="5040"/>
            <w:vAlign w:val="center"/>
            <w:shd w:fill="F2F4F7"/>
          </w:tcPr>
          <w:p>
            <w:r/>
            <w:r>
              <w:rPr>
                <w:rFonts w:ascii="Aptos" w:hAnsi="Aptos"/>
                <w:b w:val="0"/>
                <w:color w:val="1F2A44"/>
                <w:sz w:val="19"/>
              </w:rPr>
              <w:t>75% - 89%</w:t>
            </w:r>
          </w:p>
        </w:tc>
      </w:tr>
      <w:tr>
        <w:tc>
          <w:tcPr>
            <w:tcW w:type="dxa" w:w="5040"/>
            <w:vAlign w:val="center"/>
          </w:tcPr>
          <w:p>
            <w:r/>
            <w:r>
              <w:rPr>
                <w:rFonts w:ascii="Aptos" w:hAnsi="Aptos"/>
                <w:b/>
                <w:color w:val="1F2A44"/>
                <w:sz w:val="19"/>
              </w:rPr>
              <w:t>Completed</w:t>
            </w:r>
          </w:p>
        </w:tc>
        <w:tc>
          <w:tcPr>
            <w:tcW w:type="dxa" w:w="5040"/>
            <w:vAlign w:val="center"/>
          </w:tcPr>
          <w:p>
            <w:r/>
            <w:r>
              <w:rPr>
                <w:rFonts w:ascii="Aptos" w:hAnsi="Aptos"/>
                <w:b w:val="0"/>
                <w:color w:val="1F2A44"/>
                <w:sz w:val="19"/>
              </w:rPr>
              <w:t>90% and above</w:t>
            </w:r>
          </w:p>
        </w:tc>
      </w:tr>
    </w:tbl>
    <w:p/>
    <w:p>
      <w:pPr/>
      <w:r>
        <w:rPr>
          <w:rFonts w:ascii="Aptos" w:hAnsi="Aptos"/>
          <w:b w:val="0"/>
          <w:i w:val="0"/>
        </w:rPr>
        <w:t>At Risk below 50%</w:t>
      </w:r>
    </w:p>
    <w:p>
      <w:pPr/>
      <w:r>
        <w:rPr>
          <w:rFonts w:ascii="Aptos" w:hAnsi="Aptos"/>
          <w:b w:val="0"/>
          <w:i w:val="0"/>
        </w:rPr>
        <w:t>Below Target 50% – 74%</w:t>
      </w:r>
    </w:p>
    <w:p>
      <w:pPr/>
      <w:r>
        <w:rPr>
          <w:rFonts w:ascii="Aptos" w:hAnsi="Aptos"/>
          <w:b w:val="0"/>
          <w:i w:val="0"/>
        </w:rPr>
        <w:t>On Track 75% – 89%</w:t>
      </w:r>
    </w:p>
    <w:p>
      <w:pPr/>
      <w:r>
        <w:rPr>
          <w:rFonts w:ascii="Aptos" w:hAnsi="Aptos"/>
          <w:b w:val="0"/>
          <w:i w:val="0"/>
        </w:rPr>
        <w:t>Completed 90% and above</w:t>
      </w:r>
    </w:p>
    <w:p>
      <w:pPr/>
      <w:r>
        <w:rPr>
          <w:rFonts w:ascii="Aptos" w:hAnsi="Aptos"/>
          <w:b w:val="0"/>
          <w:i w:val="0"/>
        </w:rPr>
        <w:t>Associate / team-member status is reported as Not started (nothing answered), In progress (some answered), or Submitted (all answered / locked).</w:t>
      </w:r>
    </w:p>
    <w:p>
      <w:pPr>
        <w:pStyle w:val="Heading2"/>
      </w:pPr>
      <w:r>
        <w:rPr>
          <w:rFonts w:ascii="Aptos" w:hAnsi="Aptos"/>
          <w:b w:val="0"/>
          <w:i w:val="0"/>
        </w:rPr>
        <w:t>8.2 Role &amp; permission matrix</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vAlign w:val="center"/>
            <w:shd w:fill="002D72"/>
          </w:tcPr>
          <w:p>
            <w:r/>
            <w:r>
              <w:rPr>
                <w:rFonts w:ascii="Aptos" w:hAnsi="Aptos"/>
                <w:b/>
                <w:color w:val="FFFFFF"/>
                <w:sz w:val="19"/>
              </w:rPr>
              <w:t>Capability</w:t>
            </w:r>
          </w:p>
        </w:tc>
        <w:tc>
          <w:tcPr>
            <w:tcW w:type="dxa" w:w="1680"/>
            <w:vAlign w:val="center"/>
            <w:shd w:fill="002D72"/>
          </w:tcPr>
          <w:p>
            <w:r/>
            <w:r>
              <w:rPr>
                <w:rFonts w:ascii="Aptos" w:hAnsi="Aptos"/>
                <w:b/>
                <w:color w:val="FFFFFF"/>
                <w:sz w:val="19"/>
              </w:rPr>
              <w:t>Assoc.</w:t>
            </w:r>
          </w:p>
        </w:tc>
        <w:tc>
          <w:tcPr>
            <w:tcW w:type="dxa" w:w="1680"/>
            <w:vAlign w:val="center"/>
            <w:shd w:fill="002D72"/>
          </w:tcPr>
          <w:p>
            <w:r/>
            <w:r>
              <w:rPr>
                <w:rFonts w:ascii="Aptos" w:hAnsi="Aptos"/>
                <w:b/>
                <w:color w:val="FFFFFF"/>
                <w:sz w:val="19"/>
              </w:rPr>
              <w:t>Mgr</w:t>
            </w:r>
          </w:p>
        </w:tc>
        <w:tc>
          <w:tcPr>
            <w:tcW w:type="dxa" w:w="1680"/>
            <w:vAlign w:val="center"/>
            <w:shd w:fill="002D72"/>
          </w:tcPr>
          <w:p>
            <w:r/>
            <w:r>
              <w:rPr>
                <w:rFonts w:ascii="Aptos" w:hAnsi="Aptos"/>
                <w:b/>
                <w:color w:val="FFFFFF"/>
                <w:sz w:val="19"/>
              </w:rPr>
              <w:t>IFH</w:t>
            </w:r>
          </w:p>
        </w:tc>
        <w:tc>
          <w:tcPr>
            <w:tcW w:type="dxa" w:w="1680"/>
            <w:vAlign w:val="center"/>
            <w:shd w:fill="002D72"/>
          </w:tcPr>
          <w:p>
            <w:r/>
            <w:r>
              <w:rPr>
                <w:rFonts w:ascii="Aptos" w:hAnsi="Aptos"/>
                <w:b/>
                <w:color w:val="FFFFFF"/>
                <w:sz w:val="19"/>
              </w:rPr>
              <w:t>GFH</w:t>
            </w:r>
          </w:p>
        </w:tc>
        <w:tc>
          <w:tcPr>
            <w:tcW w:type="dxa" w:w="1680"/>
            <w:vAlign w:val="center"/>
            <w:shd w:fill="002D72"/>
          </w:tcPr>
          <w:p>
            <w:r/>
            <w:r>
              <w:rPr>
                <w:rFonts w:ascii="Aptos" w:hAnsi="Aptos"/>
                <w:b/>
                <w:color w:val="FFFFFF"/>
                <w:sz w:val="19"/>
              </w:rPr>
              <w:t>Admin/Del.</w:t>
            </w:r>
          </w:p>
        </w:tc>
      </w:tr>
      <w:tr>
        <w:tc>
          <w:tcPr>
            <w:tcW w:type="dxa" w:w="1680"/>
            <w:vAlign w:val="center"/>
            <w:shd w:fill="F2F4F7"/>
          </w:tcPr>
          <w:p>
            <w:r/>
            <w:r>
              <w:rPr>
                <w:rFonts w:ascii="Aptos" w:hAnsi="Aptos"/>
                <w:b/>
                <w:color w:val="1F2A44"/>
                <w:sz w:val="19"/>
              </w:rPr>
              <w:t>Attest own tools</w:t>
            </w:r>
          </w:p>
        </w:tc>
        <w:tc>
          <w:tcPr>
            <w:tcW w:type="dxa" w:w="1680"/>
            <w:vAlign w:val="center"/>
            <w:shd w:fill="F2F4F7"/>
          </w:tcPr>
          <w:p>
            <w:r/>
            <w:r>
              <w:rPr>
                <w:rFonts w:ascii="Aptos" w:hAnsi="Aptos"/>
                <w:b w:val="0"/>
                <w:color w:val="1F2A44"/>
                <w:sz w:val="19"/>
              </w:rPr>
              <w:t>Yes</w:t>
            </w:r>
          </w:p>
        </w:tc>
        <w:tc>
          <w:tcPr>
            <w:tcW w:type="dxa" w:w="1680"/>
            <w:vAlign w:val="center"/>
            <w:shd w:fill="F2F4F7"/>
          </w:tcPr>
          <w:p>
            <w:r/>
            <w:r>
              <w:rPr>
                <w:rFonts w:ascii="Aptos" w:hAnsi="Aptos"/>
                <w:b w:val="0"/>
                <w:color w:val="1F2A44"/>
                <w:sz w:val="19"/>
              </w:rPr>
              <w:t>Yes</w:t>
            </w:r>
          </w:p>
        </w:tc>
        <w:tc>
          <w:tcPr>
            <w:tcW w:type="dxa" w:w="1680"/>
            <w:vAlign w:val="center"/>
            <w:shd w:fill="F2F4F7"/>
          </w:tcPr>
          <w:p>
            <w:r/>
            <w:r>
              <w:rPr>
                <w:rFonts w:ascii="Aptos" w:hAnsi="Aptos"/>
                <w:b w:val="0"/>
                <w:color w:val="1F2A44"/>
                <w:sz w:val="19"/>
              </w:rPr>
              <w:t>Yes</w:t>
            </w:r>
          </w:p>
        </w:tc>
        <w:tc>
          <w:tcPr>
            <w:tcW w:type="dxa" w:w="1680"/>
            <w:vAlign w:val="center"/>
            <w:shd w:fill="F2F4F7"/>
          </w:tcPr>
          <w:p>
            <w:r/>
            <w:r>
              <w:rPr>
                <w:rFonts w:ascii="Aptos" w:hAnsi="Aptos"/>
                <w:b w:val="0"/>
                <w:color w:val="1F2A44"/>
                <w:sz w:val="19"/>
              </w:rPr>
              <w:t>Yes</w:t>
            </w:r>
          </w:p>
        </w:tc>
        <w:tc>
          <w:tcPr>
            <w:tcW w:type="dxa" w:w="1680"/>
            <w:vAlign w:val="center"/>
            <w:shd w:fill="F2F4F7"/>
          </w:tcPr>
          <w:p>
            <w:r/>
            <w:r>
              <w:rPr>
                <w:rFonts w:ascii="Aptos" w:hAnsi="Aptos"/>
                <w:b w:val="0"/>
                <w:color w:val="1F2A44"/>
                <w:sz w:val="19"/>
              </w:rPr>
              <w:t>Yes</w:t>
            </w:r>
          </w:p>
        </w:tc>
      </w:tr>
      <w:tr>
        <w:tc>
          <w:tcPr>
            <w:tcW w:type="dxa" w:w="1680"/>
            <w:vAlign w:val="center"/>
          </w:tcPr>
          <w:p>
            <w:r/>
            <w:r>
              <w:rPr>
                <w:rFonts w:ascii="Aptos" w:hAnsi="Aptos"/>
                <w:b/>
                <w:color w:val="1F2A44"/>
                <w:sz w:val="19"/>
              </w:rPr>
              <w:t>Track a team</w:t>
            </w:r>
          </w:p>
        </w:tc>
        <w:tc>
          <w:tcPr>
            <w:tcW w:type="dxa" w:w="1680"/>
            <w:vAlign w:val="center"/>
          </w:tcPr>
          <w:p>
            <w:r/>
            <w:r>
              <w:rPr>
                <w:rFonts w:ascii="Aptos" w:hAnsi="Aptos"/>
                <w:b w:val="0"/>
                <w:color w:val="1F2A44"/>
                <w:sz w:val="19"/>
              </w:rPr>
              <w:t>-</w:t>
            </w:r>
          </w:p>
        </w:tc>
        <w:tc>
          <w:tcPr>
            <w:tcW w:type="dxa" w:w="1680"/>
            <w:vAlign w:val="center"/>
          </w:tcPr>
          <w:p>
            <w:r/>
            <w:r>
              <w:rPr>
                <w:rFonts w:ascii="Aptos" w:hAnsi="Aptos"/>
                <w:b w:val="0"/>
                <w:color w:val="1F2A44"/>
                <w:sz w:val="19"/>
              </w:rPr>
              <w:t>Yes</w:t>
            </w:r>
          </w:p>
        </w:tc>
        <w:tc>
          <w:tcPr>
            <w:tcW w:type="dxa" w:w="1680"/>
            <w:vAlign w:val="center"/>
          </w:tcPr>
          <w:p>
            <w:r/>
            <w:r>
              <w:rPr>
                <w:rFonts w:ascii="Aptos" w:hAnsi="Aptos"/>
                <w:b w:val="0"/>
                <w:color w:val="1F2A44"/>
                <w:sz w:val="19"/>
              </w:rPr>
              <w:t>-</w:t>
            </w:r>
          </w:p>
        </w:tc>
        <w:tc>
          <w:tcPr>
            <w:tcW w:type="dxa" w:w="1680"/>
            <w:vAlign w:val="center"/>
          </w:tcPr>
          <w:p>
            <w:r/>
            <w:r>
              <w:rPr>
                <w:rFonts w:ascii="Aptos" w:hAnsi="Aptos"/>
                <w:b w:val="0"/>
                <w:color w:val="1F2A44"/>
                <w:sz w:val="19"/>
              </w:rPr>
              <w:t>-</w:t>
            </w:r>
          </w:p>
        </w:tc>
        <w:tc>
          <w:tcPr>
            <w:tcW w:type="dxa" w:w="1680"/>
            <w:vAlign w:val="center"/>
          </w:tcPr>
          <w:p>
            <w:r/>
            <w:r>
              <w:rPr>
                <w:rFonts w:ascii="Aptos" w:hAnsi="Aptos"/>
                <w:b w:val="0"/>
                <w:color w:val="1F2A44"/>
                <w:sz w:val="19"/>
              </w:rPr>
              <w:t>-</w:t>
            </w:r>
          </w:p>
        </w:tc>
      </w:tr>
      <w:tr>
        <w:tc>
          <w:tcPr>
            <w:tcW w:type="dxa" w:w="1680"/>
            <w:vAlign w:val="center"/>
            <w:shd w:fill="F2F4F7"/>
          </w:tcPr>
          <w:p>
            <w:r/>
            <w:r>
              <w:rPr>
                <w:rFonts w:ascii="Aptos" w:hAnsi="Aptos"/>
                <w:b/>
                <w:color w:val="1F2A44"/>
                <w:sz w:val="19"/>
              </w:rPr>
              <w:t>Grant / revoke access</w:t>
            </w:r>
          </w:p>
        </w:tc>
        <w:tc>
          <w:tcPr>
            <w:tcW w:type="dxa" w:w="1680"/>
            <w:vAlign w:val="center"/>
            <w:shd w:fill="F2F4F7"/>
          </w:tcPr>
          <w:p>
            <w:r/>
            <w:r>
              <w:rPr>
                <w:rFonts w:ascii="Aptos" w:hAnsi="Aptos"/>
                <w:b w:val="0"/>
                <w:color w:val="1F2A44"/>
                <w:sz w:val="19"/>
              </w:rPr>
              <w:t>-</w:t>
            </w:r>
          </w:p>
        </w:tc>
        <w:tc>
          <w:tcPr>
            <w:tcW w:type="dxa" w:w="1680"/>
            <w:vAlign w:val="center"/>
            <w:shd w:fill="F2F4F7"/>
          </w:tcPr>
          <w:p>
            <w:r/>
            <w:r>
              <w:rPr>
                <w:rFonts w:ascii="Aptos" w:hAnsi="Aptos"/>
                <w:b w:val="0"/>
                <w:color w:val="1F2A44"/>
                <w:sz w:val="19"/>
              </w:rPr>
              <w:t>Yes</w:t>
            </w:r>
          </w:p>
        </w:tc>
        <w:tc>
          <w:tcPr>
            <w:tcW w:type="dxa" w:w="1680"/>
            <w:vAlign w:val="center"/>
            <w:shd w:fill="F2F4F7"/>
          </w:tcPr>
          <w:p>
            <w:r/>
            <w:r>
              <w:rPr>
                <w:rFonts w:ascii="Aptos" w:hAnsi="Aptos"/>
                <w:b w:val="0"/>
                <w:color w:val="1F2A44"/>
                <w:sz w:val="19"/>
              </w:rPr>
              <w:t>-</w:t>
            </w:r>
          </w:p>
        </w:tc>
        <w:tc>
          <w:tcPr>
            <w:tcW w:type="dxa" w:w="1680"/>
            <w:vAlign w:val="center"/>
            <w:shd w:fill="F2F4F7"/>
          </w:tcPr>
          <w:p>
            <w:r/>
            <w:r>
              <w:rPr>
                <w:rFonts w:ascii="Aptos" w:hAnsi="Aptos"/>
                <w:b w:val="0"/>
                <w:color w:val="1F2A44"/>
                <w:sz w:val="19"/>
              </w:rPr>
              <w:t>-</w:t>
            </w:r>
          </w:p>
        </w:tc>
        <w:tc>
          <w:tcPr>
            <w:tcW w:type="dxa" w:w="1680"/>
            <w:vAlign w:val="center"/>
            <w:shd w:fill="F2F4F7"/>
          </w:tcPr>
          <w:p>
            <w:r/>
            <w:r>
              <w:rPr>
                <w:rFonts w:ascii="Aptos" w:hAnsi="Aptos"/>
                <w:b w:val="0"/>
                <w:color w:val="1F2A44"/>
                <w:sz w:val="19"/>
              </w:rPr>
              <w:t>-</w:t>
            </w:r>
          </w:p>
        </w:tc>
      </w:tr>
      <w:tr>
        <w:tc>
          <w:tcPr>
            <w:tcW w:type="dxa" w:w="1680"/>
            <w:vAlign w:val="center"/>
          </w:tcPr>
          <w:p>
            <w:r/>
            <w:r>
              <w:rPr>
                <w:rFonts w:ascii="Aptos" w:hAnsi="Aptos"/>
                <w:b/>
                <w:color w:val="1F2A44"/>
                <w:sz w:val="19"/>
              </w:rPr>
              <w:t>Reopen a submission</w:t>
            </w:r>
          </w:p>
        </w:tc>
        <w:tc>
          <w:tcPr>
            <w:tcW w:type="dxa" w:w="1680"/>
            <w:vAlign w:val="center"/>
          </w:tcPr>
          <w:p>
            <w:r/>
            <w:r>
              <w:rPr>
                <w:rFonts w:ascii="Aptos" w:hAnsi="Aptos"/>
                <w:b w:val="0"/>
                <w:color w:val="1F2A44"/>
                <w:sz w:val="19"/>
              </w:rPr>
              <w:t>-</w:t>
            </w:r>
          </w:p>
        </w:tc>
        <w:tc>
          <w:tcPr>
            <w:tcW w:type="dxa" w:w="1680"/>
            <w:vAlign w:val="center"/>
          </w:tcPr>
          <w:p>
            <w:r/>
            <w:r>
              <w:rPr>
                <w:rFonts w:ascii="Aptos" w:hAnsi="Aptos"/>
                <w:b w:val="0"/>
                <w:color w:val="1F2A44"/>
                <w:sz w:val="19"/>
              </w:rPr>
              <w:t>Yes</w:t>
            </w:r>
          </w:p>
        </w:tc>
        <w:tc>
          <w:tcPr>
            <w:tcW w:type="dxa" w:w="1680"/>
            <w:vAlign w:val="center"/>
          </w:tcPr>
          <w:p>
            <w:r/>
            <w:r>
              <w:rPr>
                <w:rFonts w:ascii="Aptos" w:hAnsi="Aptos"/>
                <w:b w:val="0"/>
                <w:color w:val="1F2A44"/>
                <w:sz w:val="19"/>
              </w:rPr>
              <w:t>-</w:t>
            </w:r>
          </w:p>
        </w:tc>
        <w:tc>
          <w:tcPr>
            <w:tcW w:type="dxa" w:w="1680"/>
            <w:vAlign w:val="center"/>
          </w:tcPr>
          <w:p>
            <w:r/>
            <w:r>
              <w:rPr>
                <w:rFonts w:ascii="Aptos" w:hAnsi="Aptos"/>
                <w:b w:val="0"/>
                <w:color w:val="1F2A44"/>
                <w:sz w:val="19"/>
              </w:rPr>
              <w:t>-</w:t>
            </w:r>
          </w:p>
        </w:tc>
        <w:tc>
          <w:tcPr>
            <w:tcW w:type="dxa" w:w="1680"/>
            <w:vAlign w:val="center"/>
          </w:tcPr>
          <w:p>
            <w:r/>
            <w:r>
              <w:rPr>
                <w:rFonts w:ascii="Aptos" w:hAnsi="Aptos"/>
                <w:b w:val="0"/>
                <w:color w:val="1F2A44"/>
                <w:sz w:val="19"/>
              </w:rPr>
              <w:t>-</w:t>
            </w:r>
          </w:p>
        </w:tc>
      </w:tr>
      <w:tr>
        <w:tc>
          <w:tcPr>
            <w:tcW w:type="dxa" w:w="1680"/>
            <w:vAlign w:val="center"/>
            <w:shd w:fill="F2F4F7"/>
          </w:tcPr>
          <w:p>
            <w:r/>
            <w:r>
              <w:rPr>
                <w:rFonts w:ascii="Aptos" w:hAnsi="Aptos"/>
                <w:b/>
                <w:color w:val="1F2A44"/>
                <w:sz w:val="19"/>
              </w:rPr>
              <w:t>Department oversight dashboard</w:t>
            </w:r>
          </w:p>
        </w:tc>
        <w:tc>
          <w:tcPr>
            <w:tcW w:type="dxa" w:w="1680"/>
            <w:vAlign w:val="center"/>
            <w:shd w:fill="F2F4F7"/>
          </w:tcPr>
          <w:p>
            <w:r/>
            <w:r>
              <w:rPr>
                <w:rFonts w:ascii="Aptos" w:hAnsi="Aptos"/>
                <w:b w:val="0"/>
                <w:color w:val="1F2A44"/>
                <w:sz w:val="19"/>
              </w:rPr>
              <w:t>-</w:t>
            </w:r>
          </w:p>
        </w:tc>
        <w:tc>
          <w:tcPr>
            <w:tcW w:type="dxa" w:w="1680"/>
            <w:vAlign w:val="center"/>
            <w:shd w:fill="F2F4F7"/>
          </w:tcPr>
          <w:p>
            <w:r/>
            <w:r>
              <w:rPr>
                <w:rFonts w:ascii="Aptos" w:hAnsi="Aptos"/>
                <w:b w:val="0"/>
                <w:color w:val="1F2A44"/>
                <w:sz w:val="19"/>
              </w:rPr>
              <w:t>-</w:t>
            </w:r>
          </w:p>
        </w:tc>
        <w:tc>
          <w:tcPr>
            <w:tcW w:type="dxa" w:w="1680"/>
            <w:vAlign w:val="center"/>
            <w:shd w:fill="F2F4F7"/>
          </w:tcPr>
          <w:p>
            <w:r/>
            <w:r>
              <w:rPr>
                <w:rFonts w:ascii="Aptos" w:hAnsi="Aptos"/>
                <w:b w:val="0"/>
                <w:color w:val="1F2A44"/>
                <w:sz w:val="19"/>
              </w:rPr>
              <w:t>Yes</w:t>
            </w:r>
          </w:p>
        </w:tc>
        <w:tc>
          <w:tcPr>
            <w:tcW w:type="dxa" w:w="1680"/>
            <w:vAlign w:val="center"/>
            <w:shd w:fill="F2F4F7"/>
          </w:tcPr>
          <w:p>
            <w:r/>
            <w:r>
              <w:rPr>
                <w:rFonts w:ascii="Aptos" w:hAnsi="Aptos"/>
                <w:b w:val="0"/>
                <w:color w:val="1F2A44"/>
                <w:sz w:val="19"/>
              </w:rPr>
              <w:t>Yes</w:t>
            </w:r>
          </w:p>
        </w:tc>
        <w:tc>
          <w:tcPr>
            <w:tcW w:type="dxa" w:w="1680"/>
            <w:vAlign w:val="center"/>
            <w:shd w:fill="F2F4F7"/>
          </w:tcPr>
          <w:p>
            <w:r/>
            <w:r>
              <w:rPr>
                <w:rFonts w:ascii="Aptos" w:hAnsi="Aptos"/>
                <w:b w:val="0"/>
                <w:color w:val="1F2A44"/>
                <w:sz w:val="19"/>
              </w:rPr>
              <w:t>Yes</w:t>
            </w:r>
          </w:p>
        </w:tc>
      </w:tr>
      <w:tr>
        <w:tc>
          <w:tcPr>
            <w:tcW w:type="dxa" w:w="1680"/>
            <w:vAlign w:val="center"/>
          </w:tcPr>
          <w:p>
            <w:r/>
            <w:r>
              <w:rPr>
                <w:rFonts w:ascii="Aptos" w:hAnsi="Aptos"/>
                <w:b/>
                <w:color w:val="1F2A44"/>
                <w:sz w:val="19"/>
              </w:rPr>
              <w:t>Add clients / tools</w:t>
            </w:r>
          </w:p>
        </w:tc>
        <w:tc>
          <w:tcPr>
            <w:tcW w:type="dxa" w:w="1680"/>
            <w:vAlign w:val="center"/>
          </w:tcPr>
          <w:p>
            <w:r/>
            <w:r>
              <w:rPr>
                <w:rFonts w:ascii="Aptos" w:hAnsi="Aptos"/>
                <w:b w:val="0"/>
                <w:color w:val="1F2A44"/>
                <w:sz w:val="19"/>
              </w:rPr>
              <w:t>-</w:t>
            </w:r>
          </w:p>
        </w:tc>
        <w:tc>
          <w:tcPr>
            <w:tcW w:type="dxa" w:w="1680"/>
            <w:vAlign w:val="center"/>
          </w:tcPr>
          <w:p>
            <w:r/>
            <w:r>
              <w:rPr>
                <w:rFonts w:ascii="Aptos" w:hAnsi="Aptos"/>
                <w:b w:val="0"/>
                <w:color w:val="1F2A44"/>
                <w:sz w:val="19"/>
              </w:rPr>
              <w:t>-</w:t>
            </w:r>
          </w:p>
        </w:tc>
        <w:tc>
          <w:tcPr>
            <w:tcW w:type="dxa" w:w="1680"/>
            <w:vAlign w:val="center"/>
          </w:tcPr>
          <w:p>
            <w:r/>
            <w:r>
              <w:rPr>
                <w:rFonts w:ascii="Aptos" w:hAnsi="Aptos"/>
                <w:b w:val="0"/>
                <w:color w:val="1F2A44"/>
                <w:sz w:val="19"/>
              </w:rPr>
              <w:t>-</w:t>
            </w:r>
          </w:p>
        </w:tc>
        <w:tc>
          <w:tcPr>
            <w:tcW w:type="dxa" w:w="1680"/>
            <w:vAlign w:val="center"/>
          </w:tcPr>
          <w:p>
            <w:r/>
            <w:r>
              <w:rPr>
                <w:rFonts w:ascii="Aptos" w:hAnsi="Aptos"/>
                <w:b w:val="0"/>
                <w:color w:val="1F2A44"/>
                <w:sz w:val="19"/>
              </w:rPr>
              <w:t>Yes</w:t>
            </w:r>
          </w:p>
        </w:tc>
        <w:tc>
          <w:tcPr>
            <w:tcW w:type="dxa" w:w="1680"/>
            <w:vAlign w:val="center"/>
          </w:tcPr>
          <w:p>
            <w:r/>
            <w:r>
              <w:rPr>
                <w:rFonts w:ascii="Aptos" w:hAnsi="Aptos"/>
                <w:b w:val="0"/>
                <w:color w:val="1F2A44"/>
                <w:sz w:val="19"/>
              </w:rPr>
              <w:t>Yes</w:t>
            </w:r>
          </w:p>
        </w:tc>
      </w:tr>
      <w:tr>
        <w:tc>
          <w:tcPr>
            <w:tcW w:type="dxa" w:w="1680"/>
            <w:vAlign w:val="center"/>
            <w:shd w:fill="F2F4F7"/>
          </w:tcPr>
          <w:p>
            <w:r/>
            <w:r>
              <w:rPr>
                <w:rFonts w:ascii="Aptos" w:hAnsi="Aptos"/>
                <w:b/>
                <w:color w:val="1F2A44"/>
                <w:sz w:val="19"/>
              </w:rPr>
              <w:t>Org-wide visibility</w:t>
            </w:r>
          </w:p>
        </w:tc>
        <w:tc>
          <w:tcPr>
            <w:tcW w:type="dxa" w:w="1680"/>
            <w:vAlign w:val="center"/>
            <w:shd w:fill="F2F4F7"/>
          </w:tcPr>
          <w:p>
            <w:r/>
            <w:r>
              <w:rPr>
                <w:rFonts w:ascii="Aptos" w:hAnsi="Aptos"/>
                <w:b w:val="0"/>
                <w:color w:val="1F2A44"/>
                <w:sz w:val="19"/>
              </w:rPr>
              <w:t>-</w:t>
            </w:r>
          </w:p>
        </w:tc>
        <w:tc>
          <w:tcPr>
            <w:tcW w:type="dxa" w:w="1680"/>
            <w:vAlign w:val="center"/>
            <w:shd w:fill="F2F4F7"/>
          </w:tcPr>
          <w:p>
            <w:r/>
            <w:r>
              <w:rPr>
                <w:rFonts w:ascii="Aptos" w:hAnsi="Aptos"/>
                <w:b w:val="0"/>
                <w:color w:val="1F2A44"/>
                <w:sz w:val="19"/>
              </w:rPr>
              <w:t>-</w:t>
            </w:r>
          </w:p>
        </w:tc>
        <w:tc>
          <w:tcPr>
            <w:tcW w:type="dxa" w:w="1680"/>
            <w:vAlign w:val="center"/>
            <w:shd w:fill="F2F4F7"/>
          </w:tcPr>
          <w:p>
            <w:r/>
            <w:r>
              <w:rPr>
                <w:rFonts w:ascii="Aptos" w:hAnsi="Aptos"/>
                <w:b w:val="0"/>
                <w:color w:val="1F2A44"/>
                <w:sz w:val="19"/>
              </w:rPr>
              <w:t>-</w:t>
            </w:r>
          </w:p>
        </w:tc>
        <w:tc>
          <w:tcPr>
            <w:tcW w:type="dxa" w:w="1680"/>
            <w:vAlign w:val="center"/>
            <w:shd w:fill="F2F4F7"/>
          </w:tcPr>
          <w:p>
            <w:r/>
            <w:r>
              <w:rPr>
                <w:rFonts w:ascii="Aptos" w:hAnsi="Aptos"/>
                <w:b w:val="0"/>
                <w:color w:val="1F2A44"/>
                <w:sz w:val="19"/>
              </w:rPr>
              <w:t>-</w:t>
            </w:r>
          </w:p>
        </w:tc>
        <w:tc>
          <w:tcPr>
            <w:tcW w:type="dxa" w:w="1680"/>
            <w:vAlign w:val="center"/>
            <w:shd w:fill="F2F4F7"/>
          </w:tcPr>
          <w:p>
            <w:r/>
            <w:r>
              <w:rPr>
                <w:rFonts w:ascii="Aptos" w:hAnsi="Aptos"/>
                <w:b w:val="0"/>
                <w:color w:val="1F2A44"/>
                <w:sz w:val="19"/>
              </w:rPr>
              <w:t>Yes</w:t>
            </w:r>
          </w:p>
        </w:tc>
      </w:tr>
      <w:tr>
        <w:tc>
          <w:tcPr>
            <w:tcW w:type="dxa" w:w="1680"/>
            <w:vAlign w:val="center"/>
          </w:tcPr>
          <w:p>
            <w:r/>
            <w:r>
              <w:rPr>
                <w:rFonts w:ascii="Aptos" w:hAnsi="Aptos"/>
                <w:b/>
                <w:color w:val="1F2A44"/>
                <w:sz w:val="19"/>
              </w:rPr>
              <w:t>Edit the user directory</w:t>
            </w:r>
          </w:p>
        </w:tc>
        <w:tc>
          <w:tcPr>
            <w:tcW w:type="dxa" w:w="1680"/>
            <w:vAlign w:val="center"/>
          </w:tcPr>
          <w:p>
            <w:r/>
            <w:r>
              <w:rPr>
                <w:rFonts w:ascii="Aptos" w:hAnsi="Aptos"/>
                <w:b w:val="0"/>
                <w:color w:val="1F2A44"/>
                <w:sz w:val="19"/>
              </w:rPr>
              <w:t>-</w:t>
            </w:r>
          </w:p>
        </w:tc>
        <w:tc>
          <w:tcPr>
            <w:tcW w:type="dxa" w:w="1680"/>
            <w:vAlign w:val="center"/>
          </w:tcPr>
          <w:p>
            <w:r/>
            <w:r>
              <w:rPr>
                <w:rFonts w:ascii="Aptos" w:hAnsi="Aptos"/>
                <w:b w:val="0"/>
                <w:color w:val="1F2A44"/>
                <w:sz w:val="19"/>
              </w:rPr>
              <w:t>-</w:t>
            </w:r>
          </w:p>
        </w:tc>
        <w:tc>
          <w:tcPr>
            <w:tcW w:type="dxa" w:w="1680"/>
            <w:vAlign w:val="center"/>
          </w:tcPr>
          <w:p>
            <w:r/>
            <w:r>
              <w:rPr>
                <w:rFonts w:ascii="Aptos" w:hAnsi="Aptos"/>
                <w:b w:val="0"/>
                <w:color w:val="1F2A44"/>
                <w:sz w:val="19"/>
              </w:rPr>
              <w:t>-</w:t>
            </w:r>
          </w:p>
        </w:tc>
        <w:tc>
          <w:tcPr>
            <w:tcW w:type="dxa" w:w="1680"/>
            <w:vAlign w:val="center"/>
          </w:tcPr>
          <w:p>
            <w:r/>
            <w:r>
              <w:rPr>
                <w:rFonts w:ascii="Aptos" w:hAnsi="Aptos"/>
                <w:b w:val="0"/>
                <w:color w:val="1F2A44"/>
                <w:sz w:val="19"/>
              </w:rPr>
              <w:t>-</w:t>
            </w:r>
          </w:p>
        </w:tc>
        <w:tc>
          <w:tcPr>
            <w:tcW w:type="dxa" w:w="1680"/>
            <w:vAlign w:val="center"/>
          </w:tcPr>
          <w:p>
            <w:r/>
            <w:r>
              <w:rPr>
                <w:rFonts w:ascii="Aptos" w:hAnsi="Aptos"/>
                <w:b w:val="0"/>
                <w:color w:val="1F2A44"/>
                <w:sz w:val="19"/>
              </w:rPr>
              <w:t>Admin only</w:t>
            </w:r>
          </w:p>
        </w:tc>
      </w:tr>
    </w:tbl>
    <w:p/>
    <w:p>
      <w:pPr/>
      <w:r>
        <w:rPr>
          <w:rFonts w:ascii="Aptos" w:hAnsi="Aptos"/>
          <w:b w:val="0"/>
          <w:i w:val="0"/>
        </w:rPr>
        <w:t>Attest own tools ✓ ✓ ✓ ✓ ✓ Track a team — ✓ — — — Grant / revoke access — ✓ — — — Reopen a submission — ✓ — — — Department oversight dashboard — — ✓ ✓ ✓ Add clients / tools — — — ✓ ✓ Org-wide visibility — — — — ✓</w:t>
      </w:r>
    </w:p>
    <w:p>
      <w:pPr/>
      <w:r>
        <w:rPr>
          <w:rFonts w:ascii="Aptos" w:hAnsi="Aptos"/>
          <w:b w:val="0"/>
          <w:i w:val="0"/>
        </w:rPr>
        <w:t>Edit the user directory — — — — Admin only</w:t>
      </w:r>
    </w:p>
    <w:p>
      <w:pPr/>
      <w:r>
        <w:rPr>
          <w:rFonts w:ascii="Aptos" w:hAnsi="Aptos"/>
          <w:b w:val="0"/>
          <w:i w:val="0"/>
        </w:rPr>
        <w:t>Mgr capabilities also apply to any oversight user who happens to manage a team. “Admin/Del.” = Admin and GFH Delegate; only a full Admin can edit the user directory, and only a full Admin sees the whole organisation and the user directory.</w:t>
      </w:r>
    </w:p>
    <w:p>
      <w:pPr>
        <w:pStyle w:val="Heading2"/>
      </w:pPr>
      <w:r>
        <w:rPr>
          <w:rFonts w:ascii="Aptos" w:hAnsi="Aptos"/>
          <w:b w:val="0"/>
          <w:i w:val="0"/>
        </w:rPr>
        <w:t>8.3 Glossary</w:t>
      </w:r>
    </w:p>
    <w:p>
      <w:pPr/>
      <w:r>
        <w:rPr>
          <w:rFonts w:ascii="Aptos" w:hAnsi="Aptos"/>
          <w:b w:val="0"/>
          <w:i w:val="0"/>
        </w:rPr>
        <w:t>Attestation A user’s per-tool confirmation of access and usage for a cycle. Cycle A dated attestation period with a due date. Client An external client supported by the BPO operation. Tool An application/service used for a client. Dispute / No access A tool the user states they should not have; requires a remark.</w:t>
      </w:r>
    </w:p>
    <w:p>
      <w:pPr/>
      <w:r>
        <w:rPr>
          <w:rFonts w:ascii="Aptos" w:hAnsi="Aptos"/>
          <w:b w:val="0"/>
          <w:i w:val="0"/>
        </w:rPr>
        <w:t>Full access Active access to a tool. Open access A pending access placeholder (paperwork in process), not yet active. GFH Global Functional Head — owns oversight (and setup) for a department. GFH Delegate An organisation-wide delegate of the GFH function, without user administration. IFH In-Country Functional Head — view-only department oversight. Admin Full administrator: org-wide oversight, setup, and user administration.</w:t>
      </w:r>
    </w:p>
    <w:p>
      <w:pPr>
        <w:pStyle w:val="Heading2"/>
      </w:pPr>
      <w:r>
        <w:rPr>
          <w:rFonts w:ascii="Aptos" w:hAnsi="Aptos"/>
          <w:b w:val="0"/>
          <w:i w:val="0"/>
        </w:rPr>
        <w:t>8.4 Troubleshooting &amp; FAQ</w:t>
      </w:r>
    </w:p>
    <w:p>
      <w:pPr/>
      <w:r>
        <w:rPr>
          <w:rFonts w:ascii="Aptos" w:hAnsi="Aptos"/>
          <w:b w:val="0"/>
          <w:i w:val="0"/>
        </w:rPr>
        <w:t>“We could not verify your sign-in.” Your Windows account is not yet linked to an Access Review user, or your browser did not pass your corporate credentials. Use Edge/Chrome on the corporate network and click Try again; if it persists, contact the administrator. The page loads but shows no data / 404s. Make sure you opened the exact URL http://10.17.69.188/ClientAppAttestation/ (including the trailing slash). I can’t click Submit. Every tool must have an answer, and every No access tool must have a remark. The app shows how many items still need attention. My attestation is locked. You have already submitted. Ask your manager to Reopen it, then edit and re-submit. A tool I need to grant isn’t in the list. Tools are scoped to a department. Ask that department’s GFH or an administrator to add it. My numbers look wrong. Check the cycle picker — you may be viewing a different cycle.</w:t>
      </w:r>
    </w:p>
    <w:p>
      <w:pPr/>
      <w:r>
        <w:rPr>
          <w:rFonts w:ascii="Aptos" w:hAnsi="Aptos"/>
          <w:b w:val="0"/>
          <w:i w:val="0"/>
        </w:rPr>
        <w:t>— End of guide — For access or account issues, contact your Access Review administrator.</w:t>
      </w:r>
    </w:p>
    <w:sectPr w:rsidR="00955DB0" w:rsidRPr="005161B3" w:rsidSect="00D42B59">
      <w:headerReference w:type="default" r:id="rId24"/>
      <w:footerReference w:type="default" r:id="rId25"/>
      <w:pgSz w:w="12240" w:h="15840"/>
      <w:pgMar w:top="936" w:right="1080" w:bottom="792" w:left="1080" w:header="360" w:footer="259"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71506E" w14:textId="77777777" w:rsidR="00C333A3" w:rsidRDefault="00C333A3" w:rsidP="004E2505">
      <w:r>
        <w:separator/>
      </w:r>
    </w:p>
    <w:p w14:paraId="1A276833" w14:textId="77777777" w:rsidR="00C333A3" w:rsidRDefault="00C333A3"/>
    <w:p w14:paraId="74D53701" w14:textId="77777777" w:rsidR="00C333A3" w:rsidRDefault="00C333A3"/>
  </w:endnote>
  <w:endnote w:type="continuationSeparator" w:id="0">
    <w:p w14:paraId="0DFB672C" w14:textId="77777777" w:rsidR="00C333A3" w:rsidRDefault="00C333A3" w:rsidP="004E2505">
      <w:r>
        <w:continuationSeparator/>
      </w:r>
    </w:p>
    <w:p w14:paraId="00B1B1BE" w14:textId="77777777" w:rsidR="00C333A3" w:rsidRDefault="00C333A3"/>
    <w:p w14:paraId="3BFC86B0" w14:textId="77777777" w:rsidR="00C333A3" w:rsidRDefault="00C333A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New Roman (Headings CS)">
    <w:altName w:val="Times New Roman"/>
    <w:panose1 w:val="00000000000000000000"/>
    <w:charset w:val="00"/>
    <w:family w:val="roman"/>
    <w:notTrueType/>
    <w:pitch w:val="default"/>
  </w:font>
  <w:font w:name="Times New Roman (Body CS)">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Body)">
    <w:altName w:val="Calibri"/>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40F2A7" w14:textId="77777777" w:rsidR="008F0E72" w:rsidRDefault="008F0E72"/>
  <w:tbl>
    <w:tblPr>
      <w:tblW w:w="5079" w:type="pct"/>
      <w:tblBorders>
        <w:top w:val="single" w:sz="4" w:space="0" w:color="001F5A" w:themeColor="accent1"/>
        <w:insideV w:val="single" w:sz="4" w:space="0" w:color="001F5A" w:themeColor="accent1"/>
      </w:tblBorders>
      <w:tblCellMar>
        <w:left w:w="115" w:type="dxa"/>
        <w:right w:w="115" w:type="dxa"/>
      </w:tblCellMar>
      <w:tblLook w:val="04A0" w:firstRow="1" w:lastRow="0" w:firstColumn="1" w:lastColumn="0" w:noHBand="0" w:noVBand="1"/>
    </w:tblPr>
    <w:tblGrid>
      <w:gridCol w:w="9010"/>
      <w:gridCol w:w="498"/>
    </w:tblGrid>
    <w:tr w:rsidR="006A57C6" w:rsidRPr="00A039A9" w14:paraId="2C8891E0" w14:textId="77777777" w:rsidTr="002B5D09">
      <w:trPr>
        <w:trHeight w:val="63"/>
      </w:trPr>
      <w:tc>
        <w:tcPr>
          <w:tcW w:w="5000" w:type="pct"/>
          <w:gridSpan w:val="2"/>
          <w:tcBorders>
            <w:top w:val="single" w:sz="4" w:space="0" w:color="001F5A" w:themeColor="accent1"/>
          </w:tcBorders>
          <w:tcMar>
            <w:right w:w="173" w:type="dxa"/>
          </w:tcMar>
          <w:vAlign w:val="bottom"/>
        </w:tcPr>
        <w:p w14:paraId="20A9C8C9" w14:textId="77777777" w:rsidR="006A57C6" w:rsidRPr="00FD53BD" w:rsidRDefault="006A57C6" w:rsidP="006A57C6">
          <w:pPr>
            <w:pStyle w:val="NoSpacing"/>
            <w:ind w:left="-116" w:right="690"/>
            <w:rPr>
              <w:color w:val="404040" w:themeColor="text1" w:themeTint="BF"/>
              <w:sz w:val="18"/>
            </w:rPr>
          </w:pPr>
        </w:p>
      </w:tc>
    </w:tr>
    <w:tr w:rsidR="006A57C6" w:rsidRPr="000C2989" w14:paraId="706FE481" w14:textId="77777777" w:rsidTr="002B5D09">
      <w:trPr>
        <w:trHeight w:val="681"/>
      </w:trPr>
      <w:tc>
        <w:tcPr>
          <w:tcW w:w="4738" w:type="pct"/>
          <w:tcBorders>
            <w:top w:val="nil"/>
            <w:right w:val="nil"/>
          </w:tcBorders>
          <w:tcMar>
            <w:left w:w="0" w:type="dxa"/>
            <w:right w:w="216" w:type="dxa"/>
          </w:tcMar>
          <w:vAlign w:val="bottom"/>
        </w:tcPr>
        <w:p w14:paraId="0E510376" w14:textId="77777777" w:rsidR="007D1561" w:rsidRPr="000C2989" w:rsidRDefault="007D1561" w:rsidP="002B5D09">
          <w:pPr>
            <w:spacing w:after="0"/>
            <w:rPr>
              <w:rFonts w:ascii="Aptos" w:hAnsi="Aptos"/>
            </w:rPr>
          </w:pPr>
          <w:r w:rsidRPr="000C2989">
            <w:rPr>
              <w:rFonts w:ascii="Aptos" w:hAnsi="Aptos" w:cs="Calibri"/>
              <w:sz w:val="16"/>
              <w:szCs w:val="16"/>
            </w:rPr>
            <w:t xml:space="preserve">The information contained in this document is confidential and proprietary in nature. Neither this document nor its contents may be released or otherwise disclosed except with the express written consent of the </w:t>
          </w:r>
          <w:r w:rsidR="00C33534">
            <w:rPr>
              <w:rFonts w:ascii="Aptos" w:hAnsi="Aptos" w:cs="Calibri"/>
              <w:sz w:val="16"/>
              <w:szCs w:val="16"/>
            </w:rPr>
            <w:t>Broadridge</w:t>
          </w:r>
          <w:r w:rsidRPr="000C2989">
            <w:rPr>
              <w:rFonts w:ascii="Aptos" w:hAnsi="Aptos" w:cs="Calibri"/>
              <w:sz w:val="16"/>
              <w:szCs w:val="16"/>
            </w:rPr>
            <w:t xml:space="preserve"> Legal Department.</w:t>
          </w:r>
        </w:p>
        <w:p w14:paraId="54FE8B7A" w14:textId="77777777" w:rsidR="006A57C6" w:rsidRPr="00A039A9" w:rsidRDefault="006A57C6" w:rsidP="006A57C6">
          <w:pPr>
            <w:pStyle w:val="NoSpacing"/>
            <w:rPr>
              <w:rFonts w:eastAsia="Times New Roman"/>
              <w:noProof/>
              <w:color w:val="404040" w:themeColor="text1" w:themeTint="BF"/>
              <w:sz w:val="16"/>
              <w:szCs w:val="16"/>
              <w:lang w:eastAsia="en-US"/>
            </w:rPr>
          </w:pPr>
        </w:p>
      </w:tc>
      <w:tc>
        <w:tcPr>
          <w:tcW w:w="262" w:type="pct"/>
          <w:tcBorders>
            <w:top w:val="nil"/>
            <w:left w:val="nil"/>
          </w:tcBorders>
          <w:tcMar>
            <w:left w:w="0" w:type="dxa"/>
            <w:right w:w="0" w:type="dxa"/>
          </w:tcMar>
          <w:vAlign w:val="bottom"/>
        </w:tcPr>
        <w:p w14:paraId="44399758" w14:textId="77777777" w:rsidR="006A57C6" w:rsidRPr="000C2989" w:rsidRDefault="006A57C6" w:rsidP="006A57C6">
          <w:pPr>
            <w:pStyle w:val="NoSpacing"/>
            <w:jc w:val="right"/>
            <w:rPr>
              <w:rFonts w:ascii="Aptos" w:hAnsi="Aptos"/>
              <w:color w:val="404040" w:themeColor="text1" w:themeTint="BF"/>
              <w:sz w:val="16"/>
            </w:rPr>
          </w:pPr>
          <w:r w:rsidRPr="000C2989">
            <w:rPr>
              <w:rFonts w:ascii="Aptos" w:hAnsi="Aptos"/>
              <w:color w:val="404040" w:themeColor="text1" w:themeTint="BF"/>
              <w:sz w:val="16"/>
            </w:rPr>
            <w:fldChar w:fldCharType="begin"/>
          </w:r>
          <w:r w:rsidRPr="000C2989">
            <w:rPr>
              <w:rFonts w:ascii="Aptos" w:hAnsi="Aptos"/>
              <w:color w:val="404040" w:themeColor="text1" w:themeTint="BF"/>
              <w:sz w:val="16"/>
            </w:rPr>
            <w:instrText xml:space="preserve"> PAGE  \* MERGEFORMAT </w:instrText>
          </w:r>
          <w:r w:rsidRPr="000C2989">
            <w:rPr>
              <w:rFonts w:ascii="Aptos" w:hAnsi="Aptos"/>
              <w:color w:val="404040" w:themeColor="text1" w:themeTint="BF"/>
              <w:sz w:val="16"/>
            </w:rPr>
            <w:fldChar w:fldCharType="separate"/>
          </w:r>
          <w:r w:rsidRPr="000C2989">
            <w:rPr>
              <w:rFonts w:ascii="Aptos" w:hAnsi="Aptos"/>
              <w:color w:val="404040" w:themeColor="text1" w:themeTint="BF"/>
              <w:sz w:val="16"/>
            </w:rPr>
            <w:t>1</w:t>
          </w:r>
          <w:r w:rsidRPr="000C2989">
            <w:rPr>
              <w:rFonts w:ascii="Aptos" w:hAnsi="Aptos"/>
              <w:color w:val="404040" w:themeColor="text1" w:themeTint="BF"/>
              <w:sz w:val="16"/>
            </w:rPr>
            <w:fldChar w:fldCharType="end"/>
          </w:r>
          <w:r w:rsidRPr="000C2989">
            <w:rPr>
              <w:rFonts w:ascii="Aptos" w:hAnsi="Aptos"/>
              <w:color w:val="404040" w:themeColor="text1" w:themeTint="BF"/>
              <w:sz w:val="16"/>
            </w:rPr>
            <w:t xml:space="preserve"> of </w:t>
          </w:r>
          <w:r w:rsidRPr="000C2989">
            <w:rPr>
              <w:rFonts w:ascii="Aptos" w:hAnsi="Aptos"/>
              <w:color w:val="404040" w:themeColor="text1" w:themeTint="BF"/>
              <w:sz w:val="16"/>
            </w:rPr>
            <w:fldChar w:fldCharType="begin"/>
          </w:r>
          <w:r w:rsidRPr="000C2989">
            <w:rPr>
              <w:rFonts w:ascii="Aptos" w:hAnsi="Aptos"/>
              <w:color w:val="404040" w:themeColor="text1" w:themeTint="BF"/>
              <w:sz w:val="16"/>
            </w:rPr>
            <w:instrText xml:space="preserve"> NUMPAGES  \* MERGEFORMAT </w:instrText>
          </w:r>
          <w:r w:rsidRPr="000C2989">
            <w:rPr>
              <w:rFonts w:ascii="Aptos" w:hAnsi="Aptos"/>
              <w:color w:val="404040" w:themeColor="text1" w:themeTint="BF"/>
              <w:sz w:val="16"/>
            </w:rPr>
            <w:fldChar w:fldCharType="separate"/>
          </w:r>
          <w:r w:rsidRPr="000C2989">
            <w:rPr>
              <w:rFonts w:ascii="Aptos" w:hAnsi="Aptos"/>
              <w:color w:val="404040" w:themeColor="text1" w:themeTint="BF"/>
              <w:sz w:val="16"/>
            </w:rPr>
            <w:t>3</w:t>
          </w:r>
          <w:r w:rsidRPr="000C2989">
            <w:rPr>
              <w:rFonts w:ascii="Aptos" w:hAnsi="Aptos"/>
              <w:color w:val="404040" w:themeColor="text1" w:themeTint="BF"/>
              <w:sz w:val="16"/>
            </w:rPr>
            <w:fldChar w:fldCharType="end"/>
          </w:r>
        </w:p>
      </w:tc>
    </w:tr>
  </w:tbl>
  <w:p w14:paraId="0F9E2B64" w14:textId="77777777" w:rsidR="00CB552E" w:rsidRDefault="00CB552E" w:rsidP="002B5D09">
    <w:pPr>
      <w:pStyle w:val="Footer"/>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AC616C" w14:textId="77777777" w:rsidR="008A6BC2" w:rsidRDefault="007B2188" w:rsidP="007B2188">
    <w:pPr>
      <w:pStyle w:val="Footer"/>
      <w:jc w:val="left"/>
    </w:pPr>
    <w:r>
      <w:rPr>
        <w:noProof/>
      </w:rPr>
      <w:drawing>
        <wp:anchor distT="0" distB="0" distL="114300" distR="114300" simplePos="0" relativeHeight="251671551" behindDoc="1" locked="0" layoutInCell="1" allowOverlap="1" wp14:anchorId="5AA367AB" wp14:editId="49CCF8E4">
          <wp:simplePos x="0" y="0"/>
          <wp:positionH relativeFrom="column">
            <wp:posOffset>-915035</wp:posOffset>
          </wp:positionH>
          <wp:positionV relativeFrom="paragraph">
            <wp:posOffset>-4326890</wp:posOffset>
          </wp:positionV>
          <wp:extent cx="7772400" cy="3349625"/>
          <wp:effectExtent l="0" t="0" r="0" b="3175"/>
          <wp:wrapNone/>
          <wp:docPr id="1524186220" name="Picture 1" descr="A blue background with many triang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186220" name="Picture 1" descr="A blue background with many triangles&#10;&#10;Description automatically generated"/>
                  <pic:cNvPicPr/>
                </pic:nvPicPr>
                <pic:blipFill rotWithShape="1">
                  <a:blip r:embed="rId1">
                    <a:extLst>
                      <a:ext uri="{28A0092B-C50C-407E-A947-70E740481C1C}">
                        <a14:useLocalDpi xmlns:a14="http://schemas.microsoft.com/office/drawing/2010/main" val="0"/>
                      </a:ext>
                    </a:extLst>
                  </a:blip>
                  <a:srcRect l="8" t="13840" r="-8" b="9536"/>
                  <a:stretch/>
                </pic:blipFill>
                <pic:spPr bwMode="auto">
                  <a:xfrm flipV="1">
                    <a:off x="0" y="0"/>
                    <a:ext cx="7772400" cy="33496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711DB3" w14:textId="77777777" w:rsidR="003E14FD" w:rsidRDefault="008B5FCF" w:rsidP="003E14FD">
    <w:pPr>
      <w:pStyle w:val="NoSpacing"/>
    </w:pPr>
    <w:r w:rsidRPr="008F0E72">
      <w:rPr>
        <w:noProof/>
      </w:rPr>
      <w:drawing>
        <wp:anchor distT="0" distB="0" distL="114300" distR="114300" simplePos="0" relativeHeight="251681792" behindDoc="0" locked="0" layoutInCell="1" allowOverlap="1" wp14:anchorId="577520A3" wp14:editId="4371F6F0">
          <wp:simplePos x="0" y="0"/>
          <wp:positionH relativeFrom="column">
            <wp:posOffset>5097780</wp:posOffset>
          </wp:positionH>
          <wp:positionV relativeFrom="paragraph">
            <wp:posOffset>-16390</wp:posOffset>
          </wp:positionV>
          <wp:extent cx="1678305" cy="607060"/>
          <wp:effectExtent l="0" t="0" r="0" b="0"/>
          <wp:wrapNone/>
          <wp:docPr id="1633309731" name="Picture 1633309731" descr="A blue text on a black background&#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blue text on a black background&#10;&#10;Description automatically generated with medium confidence"/>
                  <pic:cNvPicPr/>
                </pic:nvPicPr>
                <pic:blipFill>
                  <a:blip r:embed="rId1">
                    <a:extLst>
                      <a:ext uri="{28A0092B-C50C-407E-A947-70E740481C1C}">
                        <a14:useLocalDpi xmlns:a14="http://schemas.microsoft.com/office/drawing/2010/main" val="0"/>
                      </a:ext>
                    </a:extLst>
                  </a:blip>
                  <a:stretch>
                    <a:fillRect/>
                  </a:stretch>
                </pic:blipFill>
                <pic:spPr>
                  <a:xfrm>
                    <a:off x="0" y="0"/>
                    <a:ext cx="1678305" cy="607060"/>
                  </a:xfrm>
                  <a:prstGeom prst="rect">
                    <a:avLst/>
                  </a:prstGeom>
                </pic:spPr>
              </pic:pic>
            </a:graphicData>
          </a:graphic>
          <wp14:sizeRelH relativeFrom="page">
            <wp14:pctWidth>0</wp14:pctWidth>
          </wp14:sizeRelH>
          <wp14:sizeRelV relativeFrom="page">
            <wp14:pctHeight>0</wp14:pctHeight>
          </wp14:sizeRelV>
        </wp:anchor>
      </w:drawing>
    </w:r>
    <w:r w:rsidR="003E14FD">
      <w:t xml:space="preserve"> </w:t>
    </w:r>
  </w:p>
  <w:tbl>
    <w:tblPr>
      <w:tblStyle w:val="TableGrid"/>
      <w:tblpPr w:leftFromText="187" w:rightFromText="187" w:vertAnchor="page" w:horzAnchor="margin" w:tblpY="10081"/>
      <w:tblOverlap w:val="never"/>
      <w:tblW w:w="72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600" w:firstRow="0" w:lastRow="0" w:firstColumn="0" w:lastColumn="0" w:noHBand="1" w:noVBand="1"/>
    </w:tblPr>
    <w:tblGrid>
      <w:gridCol w:w="7200"/>
    </w:tblGrid>
    <w:tr w:rsidR="00DC3F2E" w14:paraId="7584A5F3" w14:textId="77777777" w:rsidTr="008B5FCF">
      <w:trPr>
        <w:trHeight w:hRule="exact" w:val="900"/>
      </w:trPr>
      <w:tc>
        <w:tcPr>
          <w:tcW w:w="7115" w:type="dxa"/>
          <w:tcMar>
            <w:bottom w:w="115" w:type="dxa"/>
          </w:tcMar>
        </w:tcPr>
        <w:p w14:paraId="188D0850" w14:textId="77777777" w:rsidR="00DC3F2E" w:rsidRPr="00CC3CE3" w:rsidRDefault="00DC3F2E" w:rsidP="00DC3F2E">
          <w:pPr>
            <w:rPr>
              <w:sz w:val="19"/>
              <w:szCs w:val="19"/>
            </w:rPr>
          </w:pPr>
        </w:p>
      </w:tc>
    </w:tr>
    <w:tr w:rsidR="005114A4" w14:paraId="41F43E2C" w14:textId="77777777" w:rsidTr="008B5FCF">
      <w:trPr>
        <w:trHeight w:hRule="exact" w:val="2880"/>
      </w:trPr>
      <w:tc>
        <w:tcPr>
          <w:tcW w:w="7115" w:type="dxa"/>
          <w:tcBorders>
            <w:bottom w:val="single" w:sz="4" w:space="0" w:color="000C36" w:themeColor="text2"/>
          </w:tcBorders>
        </w:tcPr>
        <w:p w14:paraId="7CDF40A7" w14:textId="77777777" w:rsidR="005114A4" w:rsidRDefault="005114A4" w:rsidP="00DC3F2E">
          <w:pPr>
            <w:rPr>
              <w:sz w:val="19"/>
              <w:szCs w:val="19"/>
            </w:rPr>
          </w:pPr>
          <w:r w:rsidRPr="00CC3CE3">
            <w:rPr>
              <w:sz w:val="19"/>
              <w:szCs w:val="19"/>
            </w:rPr>
            <w:t xml:space="preserve">Broadridge Financial Solutions (NYSE: BR), a global Fintech leader with $5 billion </w:t>
          </w:r>
          <w:r w:rsidR="008B5FCF">
            <w:rPr>
              <w:sz w:val="19"/>
              <w:szCs w:val="19"/>
            </w:rPr>
            <w:br/>
          </w:r>
          <w:r w:rsidRPr="00CC3CE3">
            <w:rPr>
              <w:sz w:val="19"/>
              <w:szCs w:val="19"/>
            </w:rPr>
            <w:t xml:space="preserve">in revenues, provides the critical infrastructure that powers investing, corporate </w:t>
          </w:r>
          <w:r w:rsidR="008B5FCF">
            <w:rPr>
              <w:sz w:val="19"/>
              <w:szCs w:val="19"/>
            </w:rPr>
            <w:br/>
          </w:r>
          <w:r w:rsidRPr="00CC3CE3">
            <w:rPr>
              <w:sz w:val="19"/>
              <w:szCs w:val="19"/>
            </w:rPr>
            <w:t xml:space="preserve">governance, and communications to enable better financial lives. We deliver </w:t>
          </w:r>
          <w:r w:rsidR="008B5FCF">
            <w:rPr>
              <w:sz w:val="19"/>
              <w:szCs w:val="19"/>
            </w:rPr>
            <w:br/>
          </w:r>
          <w:r w:rsidRPr="00CC3CE3">
            <w:rPr>
              <w:sz w:val="19"/>
              <w:szCs w:val="19"/>
            </w:rPr>
            <w:t xml:space="preserve">technology-driven solutions that drive digital transformation for banks, broker-dealers, </w:t>
          </w:r>
          <w:r w:rsidR="008B5FCF">
            <w:rPr>
              <w:sz w:val="19"/>
              <w:szCs w:val="19"/>
            </w:rPr>
            <w:br/>
          </w:r>
          <w:r w:rsidRPr="00CC3CE3">
            <w:rPr>
              <w:sz w:val="19"/>
              <w:szCs w:val="19"/>
            </w:rPr>
            <w:t xml:space="preserve">asset and wealth managers and public companies. Broadridge’s infrastructure serves </w:t>
          </w:r>
          <w:r w:rsidR="008B5FCF">
            <w:rPr>
              <w:sz w:val="19"/>
              <w:szCs w:val="19"/>
            </w:rPr>
            <w:br/>
          </w:r>
          <w:r w:rsidRPr="00CC3CE3">
            <w:rPr>
              <w:sz w:val="19"/>
              <w:szCs w:val="19"/>
            </w:rPr>
            <w:t xml:space="preserve">as a global communications hub enabling corporate governance by linking thousands </w:t>
          </w:r>
          <w:r w:rsidR="008B5FCF">
            <w:rPr>
              <w:sz w:val="19"/>
              <w:szCs w:val="19"/>
            </w:rPr>
            <w:br/>
          </w:r>
          <w:r w:rsidRPr="00CC3CE3">
            <w:rPr>
              <w:sz w:val="19"/>
              <w:szCs w:val="19"/>
            </w:rPr>
            <w:t xml:space="preserve">of public companies and mutual funds to tens of millions of individual and institutional investors around the world. Our technology and operations platforms underpin </w:t>
          </w:r>
          <w:r w:rsidR="008B5FCF">
            <w:rPr>
              <w:sz w:val="19"/>
              <w:szCs w:val="19"/>
            </w:rPr>
            <w:br/>
          </w:r>
          <w:r w:rsidRPr="00CC3CE3">
            <w:rPr>
              <w:sz w:val="19"/>
              <w:szCs w:val="19"/>
            </w:rPr>
            <w:t xml:space="preserve">the daily trading of more than U.S. $9 trillion of equities, fixed income and other </w:t>
          </w:r>
          <w:r w:rsidR="008B5FCF">
            <w:rPr>
              <w:sz w:val="19"/>
              <w:szCs w:val="19"/>
            </w:rPr>
            <w:br/>
          </w:r>
          <w:r w:rsidRPr="00CC3CE3">
            <w:rPr>
              <w:sz w:val="19"/>
              <w:szCs w:val="19"/>
            </w:rPr>
            <w:t>securities globally.</w:t>
          </w:r>
        </w:p>
        <w:p w14:paraId="1BC03DBB" w14:textId="77777777" w:rsidR="005114A4" w:rsidRPr="00672491" w:rsidRDefault="005114A4" w:rsidP="00DC3F2E">
          <w:pPr>
            <w:rPr>
              <w:sz w:val="19"/>
              <w:szCs w:val="19"/>
            </w:rPr>
          </w:pPr>
        </w:p>
        <w:p w14:paraId="390CFA89" w14:textId="77777777" w:rsidR="005114A4" w:rsidRPr="00DC3F2E" w:rsidRDefault="005114A4" w:rsidP="00DC3F2E">
          <w:pPr>
            <w:rPr>
              <w:b/>
              <w:bCs/>
              <w:color w:val="001F5A" w:themeColor="accent1"/>
              <w:sz w:val="19"/>
              <w:szCs w:val="19"/>
            </w:rPr>
          </w:pPr>
          <w:r>
            <w:rPr>
              <w:b/>
              <w:bCs/>
              <w:color w:val="001F5A" w:themeColor="accent1"/>
              <w:sz w:val="19"/>
              <w:szCs w:val="19"/>
            </w:rPr>
            <w:t>B</w:t>
          </w:r>
          <w:r w:rsidRPr="00672491">
            <w:rPr>
              <w:b/>
              <w:bCs/>
              <w:color w:val="001F5A" w:themeColor="accent1"/>
              <w:sz w:val="19"/>
              <w:szCs w:val="19"/>
            </w:rPr>
            <w:t>roadridge.com</w:t>
          </w:r>
        </w:p>
      </w:tc>
    </w:tr>
    <w:tr w:rsidR="00DC3F2E" w14:paraId="32D790F1" w14:textId="77777777" w:rsidTr="00DC3F2E">
      <w:trPr>
        <w:trHeight w:hRule="exact" w:val="576"/>
      </w:trPr>
      <w:tc>
        <w:tcPr>
          <w:tcW w:w="7115" w:type="dxa"/>
          <w:tcMar>
            <w:bottom w:w="0" w:type="dxa"/>
          </w:tcMar>
          <w:vAlign w:val="center"/>
        </w:tcPr>
        <w:p w14:paraId="5202071C" w14:textId="77777777" w:rsidR="00DC3F2E" w:rsidRPr="00CC3CE3" w:rsidRDefault="00DC3F2E" w:rsidP="00DC3F2E">
          <w:pPr>
            <w:rPr>
              <w:sz w:val="19"/>
              <w:szCs w:val="19"/>
            </w:rPr>
          </w:pPr>
          <w:r>
            <w:rPr>
              <w:b/>
              <w:bCs/>
              <w:noProof/>
              <w:sz w:val="18"/>
              <w:szCs w:val="18"/>
            </w:rPr>
            <w:drawing>
              <wp:anchor distT="0" distB="0" distL="114300" distR="114300" simplePos="0" relativeHeight="251675648" behindDoc="0" locked="0" layoutInCell="1" allowOverlap="1" wp14:anchorId="061B3A58" wp14:editId="5D99FDAF">
                <wp:simplePos x="0" y="0"/>
                <wp:positionH relativeFrom="page">
                  <wp:posOffset>0</wp:posOffset>
                </wp:positionH>
                <wp:positionV relativeFrom="page">
                  <wp:posOffset>83185</wp:posOffset>
                </wp:positionV>
                <wp:extent cx="822960" cy="173990"/>
                <wp:effectExtent l="0" t="0" r="2540" b="3810"/>
                <wp:wrapNone/>
                <wp:docPr id="1528229371" name="Picture 1528229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pic:cNvPicPr/>
                      </pic:nvPicPr>
                      <pic:blipFill>
                        <a:blip r:embed="rId2">
                          <a:extLst>
                            <a:ext uri="{28A0092B-C50C-407E-A947-70E740481C1C}">
                              <a14:useLocalDpi xmlns:a14="http://schemas.microsoft.com/office/drawing/2010/main" val="0"/>
                            </a:ext>
                          </a:extLst>
                        </a:blip>
                        <a:stretch>
                          <a:fillRect/>
                        </a:stretch>
                      </pic:blipFill>
                      <pic:spPr>
                        <a:xfrm>
                          <a:off x="0" y="0"/>
                          <a:ext cx="822960" cy="173990"/>
                        </a:xfrm>
                        <a:prstGeom prst="rect">
                          <a:avLst/>
                        </a:prstGeom>
                      </pic:spPr>
                    </pic:pic>
                  </a:graphicData>
                </a:graphic>
                <wp14:sizeRelH relativeFrom="page">
                  <wp14:pctWidth>0</wp14:pctWidth>
                </wp14:sizeRelH>
                <wp14:sizeRelV relativeFrom="page">
                  <wp14:pctHeight>0</wp14:pctHeight>
                </wp14:sizeRelV>
              </wp:anchor>
            </w:drawing>
          </w:r>
        </w:p>
      </w:tc>
    </w:tr>
    <w:tr w:rsidR="005114A4" w14:paraId="52B1263C" w14:textId="77777777" w:rsidTr="00DC3F2E">
      <w:trPr>
        <w:trHeight w:val="432"/>
      </w:trPr>
      <w:tc>
        <w:tcPr>
          <w:tcW w:w="7115" w:type="dxa"/>
          <w:tcMar>
            <w:top w:w="72" w:type="dxa"/>
          </w:tcMar>
        </w:tcPr>
        <w:p w14:paraId="12E04A3D" w14:textId="77777777" w:rsidR="005114A4" w:rsidRPr="003E14FD" w:rsidRDefault="005114A4" w:rsidP="00DC3F2E">
          <w:pPr>
            <w:rPr>
              <w:sz w:val="18"/>
              <w:szCs w:val="18"/>
            </w:rPr>
          </w:pPr>
          <w:r w:rsidRPr="003E14FD">
            <w:rPr>
              <w:sz w:val="18"/>
              <w:szCs w:val="18"/>
            </w:rPr>
            <w:t>© 202</w:t>
          </w:r>
          <w:r>
            <w:rPr>
              <w:sz w:val="18"/>
              <w:szCs w:val="18"/>
            </w:rPr>
            <w:t>3</w:t>
          </w:r>
          <w:r w:rsidRPr="003E14FD">
            <w:rPr>
              <w:sz w:val="18"/>
              <w:szCs w:val="18"/>
            </w:rPr>
            <w:t xml:space="preserve"> Broadridge Financial Solutions, Inc., Broadridge and the Broadridge</w:t>
          </w:r>
        </w:p>
        <w:p w14:paraId="418CD416" w14:textId="77777777" w:rsidR="005114A4" w:rsidRPr="003E14FD" w:rsidRDefault="005114A4" w:rsidP="00DC3F2E">
          <w:pPr>
            <w:rPr>
              <w:sz w:val="18"/>
              <w:szCs w:val="18"/>
            </w:rPr>
          </w:pPr>
          <w:r w:rsidRPr="003E14FD">
            <w:rPr>
              <w:sz w:val="18"/>
              <w:szCs w:val="18"/>
            </w:rPr>
            <w:t>logo are registered trademarks of Broadridge Financial Solutions, Inc.</w:t>
          </w:r>
        </w:p>
      </w:tc>
    </w:tr>
  </w:tbl>
  <w:p w14:paraId="7114A841" w14:textId="77777777" w:rsidR="00840568" w:rsidRPr="003E14FD" w:rsidRDefault="008B5FCF" w:rsidP="00DC3F2E">
    <w:pPr>
      <w:pStyle w:val="NoSpacing"/>
    </w:pPr>
    <w:r>
      <w:rPr>
        <w:noProof/>
      </w:rPr>
      <w:drawing>
        <wp:anchor distT="0" distB="0" distL="114300" distR="114300" simplePos="0" relativeHeight="251683840" behindDoc="0" locked="0" layoutInCell="1" allowOverlap="1" wp14:anchorId="77A619DB" wp14:editId="3A3AED5B">
          <wp:simplePos x="0" y="0"/>
          <wp:positionH relativeFrom="column">
            <wp:posOffset>5584190</wp:posOffset>
          </wp:positionH>
          <wp:positionV relativeFrom="paragraph">
            <wp:posOffset>1019159</wp:posOffset>
          </wp:positionV>
          <wp:extent cx="868101" cy="153697"/>
          <wp:effectExtent l="0" t="0" r="0" b="0"/>
          <wp:wrapNone/>
          <wp:docPr id="1233185567" name="Picture 1233185567" descr="A picture containing font, graphics, typography, de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font, graphics, typography, design&#10;&#10;Description automatically generated"/>
                  <pic:cNvPicPr/>
                </pic:nvPicPr>
                <pic:blipFill>
                  <a:blip r:embed="rId3">
                    <a:extLst>
                      <a:ext uri="{28A0092B-C50C-407E-A947-70E740481C1C}">
                        <a14:useLocalDpi xmlns:a14="http://schemas.microsoft.com/office/drawing/2010/main" val="0"/>
                      </a:ext>
                    </a:extLst>
                  </a:blip>
                  <a:stretch>
                    <a:fillRect/>
                  </a:stretch>
                </pic:blipFill>
                <pic:spPr>
                  <a:xfrm>
                    <a:off x="0" y="0"/>
                    <a:ext cx="868101" cy="153697"/>
                  </a:xfrm>
                  <a:prstGeom prst="rect">
                    <a:avLst/>
                  </a:prstGeom>
                </pic:spPr>
              </pic:pic>
            </a:graphicData>
          </a:graphic>
          <wp14:sizeRelH relativeFrom="page">
            <wp14:pctWidth>0</wp14:pctWidth>
          </wp14:sizeRelH>
          <wp14:sizeRelV relativeFrom="page">
            <wp14:pctHeight>0</wp14:pctHeight>
          </wp14:sizeRelV>
        </wp:anchor>
      </w:drawing>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Aptos" w:hAnsi="Aptos"/>
        <w:color w:val="1F2A44"/>
        <w:sz w:val="15"/>
      </w:rPr>
      <w:t>The information contained in this document is confidential and proprietary in nature. Neither this document nor its contents may be released or otherwise disclosed except with the express written consent of the Broadridge Legal Department.</w:t>
    </w:r>
  </w:p>
  <w:p>
    <w:pPr>
      <w:jc w:val="right"/>
    </w:pPr>
    <w:r>
      <w:rPr>
        <w:rFonts w:ascii="Aptos" w:hAnsi="Aptos"/>
        <w:sz w:val="16"/>
      </w:rPr>
      <w:t xml:space="preserve">Page </w:t>
    </w:r>
    <w:r>
      <w:fldChar w:fldCharType="begin"/>
      <w:instrText xml:space="preserve">PAGE</w:instrText>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02C5D1" w14:textId="77777777" w:rsidR="00C333A3" w:rsidRDefault="00C333A3" w:rsidP="004E2505">
      <w:r>
        <w:separator/>
      </w:r>
    </w:p>
    <w:p w14:paraId="246BA2B1" w14:textId="77777777" w:rsidR="00C333A3" w:rsidRDefault="00C333A3"/>
    <w:p w14:paraId="504D29E1" w14:textId="77777777" w:rsidR="00C333A3" w:rsidRDefault="00C333A3"/>
  </w:footnote>
  <w:footnote w:type="continuationSeparator" w:id="0">
    <w:p w14:paraId="019004DF" w14:textId="77777777" w:rsidR="00C333A3" w:rsidRDefault="00C333A3" w:rsidP="004E2505">
      <w:r>
        <w:continuationSeparator/>
      </w:r>
    </w:p>
    <w:p w14:paraId="0D17824E" w14:textId="77777777" w:rsidR="00C333A3" w:rsidRDefault="00C333A3"/>
    <w:p w14:paraId="59EEB304" w14:textId="77777777" w:rsidR="00C333A3" w:rsidRDefault="00C333A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8FEA93" w14:textId="77777777" w:rsidR="008F0E72" w:rsidRDefault="008F0E72">
    <w:pPr>
      <w:pStyle w:val="Header"/>
    </w:pPr>
    <w:r>
      <w:rPr>
        <w:noProof/>
      </w:rPr>
      <w:drawing>
        <wp:anchor distT="0" distB="0" distL="114300" distR="114300" simplePos="0" relativeHeight="251677696" behindDoc="0" locked="0" layoutInCell="1" allowOverlap="1" wp14:anchorId="1956AB7D" wp14:editId="2CFD9F1F">
          <wp:simplePos x="0" y="0"/>
          <wp:positionH relativeFrom="column">
            <wp:posOffset>5198616</wp:posOffset>
          </wp:positionH>
          <wp:positionV relativeFrom="paragraph">
            <wp:posOffset>257175</wp:posOffset>
          </wp:positionV>
          <wp:extent cx="1127726" cy="199663"/>
          <wp:effectExtent l="0" t="0" r="3175" b="3810"/>
          <wp:wrapNone/>
          <wp:docPr id="858191817" name="Picture 858191817" descr="A picture containing font, graphics, typography, de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font, graphics, typography, design&#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127726" cy="199663"/>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6672" behindDoc="0" locked="0" layoutInCell="1" allowOverlap="1" wp14:anchorId="18CE3165" wp14:editId="3949ADF5">
          <wp:simplePos x="0" y="0"/>
          <wp:positionH relativeFrom="column">
            <wp:posOffset>-542925</wp:posOffset>
          </wp:positionH>
          <wp:positionV relativeFrom="paragraph">
            <wp:posOffset>-17571</wp:posOffset>
          </wp:positionV>
          <wp:extent cx="1855506" cy="671332"/>
          <wp:effectExtent l="0" t="0" r="0" b="0"/>
          <wp:wrapNone/>
          <wp:docPr id="1394717015" name="Picture 1394717015" descr="A blue text on a black background&#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blue text on a black background&#10;&#10;Description automatically generated with medium confidence"/>
                  <pic:cNvPicPr/>
                </pic:nvPicPr>
                <pic:blipFill>
                  <a:blip r:embed="rId2">
                    <a:extLst>
                      <a:ext uri="{28A0092B-C50C-407E-A947-70E740481C1C}">
                        <a14:useLocalDpi xmlns:a14="http://schemas.microsoft.com/office/drawing/2010/main" val="0"/>
                      </a:ext>
                    </a:extLst>
                  </a:blip>
                  <a:stretch>
                    <a:fillRect/>
                  </a:stretch>
                </pic:blipFill>
                <pic:spPr>
                  <a:xfrm>
                    <a:off x="0" y="0"/>
                    <a:ext cx="1855506" cy="671332"/>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C7A583" w14:textId="77777777" w:rsidR="00840568" w:rsidRDefault="00840568">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ptos" w:hAnsi="Aptos"/>
        <w:color w:val="1F2A44"/>
        <w:sz w:val="17"/>
      </w:rPr>
      <w:t>Access Review · User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A50D39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9FEEE668"/>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03D0C30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FE9C5F1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6E7ACB5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F7680A8A"/>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9704F83A"/>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FDEC1442"/>
    <w:lvl w:ilvl="0">
      <w:start w:val="1"/>
      <w:numFmt w:val="bullet"/>
      <w:pStyle w:val="ListBullet2"/>
      <w:lvlText w:val="»"/>
      <w:lvlJc w:val="left"/>
      <w:pPr>
        <w:tabs>
          <w:tab w:val="num" w:pos="432"/>
        </w:tabs>
        <w:ind w:left="504" w:hanging="288"/>
      </w:pPr>
      <w:rPr>
        <w:rFonts w:ascii="Calibri" w:hAnsi="Calibri" w:hint="default"/>
      </w:rPr>
    </w:lvl>
  </w:abstractNum>
  <w:abstractNum w:abstractNumId="8" w15:restartNumberingAfterBreak="0">
    <w:nsid w:val="FFFFFF88"/>
    <w:multiLevelType w:val="singleLevel"/>
    <w:tmpl w:val="DD70B33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30E8C34A"/>
    <w:lvl w:ilvl="0">
      <w:start w:val="1"/>
      <w:numFmt w:val="bullet"/>
      <w:pStyle w:val="ListBullet"/>
      <w:lvlText w:val="•"/>
      <w:lvlJc w:val="left"/>
      <w:pPr>
        <w:tabs>
          <w:tab w:val="num" w:pos="259"/>
        </w:tabs>
        <w:ind w:left="259" w:hanging="259"/>
      </w:pPr>
      <w:rPr>
        <w:rFonts w:ascii="Calibri" w:hAnsi="Calibri" w:hint="default"/>
      </w:rPr>
    </w:lvl>
  </w:abstractNum>
  <w:abstractNum w:abstractNumId="10" w15:restartNumberingAfterBreak="0">
    <w:nsid w:val="32275052"/>
    <w:multiLevelType w:val="multilevel"/>
    <w:tmpl w:val="0D582386"/>
    <w:lvl w:ilvl="0">
      <w:start w:val="1"/>
      <w:numFmt w:val="decimal"/>
      <w:lvlText w:val="%1"/>
      <w:lvlJc w:val="left"/>
      <w:pPr>
        <w:ind w:left="360" w:hanging="360"/>
      </w:pPr>
      <w:rPr>
        <w:rFonts w:hint="default"/>
        <w:b/>
      </w:rPr>
    </w:lvl>
    <w:lvl w:ilvl="1">
      <w:start w:val="1"/>
      <w:numFmt w:val="decimal"/>
      <w:lvlText w:val="%1.%2"/>
      <w:lvlJc w:val="left"/>
      <w:pPr>
        <w:ind w:left="720" w:hanging="360"/>
      </w:pPr>
    </w:lvl>
    <w:lvl w:ilvl="2">
      <w:start w:val="1"/>
      <w:numFmt w:val="lowerLetter"/>
      <w:pStyle w:val="ListNumber3"/>
      <w:lvlText w:val="%3."/>
      <w:lvlJc w:val="left"/>
      <w:pPr>
        <w:ind w:left="1080" w:hanging="360"/>
      </w:pPr>
    </w:lvl>
    <w:lvl w:ilvl="3">
      <w:start w:val="1"/>
      <w:numFmt w:val="decimal"/>
      <w:lvlText w:val="%1.%2.%3.%4"/>
      <w:lvlJc w:val="left"/>
      <w:pPr>
        <w:ind w:left="1800" w:hanging="720"/>
      </w:pPr>
      <w:rPr>
        <w:rFonts w:hint="default"/>
        <w:b/>
      </w:rPr>
    </w:lvl>
    <w:lvl w:ilvl="4">
      <w:start w:val="1"/>
      <w:numFmt w:val="decimal"/>
      <w:lvlText w:val="%1.%2.%3.%4.%5"/>
      <w:lvlJc w:val="left"/>
      <w:pPr>
        <w:ind w:left="2160" w:hanging="72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240" w:hanging="108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320" w:hanging="1440"/>
      </w:pPr>
      <w:rPr>
        <w:rFonts w:hint="default"/>
        <w:b/>
      </w:rPr>
    </w:lvl>
  </w:abstractNum>
  <w:abstractNum w:abstractNumId="11" w15:restartNumberingAfterBreak="0">
    <w:nsid w:val="59CE0139"/>
    <w:multiLevelType w:val="multilevel"/>
    <w:tmpl w:val="DC60F436"/>
    <w:lvl w:ilvl="0">
      <w:start w:val="1"/>
      <w:numFmt w:val="decimal"/>
      <w:lvlText w:val="%1"/>
      <w:lvlJc w:val="left"/>
      <w:pPr>
        <w:ind w:left="360" w:hanging="360"/>
      </w:pPr>
      <w:rPr>
        <w:rFonts w:hint="default"/>
        <w:b/>
      </w:rPr>
    </w:lvl>
    <w:lvl w:ilvl="1">
      <w:start w:val="1"/>
      <w:numFmt w:val="decimal"/>
      <w:pStyle w:val="ListNumber2"/>
      <w:lvlText w:val="%1.%2"/>
      <w:lvlJc w:val="left"/>
      <w:pPr>
        <w:ind w:left="720" w:hanging="360"/>
      </w:pPr>
      <w:rPr>
        <w:b/>
        <w:bCs w:val="0"/>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160" w:hanging="72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240" w:hanging="108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320" w:hanging="1440"/>
      </w:pPr>
      <w:rPr>
        <w:rFonts w:hint="default"/>
        <w:b/>
      </w:rPr>
    </w:lvl>
  </w:abstractNum>
  <w:num w:numId="1" w16cid:durableId="555508780">
    <w:abstractNumId w:val="0"/>
  </w:num>
  <w:num w:numId="2" w16cid:durableId="98453999">
    <w:abstractNumId w:val="1"/>
  </w:num>
  <w:num w:numId="3" w16cid:durableId="2055738446">
    <w:abstractNumId w:val="2"/>
  </w:num>
  <w:num w:numId="4" w16cid:durableId="1524394410">
    <w:abstractNumId w:val="3"/>
  </w:num>
  <w:num w:numId="5" w16cid:durableId="719747139">
    <w:abstractNumId w:val="8"/>
  </w:num>
  <w:num w:numId="6" w16cid:durableId="981421196">
    <w:abstractNumId w:val="4"/>
  </w:num>
  <w:num w:numId="7" w16cid:durableId="853613751">
    <w:abstractNumId w:val="5"/>
  </w:num>
  <w:num w:numId="8" w16cid:durableId="5180120">
    <w:abstractNumId w:val="6"/>
  </w:num>
  <w:num w:numId="9" w16cid:durableId="1471555126">
    <w:abstractNumId w:val="7"/>
  </w:num>
  <w:num w:numId="10" w16cid:durableId="586304384">
    <w:abstractNumId w:val="9"/>
  </w:num>
  <w:num w:numId="11" w16cid:durableId="542400901">
    <w:abstractNumId w:val="2"/>
  </w:num>
  <w:num w:numId="12" w16cid:durableId="972834403">
    <w:abstractNumId w:val="11"/>
  </w:num>
  <w:num w:numId="13" w16cid:durableId="56776617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attachedTemplate r:id="rId1"/>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06FA"/>
    <w:rsid w:val="000019DA"/>
    <w:rsid w:val="00031B90"/>
    <w:rsid w:val="0005285C"/>
    <w:rsid w:val="00090B24"/>
    <w:rsid w:val="000A0C9F"/>
    <w:rsid w:val="000A2195"/>
    <w:rsid w:val="000B0E22"/>
    <w:rsid w:val="000C2989"/>
    <w:rsid w:val="001304F6"/>
    <w:rsid w:val="00133526"/>
    <w:rsid w:val="00134074"/>
    <w:rsid w:val="0013559A"/>
    <w:rsid w:val="00147411"/>
    <w:rsid w:val="001522B6"/>
    <w:rsid w:val="001C4295"/>
    <w:rsid w:val="001C4979"/>
    <w:rsid w:val="001D6D1A"/>
    <w:rsid w:val="001E0C4F"/>
    <w:rsid w:val="00242554"/>
    <w:rsid w:val="00255429"/>
    <w:rsid w:val="00281328"/>
    <w:rsid w:val="0028640A"/>
    <w:rsid w:val="0029101A"/>
    <w:rsid w:val="002B5D09"/>
    <w:rsid w:val="00302E93"/>
    <w:rsid w:val="003271E1"/>
    <w:rsid w:val="00356AAE"/>
    <w:rsid w:val="003571D8"/>
    <w:rsid w:val="00391659"/>
    <w:rsid w:val="003969C2"/>
    <w:rsid w:val="003A386F"/>
    <w:rsid w:val="003B3BA8"/>
    <w:rsid w:val="003B65FE"/>
    <w:rsid w:val="003E14FD"/>
    <w:rsid w:val="00412949"/>
    <w:rsid w:val="00457018"/>
    <w:rsid w:val="004573C2"/>
    <w:rsid w:val="00461903"/>
    <w:rsid w:val="004647A9"/>
    <w:rsid w:val="00470C90"/>
    <w:rsid w:val="00494D3B"/>
    <w:rsid w:val="004A62C3"/>
    <w:rsid w:val="004C5363"/>
    <w:rsid w:val="004D0F21"/>
    <w:rsid w:val="004D7BE9"/>
    <w:rsid w:val="004E2505"/>
    <w:rsid w:val="004E4393"/>
    <w:rsid w:val="004E6746"/>
    <w:rsid w:val="004F1BC8"/>
    <w:rsid w:val="00510195"/>
    <w:rsid w:val="00511392"/>
    <w:rsid w:val="005114A4"/>
    <w:rsid w:val="00513436"/>
    <w:rsid w:val="005161B3"/>
    <w:rsid w:val="005525B0"/>
    <w:rsid w:val="00553EC5"/>
    <w:rsid w:val="00576FD9"/>
    <w:rsid w:val="00577EDE"/>
    <w:rsid w:val="005D53EB"/>
    <w:rsid w:val="005D542C"/>
    <w:rsid w:val="00613B48"/>
    <w:rsid w:val="006408CC"/>
    <w:rsid w:val="00643106"/>
    <w:rsid w:val="00672491"/>
    <w:rsid w:val="006920BF"/>
    <w:rsid w:val="006A57C6"/>
    <w:rsid w:val="006C001D"/>
    <w:rsid w:val="006C1DD3"/>
    <w:rsid w:val="006F5788"/>
    <w:rsid w:val="007029A8"/>
    <w:rsid w:val="00704DAB"/>
    <w:rsid w:val="00710B8D"/>
    <w:rsid w:val="007264D8"/>
    <w:rsid w:val="00774AC0"/>
    <w:rsid w:val="007851D2"/>
    <w:rsid w:val="00792B0E"/>
    <w:rsid w:val="007A4FC4"/>
    <w:rsid w:val="007B1720"/>
    <w:rsid w:val="007B2188"/>
    <w:rsid w:val="007C2449"/>
    <w:rsid w:val="007D1561"/>
    <w:rsid w:val="007D1D42"/>
    <w:rsid w:val="007D523C"/>
    <w:rsid w:val="007E27A0"/>
    <w:rsid w:val="00805E5C"/>
    <w:rsid w:val="00835181"/>
    <w:rsid w:val="00840568"/>
    <w:rsid w:val="00840AD5"/>
    <w:rsid w:val="008622B9"/>
    <w:rsid w:val="008949EA"/>
    <w:rsid w:val="008A6BC2"/>
    <w:rsid w:val="008A6D86"/>
    <w:rsid w:val="008B5FCF"/>
    <w:rsid w:val="008D2507"/>
    <w:rsid w:val="008F0E72"/>
    <w:rsid w:val="00900D36"/>
    <w:rsid w:val="00914AD5"/>
    <w:rsid w:val="00922ADC"/>
    <w:rsid w:val="00940AB6"/>
    <w:rsid w:val="00945D52"/>
    <w:rsid w:val="00955DB0"/>
    <w:rsid w:val="009635E4"/>
    <w:rsid w:val="00966479"/>
    <w:rsid w:val="009777AD"/>
    <w:rsid w:val="009A2F25"/>
    <w:rsid w:val="009A7E8B"/>
    <w:rsid w:val="009B4176"/>
    <w:rsid w:val="009E24CD"/>
    <w:rsid w:val="009E4D56"/>
    <w:rsid w:val="00A0449E"/>
    <w:rsid w:val="00A07BC7"/>
    <w:rsid w:val="00A26AAE"/>
    <w:rsid w:val="00A3597B"/>
    <w:rsid w:val="00A36F3F"/>
    <w:rsid w:val="00A4144D"/>
    <w:rsid w:val="00A430D2"/>
    <w:rsid w:val="00A50EF4"/>
    <w:rsid w:val="00A53763"/>
    <w:rsid w:val="00A863F0"/>
    <w:rsid w:val="00A8789E"/>
    <w:rsid w:val="00AB21F0"/>
    <w:rsid w:val="00AB2AA9"/>
    <w:rsid w:val="00AB50B3"/>
    <w:rsid w:val="00AD2865"/>
    <w:rsid w:val="00AF122E"/>
    <w:rsid w:val="00B12616"/>
    <w:rsid w:val="00B531AD"/>
    <w:rsid w:val="00B77AEC"/>
    <w:rsid w:val="00BA06FA"/>
    <w:rsid w:val="00BB5329"/>
    <w:rsid w:val="00BB6BD2"/>
    <w:rsid w:val="00BC0F02"/>
    <w:rsid w:val="00BE29DF"/>
    <w:rsid w:val="00BF06F0"/>
    <w:rsid w:val="00C1581A"/>
    <w:rsid w:val="00C333A3"/>
    <w:rsid w:val="00C33534"/>
    <w:rsid w:val="00C375A2"/>
    <w:rsid w:val="00C61074"/>
    <w:rsid w:val="00C71A83"/>
    <w:rsid w:val="00C906C8"/>
    <w:rsid w:val="00C96D38"/>
    <w:rsid w:val="00CB552E"/>
    <w:rsid w:val="00CC3CE3"/>
    <w:rsid w:val="00CD3499"/>
    <w:rsid w:val="00CF1D05"/>
    <w:rsid w:val="00D01EE9"/>
    <w:rsid w:val="00D02170"/>
    <w:rsid w:val="00D17590"/>
    <w:rsid w:val="00D26743"/>
    <w:rsid w:val="00D370AF"/>
    <w:rsid w:val="00D42B59"/>
    <w:rsid w:val="00D66453"/>
    <w:rsid w:val="00DA5121"/>
    <w:rsid w:val="00DC3F2E"/>
    <w:rsid w:val="00E01077"/>
    <w:rsid w:val="00E641B3"/>
    <w:rsid w:val="00E65473"/>
    <w:rsid w:val="00E7584C"/>
    <w:rsid w:val="00E852C4"/>
    <w:rsid w:val="00E87606"/>
    <w:rsid w:val="00EA49B2"/>
    <w:rsid w:val="00EC5E8C"/>
    <w:rsid w:val="00ED293D"/>
    <w:rsid w:val="00ED30DE"/>
    <w:rsid w:val="00F201FA"/>
    <w:rsid w:val="00F3191F"/>
    <w:rsid w:val="00F34BF2"/>
    <w:rsid w:val="00F54E9A"/>
    <w:rsid w:val="00F56578"/>
    <w:rsid w:val="00F67964"/>
    <w:rsid w:val="00F9015A"/>
    <w:rsid w:val="00FB40CC"/>
    <w:rsid w:val="00FC1043"/>
    <w:rsid w:val="00FD2208"/>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F7F993"/>
  <w15:chartTrackingRefBased/>
  <w15:docId w15:val="{9D7919F0-10E6-4741-868F-5A15BF750E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qFormat="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2865"/>
    <w:pPr>
      <w:spacing w:after="240"/>
    </w:pPr>
    <w:rPr>
      <w:rFonts w:ascii="Aptos" w:hAnsi="Aptos" w:eastAsia="Aptos"/>
      <w:color w:val="000000"/>
      <w:sz w:val="20"/>
    </w:rPr>
  </w:style>
  <w:style w:type="paragraph" w:styleId="Heading1">
    <w:name w:val="heading 1"/>
    <w:basedOn w:val="Normal"/>
    <w:next w:val="Normal"/>
    <w:link w:val="Heading1Char"/>
    <w:uiPriority w:val="9"/>
    <w:qFormat/>
    <w:rsid w:val="00511392"/>
    <w:pPr>
      <w:keepNext/>
      <w:keepLines/>
      <w:spacing w:before="240" w:after="60"/>
      <w:outlineLvl w:val="0"/>
    </w:pPr>
    <w:rPr>
      <w:rFonts w:asciiTheme="majorHAnsi" w:eastAsiaTheme="majorEastAsia" w:hAnsiTheme="majorHAnsi" w:cstheme="majorBidi" w:ascii="Aptos" w:hAnsi="Aptos" w:eastAsia="Aptos"/>
      <w:b/>
      <w:color w:val="002D72"/>
      <w:sz w:val="40"/>
      <w:szCs w:val="36"/>
    </w:rPr>
  </w:style>
  <w:style w:type="paragraph" w:styleId="Heading2">
    <w:name w:val="heading 2"/>
    <w:basedOn w:val="Normal"/>
    <w:next w:val="Normal"/>
    <w:link w:val="Heading2Char"/>
    <w:uiPriority w:val="9"/>
    <w:unhideWhenUsed/>
    <w:qFormat/>
    <w:rsid w:val="00EC5E8C"/>
    <w:pPr>
      <w:keepNext/>
      <w:keepLines/>
      <w:outlineLvl w:val="1"/>
    </w:pPr>
    <w:rPr>
      <w:rFonts w:asciiTheme="majorHAnsi" w:eastAsiaTheme="majorEastAsia" w:hAnsiTheme="majorHAnsi" w:cs="Times New Roman (Headings CS)" w:ascii="Aptos" w:hAnsi="Aptos" w:eastAsia="Aptos"/>
      <w:b/>
      <w:color w:val="00A9E0"/>
      <w:sz w:val="28"/>
      <w:szCs w:val="26"/>
    </w:rPr>
  </w:style>
  <w:style w:type="paragraph" w:styleId="Heading3">
    <w:name w:val="heading 3"/>
    <w:basedOn w:val="Normal"/>
    <w:next w:val="Normal"/>
    <w:link w:val="Heading3Char"/>
    <w:uiPriority w:val="9"/>
    <w:unhideWhenUsed/>
    <w:qFormat/>
    <w:rsid w:val="00412949"/>
    <w:pPr>
      <w:keepNext/>
      <w:keepLines/>
      <w:spacing w:after="0"/>
      <w:outlineLvl w:val="2"/>
    </w:pPr>
    <w:rPr>
      <w:rFonts w:ascii="Aptos" w:eastAsiaTheme="majorEastAsia" w:hAnsi="Aptos" w:cs="Times New Roman (Headings CS)" w:eastAsia="Aptos"/>
      <w:b/>
      <w:color w:val="1F2A44"/>
      <w:spacing w:val="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E2505"/>
    <w:pPr>
      <w:tabs>
        <w:tab w:val="center" w:pos="4680"/>
        <w:tab w:val="right" w:pos="9360"/>
      </w:tabs>
    </w:pPr>
  </w:style>
  <w:style w:type="character" w:customStyle="1" w:styleId="HeaderChar">
    <w:name w:val="Header Char"/>
    <w:basedOn w:val="DefaultParagraphFont"/>
    <w:link w:val="Header"/>
    <w:uiPriority w:val="99"/>
    <w:rsid w:val="004E2505"/>
  </w:style>
  <w:style w:type="paragraph" w:styleId="Footer">
    <w:name w:val="footer"/>
    <w:basedOn w:val="Normal"/>
    <w:link w:val="FooterChar"/>
    <w:uiPriority w:val="99"/>
    <w:unhideWhenUsed/>
    <w:rsid w:val="00C96D38"/>
    <w:pPr>
      <w:tabs>
        <w:tab w:val="center" w:pos="4680"/>
        <w:tab w:val="right" w:pos="9360"/>
      </w:tabs>
      <w:jc w:val="right"/>
    </w:pPr>
    <w:rPr>
      <w:color w:val="001F5A" w:themeColor="accent1"/>
      <w:sz w:val="18"/>
    </w:rPr>
  </w:style>
  <w:style w:type="character" w:customStyle="1" w:styleId="FooterChar">
    <w:name w:val="Footer Char"/>
    <w:basedOn w:val="DefaultParagraphFont"/>
    <w:link w:val="Footer"/>
    <w:uiPriority w:val="99"/>
    <w:rsid w:val="00C96D38"/>
    <w:rPr>
      <w:color w:val="001F5A" w:themeColor="accent1"/>
      <w:sz w:val="18"/>
    </w:rPr>
  </w:style>
  <w:style w:type="paragraph" w:styleId="NoSpacing">
    <w:name w:val="No Spacing"/>
    <w:link w:val="NoSpacingChar"/>
    <w:uiPriority w:val="1"/>
    <w:qFormat/>
    <w:rsid w:val="007A4FC4"/>
    <w:rPr>
      <w:rFonts w:eastAsiaTheme="minorEastAsia"/>
      <w:sz w:val="22"/>
      <w:szCs w:val="22"/>
      <w:lang w:eastAsia="zh-CN"/>
    </w:rPr>
  </w:style>
  <w:style w:type="character" w:customStyle="1" w:styleId="NoSpacingChar">
    <w:name w:val="No Spacing Char"/>
    <w:basedOn w:val="DefaultParagraphFont"/>
    <w:link w:val="NoSpacing"/>
    <w:uiPriority w:val="1"/>
    <w:rsid w:val="007A4FC4"/>
    <w:rPr>
      <w:rFonts w:eastAsiaTheme="minorEastAsia"/>
      <w:sz w:val="22"/>
      <w:szCs w:val="22"/>
      <w:lang w:eastAsia="zh-CN"/>
    </w:rPr>
  </w:style>
  <w:style w:type="paragraph" w:styleId="Title">
    <w:name w:val="Title"/>
    <w:basedOn w:val="Normal"/>
    <w:next w:val="Normal"/>
    <w:link w:val="TitleChar"/>
    <w:uiPriority w:val="10"/>
    <w:qFormat/>
    <w:rsid w:val="007A4FC4"/>
    <w:pPr>
      <w:spacing w:after="120" w:line="760" w:lineRule="exact"/>
      <w:contextualSpacing/>
    </w:pPr>
    <w:rPr>
      <w:rFonts w:asciiTheme="majorHAnsi" w:eastAsiaTheme="majorEastAsia" w:hAnsiTheme="majorHAnsi" w:cstheme="majorBidi"/>
      <w:color w:val="001F5A" w:themeColor="accent1"/>
      <w:spacing w:val="-10"/>
      <w:kern w:val="28"/>
      <w:sz w:val="72"/>
      <w:szCs w:val="56"/>
    </w:rPr>
  </w:style>
  <w:style w:type="character" w:customStyle="1" w:styleId="TitleChar">
    <w:name w:val="Title Char"/>
    <w:basedOn w:val="DefaultParagraphFont"/>
    <w:link w:val="Title"/>
    <w:uiPriority w:val="10"/>
    <w:rsid w:val="007A4FC4"/>
    <w:rPr>
      <w:rFonts w:asciiTheme="majorHAnsi" w:eastAsiaTheme="majorEastAsia" w:hAnsiTheme="majorHAnsi" w:cstheme="majorBidi"/>
      <w:color w:val="001F5A" w:themeColor="accent1"/>
      <w:spacing w:val="-10"/>
      <w:kern w:val="28"/>
      <w:sz w:val="72"/>
      <w:szCs w:val="56"/>
    </w:rPr>
  </w:style>
  <w:style w:type="paragraph" w:styleId="Subtitle">
    <w:name w:val="Subtitle"/>
    <w:basedOn w:val="Normal"/>
    <w:next w:val="Normal"/>
    <w:link w:val="SubtitleChar"/>
    <w:uiPriority w:val="11"/>
    <w:qFormat/>
    <w:rsid w:val="00EC5E8C"/>
    <w:pPr>
      <w:numPr>
        <w:ilvl w:val="1"/>
      </w:numPr>
      <w:spacing w:after="480" w:line="520" w:lineRule="exact"/>
    </w:pPr>
    <w:rPr>
      <w:rFonts w:eastAsiaTheme="minorEastAsia" w:cs="Times New Roman (Body CS)"/>
      <w:color w:val="2662FC" w:themeColor="accent2"/>
      <w:sz w:val="36"/>
      <w:szCs w:val="22"/>
    </w:rPr>
  </w:style>
  <w:style w:type="character" w:customStyle="1" w:styleId="SubtitleChar">
    <w:name w:val="Subtitle Char"/>
    <w:basedOn w:val="DefaultParagraphFont"/>
    <w:link w:val="Subtitle"/>
    <w:uiPriority w:val="11"/>
    <w:rsid w:val="00EC5E8C"/>
    <w:rPr>
      <w:rFonts w:eastAsiaTheme="minorEastAsia" w:cs="Times New Roman (Body CS)"/>
      <w:color w:val="2662FC" w:themeColor="accent2"/>
      <w:sz w:val="36"/>
      <w:szCs w:val="22"/>
    </w:rPr>
  </w:style>
  <w:style w:type="paragraph" w:styleId="BalloonText">
    <w:name w:val="Balloon Text"/>
    <w:basedOn w:val="Normal"/>
    <w:link w:val="BalloonTextChar"/>
    <w:uiPriority w:val="99"/>
    <w:semiHidden/>
    <w:unhideWhenUsed/>
    <w:rsid w:val="00CB552E"/>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CB552E"/>
    <w:rPr>
      <w:rFonts w:ascii="Times New Roman" w:hAnsi="Times New Roman" w:cs="Times New Roman"/>
      <w:color w:val="000000" w:themeColor="text1"/>
      <w:sz w:val="18"/>
      <w:szCs w:val="18"/>
    </w:rPr>
  </w:style>
  <w:style w:type="table" w:styleId="TableGrid">
    <w:name w:val="Table Grid"/>
    <w:basedOn w:val="TableNormal"/>
    <w:uiPriority w:val="59"/>
    <w:rsid w:val="00C96D3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511392"/>
    <w:rPr>
      <w:rFonts w:asciiTheme="majorHAnsi" w:eastAsiaTheme="majorEastAsia" w:hAnsiTheme="majorHAnsi" w:cstheme="majorBidi"/>
      <w:color w:val="001F5A" w:themeColor="accent1"/>
      <w:sz w:val="36"/>
      <w:szCs w:val="36"/>
    </w:rPr>
  </w:style>
  <w:style w:type="character" w:customStyle="1" w:styleId="Heading2Char">
    <w:name w:val="Heading 2 Char"/>
    <w:basedOn w:val="DefaultParagraphFont"/>
    <w:link w:val="Heading2"/>
    <w:uiPriority w:val="9"/>
    <w:rsid w:val="00EC5E8C"/>
    <w:rPr>
      <w:rFonts w:asciiTheme="majorHAnsi" w:eastAsiaTheme="majorEastAsia" w:hAnsiTheme="majorHAnsi" w:cs="Times New Roman (Headings CS)"/>
      <w:color w:val="2662FC" w:themeColor="accent2"/>
      <w:sz w:val="28"/>
      <w:szCs w:val="26"/>
    </w:rPr>
  </w:style>
  <w:style w:type="character" w:customStyle="1" w:styleId="Heading3Char">
    <w:name w:val="Heading 3 Char"/>
    <w:basedOn w:val="DefaultParagraphFont"/>
    <w:link w:val="Heading3"/>
    <w:uiPriority w:val="9"/>
    <w:rsid w:val="00412949"/>
    <w:rPr>
      <w:rFonts w:ascii="Aptos" w:eastAsiaTheme="majorEastAsia" w:hAnsi="Aptos" w:cs="Times New Roman (Headings CS)"/>
      <w:b/>
      <w:color w:val="001F5A" w:themeColor="accent1"/>
      <w:spacing w:val="6"/>
      <w:sz w:val="22"/>
      <w:szCs w:val="22"/>
    </w:rPr>
  </w:style>
  <w:style w:type="character" w:styleId="Strong">
    <w:name w:val="Strong"/>
    <w:basedOn w:val="DefaultParagraphFont"/>
    <w:uiPriority w:val="22"/>
    <w:qFormat/>
    <w:rsid w:val="004C5363"/>
    <w:rPr>
      <w:b/>
      <w:bCs/>
    </w:rPr>
  </w:style>
  <w:style w:type="character" w:styleId="Hyperlink">
    <w:name w:val="Hyperlink"/>
    <w:uiPriority w:val="99"/>
    <w:unhideWhenUsed/>
    <w:rsid w:val="00511392"/>
    <w:rPr>
      <w:u w:val="single"/>
    </w:rPr>
  </w:style>
  <w:style w:type="character" w:styleId="UnresolvedMention">
    <w:name w:val="Unresolved Mention"/>
    <w:basedOn w:val="DefaultParagraphFont"/>
    <w:uiPriority w:val="99"/>
    <w:semiHidden/>
    <w:unhideWhenUsed/>
    <w:rsid w:val="004C5363"/>
    <w:rPr>
      <w:color w:val="605E5C"/>
      <w:shd w:val="clear" w:color="auto" w:fill="E1DFDD"/>
    </w:rPr>
  </w:style>
  <w:style w:type="paragraph" w:styleId="IntenseQuote">
    <w:name w:val="Intense Quote"/>
    <w:aliases w:val="Call out"/>
    <w:basedOn w:val="Normal"/>
    <w:next w:val="Normal"/>
    <w:link w:val="IntenseQuoteChar"/>
    <w:uiPriority w:val="30"/>
    <w:qFormat/>
    <w:rsid w:val="007B2188"/>
    <w:pPr>
      <w:pBdr>
        <w:top w:val="single" w:sz="4" w:space="10" w:color="00C2FF"/>
        <w:bottom w:val="single" w:sz="4" w:space="10" w:color="00C2FF"/>
      </w:pBdr>
      <w:spacing w:before="360" w:after="360"/>
      <w:ind w:left="864" w:right="864"/>
      <w:jc w:val="center"/>
    </w:pPr>
    <w:rPr>
      <w:iCs/>
      <w:color w:val="000C36" w:themeColor="text2"/>
      <w:sz w:val="22"/>
    </w:rPr>
  </w:style>
  <w:style w:type="character" w:customStyle="1" w:styleId="IntenseQuoteChar">
    <w:name w:val="Intense Quote Char"/>
    <w:aliases w:val="Call out Char"/>
    <w:basedOn w:val="DefaultParagraphFont"/>
    <w:link w:val="IntenseQuote"/>
    <w:uiPriority w:val="30"/>
    <w:rsid w:val="007B2188"/>
    <w:rPr>
      <w:iCs/>
      <w:color w:val="000C36" w:themeColor="text2"/>
      <w:sz w:val="22"/>
    </w:rPr>
  </w:style>
  <w:style w:type="paragraph" w:customStyle="1" w:styleId="TableBodyText">
    <w:name w:val="Table Body Text"/>
    <w:basedOn w:val="BodyText"/>
    <w:next w:val="Normal"/>
    <w:uiPriority w:val="7"/>
    <w:qFormat/>
    <w:rsid w:val="00A36F3F"/>
    <w:pPr>
      <w:spacing w:after="0"/>
    </w:pPr>
    <w:rPr>
      <w:rFonts w:eastAsiaTheme="minorEastAsia" w:cs="Times New Roman (Body CS)"/>
      <w:caps/>
      <w:sz w:val="18"/>
      <w:lang w:eastAsia="ja-JP"/>
    </w:rPr>
  </w:style>
  <w:style w:type="paragraph" w:customStyle="1" w:styleId="TableHeader">
    <w:name w:val="Table Header"/>
    <w:basedOn w:val="Normal"/>
    <w:uiPriority w:val="6"/>
    <w:qFormat/>
    <w:rsid w:val="002B5D09"/>
    <w:pPr>
      <w:spacing w:after="0"/>
    </w:pPr>
    <w:rPr>
      <w:rFonts w:asciiTheme="majorHAnsi" w:eastAsiaTheme="minorEastAsia" w:hAnsiTheme="majorHAnsi" w:cs="Arial"/>
      <w:b/>
      <w:bCs/>
      <w:caps/>
      <w:color w:val="FFFFFF" w:themeColor="background1"/>
      <w:sz w:val="18"/>
      <w:szCs w:val="22"/>
    </w:rPr>
  </w:style>
  <w:style w:type="paragraph" w:styleId="BodyText">
    <w:name w:val="Body Text"/>
    <w:basedOn w:val="Normal"/>
    <w:link w:val="BodyTextChar"/>
    <w:uiPriority w:val="99"/>
    <w:semiHidden/>
    <w:unhideWhenUsed/>
    <w:rsid w:val="00EA49B2"/>
    <w:pPr>
      <w:spacing w:after="120"/>
    </w:pPr>
  </w:style>
  <w:style w:type="character" w:customStyle="1" w:styleId="BodyTextChar">
    <w:name w:val="Body Text Char"/>
    <w:basedOn w:val="DefaultParagraphFont"/>
    <w:link w:val="BodyText"/>
    <w:uiPriority w:val="99"/>
    <w:semiHidden/>
    <w:rsid w:val="00EA49B2"/>
    <w:rPr>
      <w:color w:val="000000" w:themeColor="text1"/>
      <w:sz w:val="20"/>
    </w:rPr>
  </w:style>
  <w:style w:type="character" w:styleId="SubtleReference">
    <w:name w:val="Subtle Reference"/>
    <w:basedOn w:val="DefaultParagraphFont"/>
    <w:uiPriority w:val="31"/>
    <w:qFormat/>
    <w:rsid w:val="005161B3"/>
    <w:rPr>
      <w:rFonts w:asciiTheme="minorHAnsi" w:hAnsiTheme="minorHAnsi"/>
      <w:b w:val="0"/>
      <w:i w:val="0"/>
      <w:caps w:val="0"/>
      <w:smallCaps w:val="0"/>
      <w:color w:val="000C36" w:themeColor="text2"/>
      <w:spacing w:val="6"/>
      <w:sz w:val="18"/>
      <w:u w:val="none"/>
    </w:rPr>
  </w:style>
  <w:style w:type="paragraph" w:styleId="ListBullet">
    <w:name w:val="List Bullet"/>
    <w:basedOn w:val="Normal"/>
    <w:uiPriority w:val="99"/>
    <w:unhideWhenUsed/>
    <w:qFormat/>
    <w:rsid w:val="009A7E8B"/>
    <w:pPr>
      <w:numPr>
        <w:numId w:val="10"/>
      </w:numPr>
      <w:spacing w:before="120"/>
      <w:contextualSpacing/>
    </w:pPr>
  </w:style>
  <w:style w:type="table" w:styleId="TableGridLight">
    <w:name w:val="Grid Table Light"/>
    <w:basedOn w:val="TableNormal"/>
    <w:uiPriority w:val="40"/>
    <w:rsid w:val="004A62C3"/>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9B4176"/>
    <w:rPr>
      <w:rFonts w:cs="Times New Roman (Body CS)"/>
      <w:caps/>
      <w:sz w:val="18"/>
    </w:rPr>
    <w:tblPr>
      <w:tblStyleRowBandSize w:val="1"/>
      <w:tblStyleColBandSize w:val="1"/>
      <w:tblBorders>
        <w:top w:val="single" w:sz="12" w:space="0" w:color="FFFFFF" w:themeColor="background1"/>
        <w:left w:val="single" w:sz="12" w:space="0" w:color="FFFFFF" w:themeColor="background1"/>
        <w:bottom w:val="single" w:sz="12" w:space="0" w:color="FFFFFF" w:themeColor="background1"/>
        <w:right w:val="single" w:sz="12" w:space="0" w:color="FFFFFF" w:themeColor="background1"/>
        <w:insideH w:val="single" w:sz="12" w:space="0" w:color="FFFFFF" w:themeColor="background1"/>
        <w:insideV w:val="single" w:sz="12" w:space="0" w:color="FFFFFF" w:themeColor="background1"/>
      </w:tblBorders>
      <w:tblCellMar>
        <w:top w:w="115" w:type="dxa"/>
        <w:left w:w="115" w:type="dxa"/>
        <w:bottom w:w="115" w:type="dxa"/>
        <w:right w:w="115" w:type="dxa"/>
      </w:tblCellMar>
    </w:tblPr>
    <w:tblStylePr w:type="firstRow">
      <w:rPr>
        <w:rFonts w:asciiTheme="minorHAnsi" w:hAnsiTheme="minorHAnsi"/>
        <w:b/>
        <w:bCs/>
        <w:i w:val="0"/>
        <w:color w:val="FFFFFF" w:themeColor="background1"/>
        <w:sz w:val="18"/>
      </w:rPr>
      <w:tblPr/>
      <w:tcPr>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insideH w:val="single" w:sz="12" w:space="0" w:color="FFFFFF" w:themeColor="background1"/>
          <w:insideV w:val="single" w:sz="12" w:space="0" w:color="FFFFFF" w:themeColor="background1"/>
          <w:tl2br w:val="nil"/>
          <w:tr2bl w:val="nil"/>
        </w:tcBorders>
        <w:shd w:val="clear" w:color="auto" w:fill="001F5A" w:themeFill="accent1"/>
      </w:tc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insideH w:val="single" w:sz="12" w:space="0" w:color="FFFFFF" w:themeColor="background1"/>
          <w:insideV w:val="single" w:sz="12" w:space="0" w:color="FFFFFF" w:themeColor="background1"/>
          <w:tl2br w:val="nil"/>
          <w:tr2bl w:val="nil"/>
        </w:tcBorders>
        <w:shd w:val="clear" w:color="auto" w:fill="F5F5F5"/>
      </w:tcPr>
    </w:tblStylePr>
    <w:tblStylePr w:type="band2Horz">
      <w:tblPr/>
      <w:tcPr>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insideH w:val="single" w:sz="12" w:space="0" w:color="FFFFFF" w:themeColor="background1"/>
          <w:insideV w:val="single" w:sz="12" w:space="0" w:color="FFFFFF" w:themeColor="background1"/>
          <w:tl2br w:val="nil"/>
          <w:tr2bl w:val="nil"/>
        </w:tcBorders>
        <w:shd w:val="clear" w:color="auto" w:fill="EBEBEB"/>
      </w:tcPr>
    </w:tblStylePr>
  </w:style>
  <w:style w:type="table" w:styleId="GridTable1Light">
    <w:name w:val="Grid Table 1 Light"/>
    <w:basedOn w:val="TableNormal"/>
    <w:uiPriority w:val="46"/>
    <w:rsid w:val="004A62C3"/>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2">
    <w:name w:val="Plain Table 2"/>
    <w:basedOn w:val="TableNormal"/>
    <w:uiPriority w:val="42"/>
    <w:rsid w:val="004A62C3"/>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ListBullet2">
    <w:name w:val="List Bullet 2"/>
    <w:basedOn w:val="Normal"/>
    <w:uiPriority w:val="99"/>
    <w:unhideWhenUsed/>
    <w:rsid w:val="009A7E8B"/>
    <w:pPr>
      <w:numPr>
        <w:numId w:val="9"/>
      </w:numPr>
      <w:contextualSpacing/>
    </w:pPr>
  </w:style>
  <w:style w:type="paragraph" w:styleId="ListNumber">
    <w:name w:val="List Number"/>
    <w:basedOn w:val="Normal"/>
    <w:uiPriority w:val="99"/>
    <w:unhideWhenUsed/>
    <w:qFormat/>
    <w:rsid w:val="00E01077"/>
    <w:pPr>
      <w:spacing w:before="120"/>
      <w:ind w:left="360" w:hanging="360"/>
      <w:contextualSpacing/>
    </w:pPr>
  </w:style>
  <w:style w:type="paragraph" w:styleId="ListNumber2">
    <w:name w:val="List Number 2"/>
    <w:basedOn w:val="Normal"/>
    <w:uiPriority w:val="99"/>
    <w:unhideWhenUsed/>
    <w:rsid w:val="00E01077"/>
    <w:pPr>
      <w:numPr>
        <w:ilvl w:val="1"/>
        <w:numId w:val="12"/>
      </w:numPr>
    </w:pPr>
    <w:rPr>
      <w:bCs/>
    </w:rPr>
  </w:style>
  <w:style w:type="paragraph" w:styleId="TOCHeading">
    <w:name w:val="TOC Heading"/>
    <w:basedOn w:val="Heading1"/>
    <w:next w:val="Normal"/>
    <w:uiPriority w:val="39"/>
    <w:unhideWhenUsed/>
    <w:qFormat/>
    <w:rsid w:val="007E27A0"/>
    <w:pPr>
      <w:spacing w:before="480" w:after="0" w:line="276" w:lineRule="auto"/>
      <w:outlineLvl w:val="9"/>
    </w:pPr>
    <w:rPr>
      <w:bCs/>
      <w:color w:val="001643" w:themeColor="accent1" w:themeShade="BF"/>
      <w:sz w:val="32"/>
      <w:szCs w:val="28"/>
    </w:rPr>
  </w:style>
  <w:style w:type="paragraph" w:styleId="TOC1">
    <w:name w:val="toc 1"/>
    <w:basedOn w:val="Normal"/>
    <w:next w:val="Normal"/>
    <w:autoRedefine/>
    <w:uiPriority w:val="39"/>
    <w:unhideWhenUsed/>
    <w:rsid w:val="007E27A0"/>
    <w:pPr>
      <w:spacing w:before="120" w:after="120"/>
    </w:pPr>
    <w:rPr>
      <w:rFonts w:cs="Calibri (Body)"/>
      <w:bCs/>
      <w:color w:val="001F5A" w:themeColor="accent1"/>
      <w:sz w:val="24"/>
      <w:szCs w:val="20"/>
    </w:rPr>
  </w:style>
  <w:style w:type="paragraph" w:styleId="TOC2">
    <w:name w:val="toc 2"/>
    <w:basedOn w:val="Normal"/>
    <w:next w:val="Normal"/>
    <w:autoRedefine/>
    <w:uiPriority w:val="39"/>
    <w:unhideWhenUsed/>
    <w:rsid w:val="007E27A0"/>
    <w:pPr>
      <w:spacing w:after="120"/>
      <w:ind w:left="202"/>
    </w:pPr>
    <w:rPr>
      <w:rFonts w:cs="Calibri (Body)"/>
      <w:color w:val="007BB6"/>
      <w:sz w:val="22"/>
      <w:szCs w:val="20"/>
    </w:rPr>
  </w:style>
  <w:style w:type="paragraph" w:styleId="TOC3">
    <w:name w:val="toc 3"/>
    <w:basedOn w:val="Normal"/>
    <w:next w:val="Normal"/>
    <w:autoRedefine/>
    <w:uiPriority w:val="39"/>
    <w:unhideWhenUsed/>
    <w:rsid w:val="007E27A0"/>
    <w:pPr>
      <w:spacing w:before="60"/>
      <w:ind w:left="403"/>
    </w:pPr>
    <w:rPr>
      <w:rFonts w:cs="Calibri (Body)"/>
      <w:iCs/>
      <w:szCs w:val="20"/>
    </w:rPr>
  </w:style>
  <w:style w:type="paragraph" w:styleId="TOC4">
    <w:name w:val="toc 4"/>
    <w:basedOn w:val="Normal"/>
    <w:next w:val="Normal"/>
    <w:autoRedefine/>
    <w:uiPriority w:val="39"/>
    <w:unhideWhenUsed/>
    <w:rsid w:val="00C61074"/>
    <w:pPr>
      <w:ind w:left="600"/>
    </w:pPr>
    <w:rPr>
      <w:rFonts w:cstheme="minorHAnsi"/>
      <w:sz w:val="18"/>
      <w:szCs w:val="18"/>
    </w:rPr>
  </w:style>
  <w:style w:type="paragraph" w:styleId="TOC5">
    <w:name w:val="toc 5"/>
    <w:basedOn w:val="Normal"/>
    <w:next w:val="Normal"/>
    <w:autoRedefine/>
    <w:uiPriority w:val="39"/>
    <w:unhideWhenUsed/>
    <w:rsid w:val="00C61074"/>
    <w:pPr>
      <w:ind w:left="800"/>
    </w:pPr>
    <w:rPr>
      <w:rFonts w:cstheme="minorHAnsi"/>
      <w:sz w:val="18"/>
      <w:szCs w:val="18"/>
    </w:rPr>
  </w:style>
  <w:style w:type="paragraph" w:styleId="TOC6">
    <w:name w:val="toc 6"/>
    <w:basedOn w:val="Normal"/>
    <w:next w:val="Normal"/>
    <w:autoRedefine/>
    <w:uiPriority w:val="39"/>
    <w:unhideWhenUsed/>
    <w:rsid w:val="00C61074"/>
    <w:pPr>
      <w:ind w:left="1000"/>
    </w:pPr>
    <w:rPr>
      <w:rFonts w:cstheme="minorHAnsi"/>
      <w:sz w:val="18"/>
      <w:szCs w:val="18"/>
    </w:rPr>
  </w:style>
  <w:style w:type="paragraph" w:styleId="TOC7">
    <w:name w:val="toc 7"/>
    <w:basedOn w:val="Normal"/>
    <w:next w:val="Normal"/>
    <w:autoRedefine/>
    <w:uiPriority w:val="39"/>
    <w:unhideWhenUsed/>
    <w:rsid w:val="00C61074"/>
    <w:pPr>
      <w:ind w:left="1200"/>
    </w:pPr>
    <w:rPr>
      <w:rFonts w:cstheme="minorHAnsi"/>
      <w:sz w:val="18"/>
      <w:szCs w:val="18"/>
    </w:rPr>
  </w:style>
  <w:style w:type="paragraph" w:styleId="TOC8">
    <w:name w:val="toc 8"/>
    <w:basedOn w:val="Normal"/>
    <w:next w:val="Normal"/>
    <w:autoRedefine/>
    <w:uiPriority w:val="39"/>
    <w:unhideWhenUsed/>
    <w:rsid w:val="00C61074"/>
    <w:pPr>
      <w:ind w:left="1400"/>
    </w:pPr>
    <w:rPr>
      <w:rFonts w:cstheme="minorHAnsi"/>
      <w:sz w:val="18"/>
      <w:szCs w:val="18"/>
    </w:rPr>
  </w:style>
  <w:style w:type="paragraph" w:styleId="TOC9">
    <w:name w:val="toc 9"/>
    <w:basedOn w:val="Normal"/>
    <w:next w:val="Normal"/>
    <w:autoRedefine/>
    <w:uiPriority w:val="39"/>
    <w:unhideWhenUsed/>
    <w:rsid w:val="00C61074"/>
    <w:pPr>
      <w:ind w:left="1600"/>
    </w:pPr>
    <w:rPr>
      <w:rFonts w:cstheme="minorHAnsi"/>
      <w:sz w:val="18"/>
      <w:szCs w:val="18"/>
    </w:rPr>
  </w:style>
  <w:style w:type="character" w:styleId="FollowedHyperlink">
    <w:name w:val="FollowedHyperlink"/>
    <w:basedOn w:val="DefaultParagraphFont"/>
    <w:uiPriority w:val="99"/>
    <w:semiHidden/>
    <w:unhideWhenUsed/>
    <w:rsid w:val="00511392"/>
    <w:rPr>
      <w:color w:val="00C2FF"/>
      <w:u w:val="single"/>
    </w:rPr>
  </w:style>
  <w:style w:type="paragraph" w:customStyle="1" w:styleId="Titleinheader">
    <w:name w:val="Title in header"/>
    <w:basedOn w:val="Heading3"/>
    <w:qFormat/>
    <w:rsid w:val="00511392"/>
    <w:rPr>
      <w:b w:val="0"/>
      <w:bCs/>
      <w:caps/>
      <w:color w:val="00C2FF" w:themeColor="accent3"/>
      <w:sz w:val="32"/>
      <w:szCs w:val="32"/>
    </w:rPr>
  </w:style>
  <w:style w:type="paragraph" w:styleId="ListNumber3">
    <w:name w:val="List Number 3"/>
    <w:basedOn w:val="ListNumber2"/>
    <w:uiPriority w:val="99"/>
    <w:unhideWhenUsed/>
    <w:rsid w:val="00E01077"/>
    <w:pPr>
      <w:numPr>
        <w:ilvl w:val="2"/>
        <w:numId w:val="13"/>
      </w:numPr>
      <w:snapToGrid w:val="0"/>
      <w:spacing w:after="0"/>
    </w:pPr>
  </w:style>
  <w:style w:type="character" w:customStyle="1" w:styleId="Header3">
    <w:name w:val="Header 3"/>
    <w:uiPriority w:val="1"/>
    <w:qFormat/>
    <w:rsid w:val="000A2195"/>
    <w:rPr>
      <w:rFonts w:ascii="Aptos" w:eastAsiaTheme="majorEastAsia" w:hAnsi="Aptos" w:cs="Times New Roman (Headings CS)"/>
      <w:b/>
      <w:color w:val="001F5A" w:themeColor="accent1"/>
      <w:spacing w:val="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broadridge.com/" TargetMode="External"/><Relationship Id="rId19" Type="http://schemas.openxmlformats.org/officeDocument/2006/relationships/header" Target="header3.xml"/><Relationship Id="rId20" Type="http://schemas.openxmlformats.org/officeDocument/2006/relationships/footer" Target="footer4.xml"/><Relationship Id="rId21" Type="http://schemas.openxmlformats.org/officeDocument/2006/relationships/image" Target="media/image2.png"/><Relationship Id="rId22" Type="http://schemas.openxmlformats.org/officeDocument/2006/relationships/image" Target="media/image1.png"/><Relationship Id="rId23" Type="http://schemas.openxmlformats.org/officeDocument/2006/relationships/image" Target="media/image3.png"/><Relationship Id="rId24" Type="http://schemas.openxmlformats.org/officeDocument/2006/relationships/header" Target="header4.xml"/><Relationship Id="rId25" Type="http://schemas.openxmlformats.org/officeDocument/2006/relationships/footer" Target="footer5.xml"/><Relationship Id="rId26" Type="http://schemas.openxmlformats.org/officeDocument/2006/relationships/image" Target="media/image5.jpg"/><Relationship Id="rId27" Type="http://schemas.openxmlformats.org/officeDocument/2006/relationships/image" Target="media/image6.jpg"/><Relationship Id="rId28" Type="http://schemas.openxmlformats.org/officeDocument/2006/relationships/image" Target="media/image7.jpg"/><Relationship Id="rId29" Type="http://schemas.openxmlformats.org/officeDocument/2006/relationships/image" Target="media/image8.jpg"/><Relationship Id="rId30" Type="http://schemas.openxmlformats.org/officeDocument/2006/relationships/image" Target="media/image9.jpg"/><Relationship Id="rId31" Type="http://schemas.openxmlformats.org/officeDocument/2006/relationships/image" Target="media/image10.jpg"/><Relationship Id="rId32" Type="http://schemas.openxmlformats.org/officeDocument/2006/relationships/image" Target="media/image11.jpg"/><Relationship Id="rId33" Type="http://schemas.openxmlformats.org/officeDocument/2006/relationships/image" Target="media/image12.jpg"/><Relationship Id="rId34" Type="http://schemas.openxmlformats.org/officeDocument/2006/relationships/image" Target="media/image13.jpg"/><Relationship Id="rId35" Type="http://schemas.openxmlformats.org/officeDocument/2006/relationships/image" Target="media/image14.jpg"/><Relationship Id="rId36" Type="http://schemas.openxmlformats.org/officeDocument/2006/relationships/image" Target="media/image15.jpg"/><Relationship Id="rId37" Type="http://schemas.openxmlformats.org/officeDocument/2006/relationships/image" Target="media/image16.jpg"/><Relationship Id="rId38" Type="http://schemas.openxmlformats.org/officeDocument/2006/relationships/image" Target="media/image17.jpg"/><Relationship Id="rId39" Type="http://schemas.openxmlformats.org/officeDocument/2006/relationships/image" Target="media/image18.jpg"/><Relationship Id="rId40" Type="http://schemas.openxmlformats.org/officeDocument/2006/relationships/image" Target="media/image19.jpg"/><Relationship Id="rId41" Type="http://schemas.openxmlformats.org/officeDocument/2006/relationships/image" Target="media/image20.jpg"/><Relationship Id="rId42" Type="http://schemas.openxmlformats.org/officeDocument/2006/relationships/image" Target="media/image21.jpg"/><Relationship Id="rId43" Type="http://schemas.openxmlformats.org/officeDocument/2006/relationships/image" Target="media/image22.jpg"/><Relationship Id="rId44" Type="http://schemas.openxmlformats.org/officeDocument/2006/relationships/image" Target="media/image23.jpg"/><Relationship Id="rId45" Type="http://schemas.openxmlformats.org/officeDocument/2006/relationships/image" Target="media/image24.jpg"/><Relationship Id="rId46" Type="http://schemas.openxmlformats.org/officeDocument/2006/relationships/image" Target="media/image25.jp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footer3.xml.rels><?xml version='1.0' encoding='UTF-8' standalone='yes'?>
<Relationships xmlns="http://schemas.openxmlformats.org/package/2006/relationships"><Relationship Id="rId3" Type="http://schemas.openxmlformats.org/officeDocument/2006/relationships/image" Target="media/image1.png"/><Relationship Id="rId2" Type="http://schemas.openxmlformats.org/officeDocument/2006/relationships/image" Target="media/image4.png"/><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VermaP\AppData\Roaming\Microsoft\Templates\BR-Word-TOCMultipage-2025.dotx" TargetMode="External"/></Relationships>
</file>

<file path=word/theme/theme1.xml><?xml version="1.0" encoding="utf-8"?>
<a:theme xmlns:a="http://schemas.openxmlformats.org/drawingml/2006/main" name="Broadridge2024-white">
  <a:themeElements>
    <a:clrScheme name="Broadridge Light - Nov 2024">
      <a:dk1>
        <a:srgbClr val="000000"/>
      </a:dk1>
      <a:lt1>
        <a:sysClr val="window" lastClr="FFFFFF"/>
      </a:lt1>
      <a:dk2>
        <a:srgbClr val="000C36"/>
      </a:dk2>
      <a:lt2>
        <a:srgbClr val="F0F0F0"/>
      </a:lt2>
      <a:accent1>
        <a:srgbClr val="001F5A"/>
      </a:accent1>
      <a:accent2>
        <a:srgbClr val="2662FC"/>
      </a:accent2>
      <a:accent3>
        <a:srgbClr val="00C2FF"/>
      </a:accent3>
      <a:accent4>
        <a:srgbClr val="BAD1F5"/>
      </a:accent4>
      <a:accent5>
        <a:srgbClr val="0F3DB5"/>
      </a:accent5>
      <a:accent6>
        <a:srgbClr val="6CA5FE"/>
      </a:accent6>
      <a:hlink>
        <a:srgbClr val="2662FC"/>
      </a:hlink>
      <a:folHlink>
        <a:srgbClr val="00C2FF"/>
      </a:folHlink>
    </a:clrScheme>
    <a:fontScheme name="Broadridge_fonts">
      <a:majorFont>
        <a:latin typeface="Aptos Display"/>
        <a:ea typeface=""/>
        <a:cs typeface=""/>
      </a:majorFont>
      <a:minorFont>
        <a:latin typeface="Apto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ln>
          <a:noFill/>
        </a:ln>
      </a:spPr>
      <a:bodyPr rtlCol="0" anchor="ctr"/>
      <a:lstStyle>
        <a:defPPr algn="ctr">
          <a:defRPr/>
        </a:defPPr>
      </a:lstStyle>
      <a:style>
        <a:lnRef idx="2">
          <a:schemeClr val="accent1">
            <a:shade val="15000"/>
          </a:schemeClr>
        </a:lnRef>
        <a:fillRef idx="1">
          <a:schemeClr val="accent1"/>
        </a:fillRef>
        <a:effectRef idx="0">
          <a:schemeClr val="accent1"/>
        </a:effectRef>
        <a:fontRef idx="minor">
          <a:schemeClr val="lt1"/>
        </a:fontRef>
      </a:style>
    </a:spDef>
    <a:lnDef>
      <a:spPr>
        <a:ln>
          <a:solidFill>
            <a:schemeClr val="tx1"/>
          </a:solidFill>
        </a:ln>
      </a:spPr>
      <a:bodyPr/>
      <a:lstStyle/>
      <a:style>
        <a:lnRef idx="2">
          <a:schemeClr val="accent1"/>
        </a:lnRef>
        <a:fillRef idx="0">
          <a:schemeClr val="accent1"/>
        </a:fillRef>
        <a:effectRef idx="1">
          <a:schemeClr val="accent1"/>
        </a:effectRef>
        <a:fontRef idx="minor">
          <a:schemeClr val="tx1"/>
        </a:fontRef>
      </a:style>
    </a:lnDef>
    <a:txDef>
      <a:spPr>
        <a:noFill/>
      </a:spPr>
      <a:bodyPr wrap="square" lIns="0" tIns="0" rIns="0" bIns="0" rtlCol="0">
        <a:noAutofit/>
      </a:bodyPr>
      <a:lstStyle>
        <a:defPPr algn="l">
          <a:defRPr sz="1600" dirty="0" smtClean="0">
            <a:solidFill>
              <a:schemeClr val="accent1"/>
            </a:solidFill>
          </a:defRPr>
        </a:defPPr>
      </a:lstStyle>
    </a:txDef>
  </a:objectDefaults>
  <a:extraClrSchemeLst/>
  <a:custClrLst>
    <a:custClr name="Deep Blue">
      <a:srgbClr val="000C36"/>
    </a:custClr>
    <a:custClr name="Broadridge Blue">
      <a:srgbClr val="001F5A"/>
    </a:custClr>
    <a:custClr name="Rich Blue">
      <a:srgbClr val="082485"/>
    </a:custClr>
    <a:custClr name="True Blue">
      <a:srgbClr val="0F3DB5"/>
    </a:custClr>
    <a:custClr name="Vibrant Blue">
      <a:srgbClr val="2662FC"/>
    </a:custClr>
    <a:custClr name="Fresh Blue">
      <a:srgbClr val="6CA5FE"/>
    </a:custClr>
    <a:custClr name="Open Blue">
      <a:srgbClr val="BAD1F5"/>
    </a:custClr>
    <a:custClr name="Clear Blue">
      <a:srgbClr val="E7F1FC"/>
    </a:custClr>
    <a:custClr name="Neutral">
      <a:srgbClr val="F0F0F0"/>
    </a:custClr>
    <a:custClr name="Cyan">
      <a:srgbClr val="00C2FF"/>
    </a:custClr>
    <a:custClr name="Green">
      <a:srgbClr val="01BD52"/>
    </a:custClr>
    <a:custClr name="Light Green">
      <a:srgbClr val="C1EBB3"/>
    </a:custClr>
    <a:custClr name="Orange">
      <a:srgbClr val="FF8C00"/>
    </a:custClr>
    <a:custClr name="Light Orange">
      <a:srgbClr val="FFDD82"/>
    </a:custClr>
    <a:custClr name="Pink">
      <a:srgbClr val="FF4FFF"/>
    </a:custClr>
    <a:custClr name="Light Pink">
      <a:srgbClr val="FFCAFF"/>
    </a:custClr>
    <a:custClr name="Purple">
      <a:srgbClr val="B43FFC"/>
    </a:custClr>
    <a:custClr name="Light Purple">
      <a:srgbClr val="E9C5FE"/>
    </a:custClr>
    <a:custClr name="not used">
      <a:srgbClr val="FFFFFF"/>
    </a:custClr>
    <a:custClr name="not used">
      <a:srgbClr val="FFFFFF"/>
    </a:custClr>
  </a:custClrLst>
  <a:extLst>
    <a:ext uri="{05A4C25C-085E-4340-85A3-A5531E510DB2}">
      <thm15:themeFamily xmlns:thm15="http://schemas.microsoft.com/office/thememl/2012/main" name="Broadridge2024-white" id="{1BBBEB6E-4FD4-0D4A-92BF-05862CDA68E6}" vid="{375B08C6-10E4-DE4A-BE4E-725E9251A2C0}"/>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3dd94029-fd10-4fdc-b858-4fe3881cbbe7">
      <Terms xmlns="http://schemas.microsoft.com/office/infopath/2007/PartnerControls"/>
    </lcf76f155ced4ddcb4097134ff3c332f>
    <Guidelines xmlns="3dd94029-fd10-4fdc-b858-4fe3881cbbe7" xsi:nil="true"/>
    <Guideline xmlns="3dd94029-fd10-4fdc-b858-4fe3881cbbe7" xsi:nil="true"/>
    <TaxCatchAll xmlns="97e81705-362c-4c5d-806c-62054e4c988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F7E5762EEA1F44FA9E1EA54FB47FD4B" ma:contentTypeVersion="14" ma:contentTypeDescription="Create a new document." ma:contentTypeScope="" ma:versionID="0af78c9e7ec11c3dce3d327283c5ece2">
  <xsd:schema xmlns:xsd="http://www.w3.org/2001/XMLSchema" xmlns:xs="http://www.w3.org/2001/XMLSchema" xmlns:p="http://schemas.microsoft.com/office/2006/metadata/properties" xmlns:ns2="3dd94029-fd10-4fdc-b858-4fe3881cbbe7" xmlns:ns3="97e81705-362c-4c5d-806c-62054e4c9885" targetNamespace="http://schemas.microsoft.com/office/2006/metadata/properties" ma:root="true" ma:fieldsID="181452cd230d7c993e5e4c0ae147af9f" ns2:_="" ns3:_="">
    <xsd:import namespace="3dd94029-fd10-4fdc-b858-4fe3881cbbe7"/>
    <xsd:import namespace="97e81705-362c-4c5d-806c-62054e4c9885"/>
    <xsd:element name="properties">
      <xsd:complexType>
        <xsd:sequence>
          <xsd:element name="documentManagement">
            <xsd:complexType>
              <xsd:all>
                <xsd:element ref="ns2:Guidelines"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Guideline" minOccurs="0"/>
                <xsd:element ref="ns2:lcf76f155ced4ddcb4097134ff3c332f" minOccurs="0"/>
                <xsd:element ref="ns3:TaxCatchAll"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dd94029-fd10-4fdc-b858-4fe3881cbbe7" elementFormDefault="qualified">
    <xsd:import namespace="http://schemas.microsoft.com/office/2006/documentManagement/types"/>
    <xsd:import namespace="http://schemas.microsoft.com/office/infopath/2007/PartnerControls"/>
    <xsd:element name="Guidelines" ma:index="8" nillable="true" ma:displayName="Guidelines" ma:format="Dropdown" ma:internalName="Guideline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Guideline" ma:index="16" nillable="true" ma:displayName="Guideline" ma:format="Dropdown" ma:internalName="Guideline">
      <xsd:simpleType>
        <xsd:restriction base="dms:Text">
          <xsd:maxLength value="255"/>
        </xsd:restrictio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d343c8c2-2f9a-4837-b3bc-ee7c74516133"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97e81705-362c-4c5d-806c-62054e4c9885"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4fe339a0-19fd-4126-ac3b-54d623d65b0b}" ma:internalName="TaxCatchAll" ma:showField="CatchAllData" ma:web="97e81705-362c-4c5d-806c-62054e4c988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F42811-7270-4175-9A4B-5256749B4A7B}">
  <ds:schemaRefs>
    <ds:schemaRef ds:uri="http://schemas.microsoft.com/office/2006/metadata/properties"/>
    <ds:schemaRef ds:uri="http://schemas.microsoft.com/office/infopath/2007/PartnerControls"/>
    <ds:schemaRef ds:uri="3dd94029-fd10-4fdc-b858-4fe3881cbbe7"/>
    <ds:schemaRef ds:uri="97e81705-362c-4c5d-806c-62054e4c9885"/>
  </ds:schemaRefs>
</ds:datastoreItem>
</file>

<file path=customXml/itemProps2.xml><?xml version="1.0" encoding="utf-8"?>
<ds:datastoreItem xmlns:ds="http://schemas.openxmlformats.org/officeDocument/2006/customXml" ds:itemID="{00222B41-218E-4BE9-A588-C9EE93AAEA07}">
  <ds:schemaRefs>
    <ds:schemaRef ds:uri="http://schemas.microsoft.com/sharepoint/v3/contenttype/forms"/>
  </ds:schemaRefs>
</ds:datastoreItem>
</file>

<file path=customXml/itemProps3.xml><?xml version="1.0" encoding="utf-8"?>
<ds:datastoreItem xmlns:ds="http://schemas.openxmlformats.org/officeDocument/2006/customXml" ds:itemID="{ECE4FF21-E3E2-4EF1-88DD-3E85400B191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dd94029-fd10-4fdc-b858-4fe3881cbbe7"/>
    <ds:schemaRef ds:uri="97e81705-362c-4c5d-806c-62054e4c988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3F87F6D-1FBD-EF41-BA51-6F4B307E109B}">
  <ds:schemaRefs>
    <ds:schemaRef ds:uri="http://schemas.openxmlformats.org/officeDocument/2006/bibliography"/>
  </ds:schemaRefs>
</ds:datastoreItem>
</file>

<file path=docMetadata/LabelInfo.xml><?xml version="1.0" encoding="utf-8"?>
<clbl:labelList xmlns:clbl="http://schemas.microsoft.com/office/2020/mipLabelMetadata">
  <clbl:label id="{9a4ee628-99e7-44d5-ab86-5e002aa5e4b8}" enabled="1" method="Standard" siteId="{a3198c8c-0642-4649-849d-daacc3298f83}" contentBits="0" removed="0"/>
</clbl:labelList>
</file>

<file path=docProps/app.xml><?xml version="1.0" encoding="utf-8"?>
<Properties xmlns="http://schemas.openxmlformats.org/officeDocument/2006/extended-properties" xmlns:vt="http://schemas.openxmlformats.org/officeDocument/2006/docPropsVTypes">
  <Template>BR-Word-TOCMultipage-2025.dotx</Template>
  <TotalTime>1</TotalTime>
  <Pages>4</Pages>
  <Words>616</Words>
  <Characters>3517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Access Review User Guide</dc:title>
  <dc:subject>Client Application Access Attestation - BPO Operations</dc:subject>
  <dc:creator>Broadridge BPO</dc:creator>
  <cp:keywords>Access Review, User Guide, Attestation, BPO</cp:keywords>
  <dc:description>Converted into Broadridge template style.</dc:description>
  <cp:lastModifiedBy>Verma, Prakash</cp:lastModifiedBy>
  <cp:revision>1</cp:revision>
  <cp:lastPrinted>2020-04-01T20:12:00Z</cp:lastPrinted>
  <dcterms:created xsi:type="dcterms:W3CDTF">2026-06-09T17:38:00Z</dcterms:created>
  <dcterms:modified xsi:type="dcterms:W3CDTF">2026-06-09T17:39:00Z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0x010100BF7E5762EEA1F44FA9E1EA54FB47FD4B</vt:lpwstr>
  </property>
</Properties>
</file>