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Website Redesign Proposal</w:t>
      </w:r>
    </w:p>
    <w:p>
      <w:r>
        <w:t>Prepared for Acme Industries Limited</w:t>
      </w:r>
    </w:p>
    <w:p>
      <w:r>
        <w:t>Version 3 — 12 August 2026</w:t>
      </w:r>
    </w:p>
    <w:p>
      <w:pPr>
        <w:pStyle w:val="Heading1"/>
      </w:pPr>
      <w:r>
        <w:t>1. Introduction</w:t>
      </w:r>
    </w:p>
    <w:p>
      <w:r>
        <w:t>This proposal sets out the terms on which Northwind Digital Limited (the Supplier) will deliver a website redesign for Acme Industries Limited (the Client).</w:t>
      </w:r>
    </w:p>
    <w:p>
      <w:pPr>
        <w:pStyle w:val="Heading1"/>
      </w:pPr>
      <w:r>
        <w:t>2. Project Scope</w:t>
      </w:r>
    </w:p>
    <w:p>
      <w:r>
        <w:t>The Supplier shall deliver a full redesign of the Client's public website, including information architecture, visual design and front-end implementation.</w:t>
      </w:r>
    </w:p>
    <w:p>
      <w:r>
        <w:t>The Supplier shall provide on-site training for up to twelve Client staff.</w:t>
      </w:r>
    </w:p>
    <w:p>
      <w:r>
        <w:t>The Supplier shall provide security monitoring.</w:t>
      </w:r>
    </w:p>
    <w:p>
      <w:r>
        <w:t>The Supplier shall migrate all existing content from the current platform.</w:t>
      </w:r>
    </w:p>
    <w:p>
      <w:pPr>
        <w:pStyle w:val="Heading1"/>
      </w:pPr>
      <w:r>
        <w:t>3. Pricing</w:t>
      </w:r>
    </w:p>
    <w:p>
      <w:r>
        <w:t>The total project price is ₦5,000,000 exclusive of applicable taxes.</w:t>
      </w:r>
    </w:p>
    <w:p>
      <w:r>
        <w:t>The price includes design, development, testing and deployment.</w:t>
      </w:r>
    </w:p>
    <w:p>
      <w:r>
        <w:t>Rate card: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Price</w:t>
            </w:r>
          </w:p>
        </w:tc>
      </w:tr>
      <w:tr>
        <w:tc>
          <w:tcPr>
            <w:tcW w:type="dxa" w:w="4320"/>
          </w:tcPr>
          <w:p>
            <w:r>
              <w:t>Consulting</w:t>
            </w:r>
          </w:p>
        </w:tc>
        <w:tc>
          <w:tcPr>
            <w:tcW w:type="dxa" w:w="4320"/>
          </w:tcPr>
          <w:p>
            <w:r>
              <w:t>$10,000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$5,000</w:t>
            </w:r>
          </w:p>
        </w:tc>
      </w:tr>
      <w:tr>
        <w:tc>
          <w:tcPr>
            <w:tcW w:type="dxa" w:w="4320"/>
          </w:tcPr>
          <w:p>
            <w:r>
              <w:t>Deployment</w:t>
            </w:r>
          </w:p>
        </w:tc>
        <w:tc>
          <w:tcPr>
            <w:tcW w:type="dxa" w:w="4320"/>
          </w:tcPr>
          <w:p>
            <w:r>
              <w:t>$3,000</w:t>
            </w:r>
          </w:p>
        </w:tc>
      </w:tr>
    </w:tbl>
    <w:p>
      <w:pPr>
        <w:pStyle w:val="Heading1"/>
      </w:pPr>
      <w:r>
        <w:t>4. Delivery</w:t>
      </w:r>
    </w:p>
    <w:p>
      <w:r>
        <w:t>The Supplier shall complete the project within 45 days of the commencement date.</w:t>
      </w:r>
    </w:p>
    <w:p>
      <w:r>
        <w:t>The commencement date is 5 October 2026.</w:t>
      </w:r>
    </w:p>
    <w:p>
      <w:pPr>
        <w:pStyle w:val="Heading1"/>
      </w:pPr>
      <w:r>
        <w:t>5. Support</w:t>
      </w:r>
    </w:p>
    <w:p>
      <w:r>
        <w:t>The Supplier shall provide support and maintenance for 12 months following launch.</w:t>
      </w:r>
    </w:p>
    <w:p>
      <w:r>
        <w:t>Support requests shall be acknowledged within 8 hours.</w:t>
      </w:r>
    </w:p>
    <w:p>
      <w:pPr>
        <w:pStyle w:val="Heading1"/>
      </w:pPr>
      <w:r>
        <w:t>6. Payment Terms</w:t>
      </w:r>
    </w:p>
    <w:p>
      <w:r>
        <w:t>The Client shall pay 50% of the total price upfront on signature of this proposal.</w:t>
      </w:r>
    </w:p>
    <w:p>
      <w:r>
        <w:t>The Client shall pay invoices within 30 days of receipt.</w:t>
      </w:r>
    </w:p>
    <w:p>
      <w:r>
        <w:t>Late payment shall attract interest at 2% per month.</w:t>
      </w:r>
    </w:p>
    <w:p>
      <w:r>
        <w:br w:type="page"/>
      </w:r>
    </w:p>
    <w:p>
      <w:pPr>
        <w:pStyle w:val="Heading1"/>
      </w:pPr>
      <w:r>
        <w:t>7. Responsibilities</w:t>
      </w:r>
    </w:p>
    <w:p>
      <w:r>
        <w:t>The Client shall nominate a single point of contact for the duration of the project.</w:t>
      </w:r>
    </w:p>
    <w:p>
      <w:r>
        <w:t>The Client shall provide brand assets within five days of the commencement date.</w:t>
      </w:r>
    </w:p>
    <w:p>
      <w:pPr>
        <w:pStyle w:val="Heading1"/>
      </w:pPr>
      <w:r>
        <w:t>8. Confidentiality</w:t>
      </w:r>
    </w:p>
    <w:p>
      <w:r>
        <w:t>Each party shall keep the other party's confidential information confidential for three years following termination of this agreement.</w:t>
      </w:r>
    </w:p>
    <w:p>
      <w:pPr>
        <w:pStyle w:val="Heading1"/>
      </w:pPr>
      <w:r>
        <w:t>9. Exclusivity</w:t>
      </w:r>
    </w:p>
    <w:p>
      <w:r>
        <w:t>The Supplier shall not provide website redesign services to any direct competitor of the Client for twelve months following launch.</w:t>
      </w:r>
    </w:p>
    <w:p>
      <w:pPr>
        <w:pStyle w:val="Heading1"/>
      </w:pPr>
      <w:r>
        <w:t>10. Termination</w:t>
      </w:r>
    </w:p>
    <w:p>
      <w:r>
        <w:t>Either party may terminate this agreement by giving 14 days written notice.</w:t>
      </w:r>
    </w:p>
    <w:p>
      <w:r>
        <w:t>The Client shall pay for all work completed up to the termination date.</w:t>
      </w:r>
    </w:p>
    <w:p>
      <w:pPr>
        <w:pStyle w:val="Heading1"/>
      </w:pPr>
      <w:r>
        <w:t>11. Governing Law</w:t>
      </w:r>
    </w:p>
    <w:p>
      <w:r>
        <w:t>This agreement is governed by the laws of the Federal Republic of Nigeria.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