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9C0E22">
      <w:pPr>
        <w:spacing w:before="156" w:beforeLines="50" w:after="156" w:afterLines="50" w:line="360" w:lineRule="auto"/>
        <w:jc w:val="center"/>
        <w:rPr>
          <w:rFonts w:hint="eastAsia" w:ascii="Times New Roman" w:hAnsi="Times New Roman" w:eastAsia="黑体" w:cs="Times New Roman"/>
          <w:sz w:val="36"/>
          <w:szCs w:val="36"/>
        </w:rPr>
      </w:pPr>
      <w:r>
        <w:rPr>
          <w:rFonts w:ascii="Times New Roman" w:hAnsi="Times New Roman" w:eastAsia="黑体" w:cs="Times New Roman"/>
          <w:sz w:val="36"/>
          <w:szCs w:val="36"/>
        </w:rPr>
        <w:t>IPCC水淹地（Flooded Land）温室气体排放核算方法</w:t>
      </w:r>
    </w:p>
    <w:p w14:paraId="431C3B07">
      <w:pPr>
        <w:spacing w:before="312" w:beforeLines="100" w:line="360" w:lineRule="auto"/>
        <w:rPr>
          <w:rFonts w:ascii="Times New Roman" w:hAnsi="Times New Roman" w:eastAsia="黑体" w:cs="Times New Roman"/>
          <w:sz w:val="28"/>
          <w:szCs w:val="28"/>
        </w:rPr>
      </w:pPr>
      <w:r>
        <w:rPr>
          <w:rFonts w:ascii="Times New Roman" w:hAnsi="Times New Roman" w:eastAsia="黑体" w:cs="Times New Roman"/>
          <w:sz w:val="28"/>
          <w:szCs w:val="28"/>
        </w:rPr>
        <w:t>1. 什么是水淹地（Flooded Land）</w:t>
      </w:r>
    </w:p>
    <w:p w14:paraId="36DB6A10">
      <w:pPr>
        <w:spacing w:line="360" w:lineRule="auto"/>
        <w:rPr>
          <w:rFonts w:ascii="Times New Roman" w:hAnsi="Times New Roman" w:eastAsia="黑体" w:cs="Times New Roman"/>
          <w:b/>
          <w:bCs/>
          <w:sz w:val="24"/>
          <w:szCs w:val="24"/>
        </w:rPr>
      </w:pPr>
      <w:r>
        <w:rPr>
          <w:rFonts w:ascii="Times New Roman" w:hAnsi="Times New Roman" w:eastAsia="黑体" w:cs="Times New Roman"/>
          <w:b/>
          <w:bCs/>
          <w:sz w:val="24"/>
          <w:szCs w:val="24"/>
        </w:rPr>
        <w:t>（1）定义</w:t>
      </w:r>
    </w:p>
    <w:p w14:paraId="3713D188">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水淹地是指人为创造或被人为工程显著改造的、显著改变了水文条件且具有持续淹没特征的水生态系统，亦被称之为是“人造水体”或“管理水体”</w:t>
      </w:r>
    </w:p>
    <w:p w14:paraId="36C540AF">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关于“人为创造或人为工程显著改造”的划分标准：较自然状态或未收人类干扰的条件下，水面面积相对增加10%或水力停留时间增加10%。</w:t>
      </w:r>
    </w:p>
    <w:p w14:paraId="0AF63053">
      <w:pPr>
        <w:spacing w:line="360" w:lineRule="auto"/>
        <w:rPr>
          <w:rFonts w:hint="eastAsia" w:ascii="Times New Roman" w:hAnsi="Times New Roman" w:eastAsia="黑体" w:cs="Times New Roman"/>
          <w:b/>
          <w:bCs/>
          <w:sz w:val="24"/>
          <w:szCs w:val="24"/>
        </w:rPr>
      </w:pPr>
      <w:r>
        <w:rPr>
          <w:rFonts w:ascii="Times New Roman" w:hAnsi="Times New Roman" w:eastAsia="黑体" w:cs="Times New Roman"/>
          <w:b/>
          <w:bCs/>
          <w:sz w:val="24"/>
          <w:szCs w:val="24"/>
        </w:rPr>
        <w:t>（2）核心特征：人工干预或人为管理</w:t>
      </w:r>
    </w:p>
    <w:p w14:paraId="21249FBC">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IPCC定义水淹地的核心在于 “人为活动”</w:t>
      </w:r>
      <w:r>
        <w:rPr>
          <w:rFonts w:hint="eastAsia" w:ascii="Times New Roman" w:hAnsi="Times New Roman" w:eastAsia="宋体" w:cs="Times New Roman"/>
          <w:sz w:val="24"/>
          <w:szCs w:val="24"/>
        </w:rPr>
        <w:t>，</w:t>
      </w:r>
      <w:r>
        <w:rPr>
          <w:rFonts w:ascii="Times New Roman" w:hAnsi="Times New Roman" w:eastAsia="宋体" w:cs="Times New Roman"/>
          <w:sz w:val="24"/>
          <w:szCs w:val="24"/>
        </w:rPr>
        <w:t>包括</w:t>
      </w:r>
      <w:r>
        <w:rPr>
          <w:rFonts w:hint="eastAsia" w:ascii="Times New Roman" w:hAnsi="Times New Roman" w:eastAsia="宋体" w:cs="Times New Roman"/>
          <w:sz w:val="24"/>
          <w:szCs w:val="24"/>
        </w:rPr>
        <w:t>几种</w:t>
      </w:r>
      <w:r>
        <w:rPr>
          <w:rFonts w:ascii="Times New Roman" w:hAnsi="Times New Roman" w:eastAsia="宋体" w:cs="Times New Roman"/>
          <w:sz w:val="24"/>
          <w:szCs w:val="24"/>
        </w:rPr>
        <w:t>主要情形：</w:t>
      </w:r>
    </w:p>
    <w:p w14:paraId="3E4C290B">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A. </w:t>
      </w:r>
      <w:r>
        <w:rPr>
          <w:rFonts w:ascii="Times New Roman" w:hAnsi="Times New Roman" w:eastAsia="宋体" w:cs="Times New Roman"/>
          <w:sz w:val="24"/>
          <w:szCs w:val="24"/>
        </w:rPr>
        <w:t>新建水体：通过人类活动完全新造出来的水体。</w:t>
      </w:r>
    </w:p>
    <w:p w14:paraId="0ACF70FA">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典型案例：修建大坝形成水库；挖掘形成的农业灌溉塘、水产养殖塘；开挖的运河和排水沟渠。</w:t>
      </w:r>
    </w:p>
    <w:p w14:paraId="532DE276">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B. </w:t>
      </w:r>
      <w:r>
        <w:rPr>
          <w:rFonts w:ascii="Times New Roman" w:hAnsi="Times New Roman" w:eastAsia="宋体" w:cs="Times New Roman"/>
          <w:sz w:val="24"/>
          <w:szCs w:val="24"/>
        </w:rPr>
        <w:t>改造自然水体：对已有的自然水体（如湖泊、河流）进行人为改造，显著改变其水文特征。</w:t>
      </w:r>
    </w:p>
    <w:p w14:paraId="2255B930">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典型案例：在自然湖泊出口修建水闸大坝，显著扩大其面积或延长其水体停留时间（变化超过10%）。如果一个天然湖泊只是被用作水源，但其面积和水量没有被人为工程显著改变，则不属于水淹地。</w:t>
      </w:r>
    </w:p>
    <w:p w14:paraId="4DAE24A1">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 xml:space="preserve">C. </w:t>
      </w:r>
      <w:r>
        <w:rPr>
          <w:rFonts w:ascii="Times New Roman" w:hAnsi="Times New Roman" w:eastAsia="宋体" w:cs="Times New Roman"/>
          <w:sz w:val="24"/>
          <w:szCs w:val="24"/>
        </w:rPr>
        <w:t>水文条件：持续性淹没</w:t>
      </w:r>
    </w:p>
    <w:p w14:paraId="402C4092">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“水淹地”</w:t>
      </w:r>
      <w:r>
        <w:rPr>
          <w:rFonts w:ascii="Times New Roman" w:hAnsi="Times New Roman" w:eastAsia="宋体" w:cs="Times New Roman"/>
          <w:sz w:val="24"/>
          <w:szCs w:val="24"/>
        </w:rPr>
        <w:t>通常</w:t>
      </w:r>
      <w:r>
        <w:rPr>
          <w:rFonts w:hint="eastAsia" w:ascii="Times New Roman" w:hAnsi="Times New Roman" w:eastAsia="宋体" w:cs="Times New Roman"/>
          <w:sz w:val="24"/>
          <w:szCs w:val="24"/>
        </w:rPr>
        <w:t>指</w:t>
      </w:r>
      <w:r>
        <w:rPr>
          <w:rFonts w:ascii="Times New Roman" w:hAnsi="Times New Roman" w:eastAsia="宋体" w:cs="Times New Roman"/>
          <w:sz w:val="24"/>
          <w:szCs w:val="24"/>
        </w:rPr>
        <w:t>长期或永久性</w:t>
      </w:r>
      <w:r>
        <w:rPr>
          <w:rFonts w:hint="eastAsia" w:ascii="Times New Roman" w:hAnsi="Times New Roman" w:eastAsia="宋体" w:cs="Times New Roman"/>
          <w:sz w:val="24"/>
          <w:szCs w:val="24"/>
        </w:rPr>
        <w:t>被</w:t>
      </w:r>
      <w:r>
        <w:rPr>
          <w:rFonts w:ascii="Times New Roman" w:hAnsi="Times New Roman" w:eastAsia="宋体" w:cs="Times New Roman"/>
          <w:sz w:val="24"/>
          <w:szCs w:val="24"/>
        </w:rPr>
        <w:t>淹没的区域。</w:t>
      </w:r>
      <w:r>
        <w:rPr>
          <w:rFonts w:hint="eastAsia" w:ascii="Times New Roman" w:hAnsi="Times New Roman" w:eastAsia="宋体" w:cs="Times New Roman"/>
          <w:sz w:val="24"/>
          <w:szCs w:val="24"/>
        </w:rPr>
        <w:t>对于水库消落带而言，一般认为，它在全年都会保持一定的淹没面积且受到强烈的人为干扰。这</w:t>
      </w:r>
      <w:r>
        <w:rPr>
          <w:rFonts w:ascii="Times New Roman" w:hAnsi="Times New Roman" w:eastAsia="宋体" w:cs="Times New Roman"/>
          <w:sz w:val="24"/>
          <w:szCs w:val="24"/>
        </w:rPr>
        <w:t>与雨季淹没、旱季干涸的</w:t>
      </w:r>
      <w:r>
        <w:rPr>
          <w:rFonts w:hint="eastAsia" w:ascii="Times New Roman" w:hAnsi="Times New Roman" w:eastAsia="宋体" w:cs="Times New Roman"/>
          <w:sz w:val="24"/>
          <w:szCs w:val="24"/>
        </w:rPr>
        <w:t>河流</w:t>
      </w:r>
      <w:r>
        <w:rPr>
          <w:rFonts w:ascii="Times New Roman" w:hAnsi="Times New Roman" w:eastAsia="宋体" w:cs="Times New Roman"/>
          <w:sz w:val="24"/>
          <w:szCs w:val="24"/>
        </w:rPr>
        <w:t>洪泛平原湿地</w:t>
      </w:r>
      <w:r>
        <w:rPr>
          <w:rFonts w:hint="eastAsia" w:ascii="Times New Roman" w:hAnsi="Times New Roman" w:eastAsia="宋体" w:cs="Times New Roman"/>
          <w:sz w:val="24"/>
          <w:szCs w:val="24"/>
        </w:rPr>
        <w:t>、河岸带等并不相同。水库消落带也应纳入“水淹地”范畴。</w:t>
      </w:r>
    </w:p>
    <w:p w14:paraId="0FB9FCF1">
      <w:pPr>
        <w:spacing w:line="360" w:lineRule="auto"/>
        <w:rPr>
          <w:rFonts w:ascii="Times New Roman" w:hAnsi="Times New Roman" w:eastAsia="黑体" w:cs="Times New Roman"/>
          <w:b/>
          <w:bCs/>
          <w:sz w:val="24"/>
          <w:szCs w:val="24"/>
        </w:rPr>
      </w:pPr>
      <w:r>
        <w:rPr>
          <w:rFonts w:ascii="Times New Roman" w:hAnsi="Times New Roman" w:eastAsia="黑体" w:cs="Times New Roman"/>
          <w:b/>
          <w:bCs/>
          <w:sz w:val="24"/>
          <w:szCs w:val="24"/>
        </w:rPr>
        <w:t>（3）什么情况不</w:t>
      </w:r>
      <w:r>
        <w:rPr>
          <w:rFonts w:ascii="黑体" w:hAnsi="黑体" w:eastAsia="黑体" w:cs="Times New Roman"/>
          <w:b/>
          <w:bCs/>
          <w:sz w:val="24"/>
          <w:szCs w:val="24"/>
        </w:rPr>
        <w:t>算是“水淹地”？</w:t>
      </w:r>
    </w:p>
    <w:p w14:paraId="4EF5F137">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受自然径流影响的季节性洪水淹没</w:t>
      </w:r>
      <w:r>
        <w:rPr>
          <w:rFonts w:hint="eastAsia" w:ascii="Times New Roman" w:hAnsi="Times New Roman" w:eastAsia="宋体" w:cs="Times New Roman"/>
          <w:sz w:val="24"/>
          <w:szCs w:val="24"/>
        </w:rPr>
        <w:t>情形</w:t>
      </w:r>
      <w:r>
        <w:rPr>
          <w:rFonts w:ascii="Times New Roman" w:hAnsi="Times New Roman" w:eastAsia="宋体" w:cs="Times New Roman"/>
          <w:sz w:val="24"/>
          <w:szCs w:val="24"/>
        </w:rPr>
        <w:t>：IPCC指南特别指出，纯粹自然、季节性被淹没的湿地</w:t>
      </w:r>
      <w:r>
        <w:rPr>
          <w:rFonts w:hint="eastAsia" w:ascii="Times New Roman" w:hAnsi="Times New Roman" w:eastAsia="宋体" w:cs="Times New Roman"/>
          <w:sz w:val="24"/>
          <w:szCs w:val="24"/>
        </w:rPr>
        <w:t>，如季节性淹没河岸带、河流下游的</w:t>
      </w:r>
      <w:r>
        <w:rPr>
          <w:rFonts w:ascii="Times New Roman" w:hAnsi="Times New Roman" w:eastAsia="宋体" w:cs="Times New Roman"/>
          <w:sz w:val="24"/>
          <w:szCs w:val="24"/>
        </w:rPr>
        <w:t>洪泛区</w:t>
      </w:r>
      <w:r>
        <w:rPr>
          <w:rFonts w:hint="eastAsia" w:ascii="Times New Roman" w:hAnsi="Times New Roman" w:eastAsia="宋体" w:cs="Times New Roman"/>
          <w:sz w:val="24"/>
          <w:szCs w:val="24"/>
        </w:rPr>
        <w:t>等</w:t>
      </w:r>
      <w:r>
        <w:rPr>
          <w:rFonts w:ascii="Times New Roman" w:hAnsi="Times New Roman" w:eastAsia="宋体" w:cs="Times New Roman"/>
          <w:sz w:val="24"/>
          <w:szCs w:val="24"/>
        </w:rPr>
        <w:t>不属于本章定义</w:t>
      </w:r>
      <w:r>
        <w:rPr>
          <w:rFonts w:ascii="宋体" w:hAnsi="宋体" w:eastAsia="宋体" w:cs="Times New Roman"/>
          <w:sz w:val="24"/>
          <w:szCs w:val="24"/>
        </w:rPr>
        <w:t>的“水淹地”</w:t>
      </w:r>
      <w:r>
        <w:rPr>
          <w:rFonts w:ascii="Times New Roman" w:hAnsi="Times New Roman" w:eastAsia="宋体" w:cs="Times New Roman"/>
          <w:sz w:val="24"/>
          <w:szCs w:val="24"/>
        </w:rPr>
        <w:t>。</w:t>
      </w:r>
    </w:p>
    <w:p w14:paraId="45D3F6F8">
      <w:pPr>
        <w:spacing w:line="360" w:lineRule="auto"/>
        <w:ind w:firstLine="480" w:firstLineChars="200"/>
        <w:rPr>
          <w:rFonts w:hint="eastAsia" w:ascii="Times New Roman" w:hAnsi="Times New Roman" w:eastAsia="宋体" w:cs="Times New Roman"/>
          <w:sz w:val="24"/>
          <w:szCs w:val="24"/>
        </w:rPr>
      </w:pPr>
      <w:r>
        <w:rPr>
          <w:rFonts w:ascii="Times New Roman" w:hAnsi="Times New Roman" w:eastAsia="宋体" w:cs="Times New Roman"/>
          <w:sz w:val="24"/>
          <w:szCs w:val="24"/>
        </w:rPr>
        <w:t>受降雨影响的短暂积水：</w:t>
      </w:r>
      <w:r>
        <w:rPr>
          <w:rFonts w:ascii="宋体" w:hAnsi="宋体" w:eastAsia="宋体" w:cs="Times New Roman"/>
          <w:sz w:val="24"/>
          <w:szCs w:val="24"/>
        </w:rPr>
        <w:t>“水淹地”</w:t>
      </w:r>
      <w:r>
        <w:rPr>
          <w:rFonts w:hint="eastAsia" w:ascii="宋体" w:hAnsi="宋体" w:eastAsia="宋体" w:cs="Times New Roman"/>
          <w:sz w:val="24"/>
          <w:szCs w:val="24"/>
        </w:rPr>
        <w:t>被认为是</w:t>
      </w:r>
      <w:r>
        <w:rPr>
          <w:rFonts w:ascii="宋体" w:hAnsi="宋体" w:eastAsia="宋体" w:cs="Times New Roman"/>
          <w:sz w:val="24"/>
          <w:szCs w:val="24"/>
        </w:rPr>
        <w:t>在正常情况下全年</w:t>
      </w:r>
      <w:r>
        <w:rPr>
          <w:rFonts w:ascii="Times New Roman" w:hAnsi="Times New Roman" w:eastAsia="宋体" w:cs="Times New Roman"/>
          <w:sz w:val="24"/>
          <w:szCs w:val="24"/>
        </w:rPr>
        <w:t>都能保留部分淹没区域</w:t>
      </w:r>
      <w:r>
        <w:rPr>
          <w:rFonts w:hint="eastAsia" w:ascii="Times New Roman" w:hAnsi="Times New Roman" w:eastAsia="宋体" w:cs="Times New Roman"/>
          <w:sz w:val="24"/>
          <w:szCs w:val="24"/>
        </w:rPr>
        <w:t>或具有持续的淹没特征</w:t>
      </w:r>
      <w:r>
        <w:rPr>
          <w:rFonts w:ascii="Times New Roman" w:hAnsi="Times New Roman" w:eastAsia="宋体" w:cs="Times New Roman"/>
          <w:sz w:val="24"/>
          <w:szCs w:val="24"/>
        </w:rPr>
        <w:t>。</w:t>
      </w:r>
      <w:r>
        <w:rPr>
          <w:rFonts w:hint="eastAsia" w:ascii="Times New Roman" w:hAnsi="Times New Roman" w:eastAsia="宋体" w:cs="Times New Roman"/>
          <w:sz w:val="24"/>
          <w:szCs w:val="24"/>
        </w:rPr>
        <w:t>因此，</w:t>
      </w:r>
      <w:r>
        <w:rPr>
          <w:rFonts w:ascii="Times New Roman" w:hAnsi="Times New Roman" w:eastAsia="宋体" w:cs="Times New Roman"/>
          <w:sz w:val="24"/>
          <w:szCs w:val="24"/>
        </w:rPr>
        <w:t>雨后短暂积水的田地</w:t>
      </w:r>
      <w:r>
        <w:rPr>
          <w:rFonts w:hint="eastAsia" w:ascii="Times New Roman" w:hAnsi="Times New Roman" w:eastAsia="宋体" w:cs="Times New Roman"/>
          <w:sz w:val="24"/>
          <w:szCs w:val="24"/>
        </w:rPr>
        <w:t>、湿地等不考虑为“水淹地”。</w:t>
      </w:r>
    </w:p>
    <w:p w14:paraId="4CEE201C">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表1 水淹地（Flooded Land）的典型示例</w:t>
      </w:r>
    </w:p>
    <w:tbl>
      <w:tblPr>
        <w:tblStyle w:val="15"/>
        <w:tblW w:w="0" w:type="auto"/>
        <w:jc w:val="center"/>
        <w:tblLayout w:type="autofit"/>
        <w:tblCellMar>
          <w:top w:w="0" w:type="dxa"/>
          <w:left w:w="0" w:type="dxa"/>
          <w:bottom w:w="0" w:type="dxa"/>
          <w:right w:w="0" w:type="dxa"/>
        </w:tblCellMar>
      </w:tblPr>
      <w:tblGrid>
        <w:gridCol w:w="1835"/>
        <w:gridCol w:w="1985"/>
        <w:gridCol w:w="1842"/>
        <w:gridCol w:w="2628"/>
      </w:tblGrid>
      <w:tr w14:paraId="61457839">
        <w:tblPrEx>
          <w:tblCellMar>
            <w:top w:w="0" w:type="dxa"/>
            <w:left w:w="0" w:type="dxa"/>
            <w:bottom w:w="0" w:type="dxa"/>
            <w:right w:w="0" w:type="dxa"/>
          </w:tblCellMar>
        </w:tblPrEx>
        <w:trPr>
          <w:trHeight w:val="20" w:hRule="atLeast"/>
          <w:jc w:val="center"/>
        </w:trPr>
        <w:tc>
          <w:tcPr>
            <w:tcW w:w="1835"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42734A78">
            <w:pPr>
              <w:contextualSpacing/>
              <w:rPr>
                <w:rFonts w:ascii="Times New Roman" w:hAnsi="Times New Roman" w:eastAsia="宋体" w:cs="Times New Roman"/>
                <w:sz w:val="24"/>
                <w:szCs w:val="24"/>
              </w:rPr>
            </w:pPr>
            <w:r>
              <w:rPr>
                <w:rFonts w:ascii="Times New Roman" w:hAnsi="Times New Roman" w:eastAsia="宋体" w:cs="Times New Roman"/>
                <w:sz w:val="24"/>
                <w:szCs w:val="24"/>
              </w:rPr>
              <w:t>类别</w:t>
            </w:r>
          </w:p>
        </w:tc>
        <w:tc>
          <w:tcPr>
            <w:tcW w:w="1985"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5BFCB2A3">
            <w:pPr>
              <w:contextualSpacing/>
              <w:rPr>
                <w:rFonts w:ascii="Times New Roman" w:hAnsi="Times New Roman" w:eastAsia="宋体" w:cs="Times New Roman"/>
                <w:sz w:val="24"/>
                <w:szCs w:val="24"/>
              </w:rPr>
            </w:pPr>
            <w:r>
              <w:rPr>
                <w:rFonts w:ascii="Times New Roman" w:hAnsi="Times New Roman" w:eastAsia="宋体" w:cs="Times New Roman"/>
                <w:sz w:val="24"/>
                <w:szCs w:val="24"/>
              </w:rPr>
              <w:t>示例</w:t>
            </w:r>
          </w:p>
        </w:tc>
        <w:tc>
          <w:tcPr>
            <w:tcW w:w="1842"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085E0E48">
            <w:pPr>
              <w:contextualSpacing/>
              <w:rPr>
                <w:rFonts w:ascii="Times New Roman" w:hAnsi="Times New Roman" w:eastAsia="宋体" w:cs="Times New Roman"/>
                <w:sz w:val="24"/>
                <w:szCs w:val="24"/>
              </w:rPr>
            </w:pPr>
            <w:r>
              <w:rPr>
                <w:rFonts w:ascii="Times New Roman" w:hAnsi="Times New Roman" w:eastAsia="宋体" w:cs="Times New Roman"/>
                <w:sz w:val="24"/>
                <w:szCs w:val="24"/>
              </w:rPr>
              <w:t>是否</w:t>
            </w:r>
            <w:r>
              <w:rPr>
                <w:rFonts w:hint="eastAsia" w:ascii="Times New Roman" w:hAnsi="Times New Roman" w:eastAsia="宋体" w:cs="Times New Roman"/>
                <w:sz w:val="24"/>
                <w:szCs w:val="24"/>
              </w:rPr>
              <w:t>属于</w:t>
            </w:r>
            <w:r>
              <w:rPr>
                <w:rFonts w:ascii="Times New Roman" w:hAnsi="Times New Roman" w:eastAsia="宋体" w:cs="Times New Roman"/>
                <w:sz w:val="24"/>
                <w:szCs w:val="24"/>
              </w:rPr>
              <w:t>“水淹地”？</w:t>
            </w:r>
          </w:p>
        </w:tc>
        <w:tc>
          <w:tcPr>
            <w:tcW w:w="2628"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1B568553">
            <w:pPr>
              <w:contextualSpacing/>
              <w:rPr>
                <w:rFonts w:ascii="Times New Roman" w:hAnsi="Times New Roman" w:eastAsia="宋体" w:cs="Times New Roman"/>
                <w:sz w:val="24"/>
                <w:szCs w:val="24"/>
              </w:rPr>
            </w:pPr>
            <w:r>
              <w:rPr>
                <w:rFonts w:ascii="Times New Roman" w:hAnsi="Times New Roman" w:eastAsia="宋体" w:cs="Times New Roman"/>
                <w:sz w:val="24"/>
                <w:szCs w:val="24"/>
              </w:rPr>
              <w:t>原因/归属</w:t>
            </w:r>
          </w:p>
        </w:tc>
      </w:tr>
      <w:tr w14:paraId="25E9B591">
        <w:tblPrEx>
          <w:tblCellMar>
            <w:top w:w="0" w:type="dxa"/>
            <w:left w:w="0" w:type="dxa"/>
            <w:bottom w:w="0" w:type="dxa"/>
            <w:right w:w="0" w:type="dxa"/>
          </w:tblCellMar>
        </w:tblPrEx>
        <w:trPr>
          <w:trHeight w:val="20" w:hRule="atLeast"/>
          <w:jc w:val="center"/>
        </w:trPr>
        <w:tc>
          <w:tcPr>
            <w:tcW w:w="1835"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41220FF4">
            <w:pPr>
              <w:contextualSpacing/>
              <w:rPr>
                <w:rFonts w:ascii="Times New Roman" w:hAnsi="Times New Roman" w:eastAsia="宋体" w:cs="Times New Roman"/>
                <w:sz w:val="24"/>
                <w:szCs w:val="24"/>
              </w:rPr>
            </w:pPr>
            <w:r>
              <w:rPr>
                <w:rFonts w:ascii="Times New Roman" w:hAnsi="Times New Roman" w:eastAsia="宋体" w:cs="Times New Roman"/>
                <w:sz w:val="24"/>
                <w:szCs w:val="24"/>
              </w:rPr>
              <w:t>水库</w:t>
            </w:r>
          </w:p>
        </w:tc>
        <w:tc>
          <w:tcPr>
            <w:tcW w:w="1985"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52CAD709">
            <w:pPr>
              <w:contextualSpacing/>
              <w:rPr>
                <w:rFonts w:ascii="Times New Roman" w:hAnsi="Times New Roman" w:eastAsia="宋体" w:cs="Times New Roman"/>
                <w:sz w:val="24"/>
                <w:szCs w:val="24"/>
              </w:rPr>
            </w:pPr>
            <w:r>
              <w:rPr>
                <w:rFonts w:ascii="Times New Roman" w:hAnsi="Times New Roman" w:eastAsia="宋体" w:cs="Times New Roman"/>
                <w:sz w:val="24"/>
                <w:szCs w:val="24"/>
              </w:rPr>
              <w:t>水电站水库、供水水库</w:t>
            </w:r>
          </w:p>
        </w:tc>
        <w:tc>
          <w:tcPr>
            <w:tcW w:w="1842"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4AA8547A">
            <w:pPr>
              <w:contextualSpacing/>
              <w:rPr>
                <w:rFonts w:ascii="Times New Roman" w:hAnsi="Times New Roman" w:eastAsia="宋体" w:cs="Times New Roman"/>
                <w:sz w:val="24"/>
                <w:szCs w:val="24"/>
              </w:rPr>
            </w:pPr>
            <w:r>
              <w:rPr>
                <w:rFonts w:ascii="Times New Roman" w:hAnsi="Times New Roman" w:eastAsia="宋体" w:cs="Times New Roman"/>
                <w:sz w:val="24"/>
                <w:szCs w:val="24"/>
              </w:rPr>
              <w:t>是</w:t>
            </w:r>
          </w:p>
        </w:tc>
        <w:tc>
          <w:tcPr>
            <w:tcW w:w="2628"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36BDAEDA">
            <w:pPr>
              <w:contextualSpacing/>
              <w:rPr>
                <w:rFonts w:ascii="Times New Roman" w:hAnsi="Times New Roman" w:eastAsia="宋体" w:cs="Times New Roman"/>
                <w:sz w:val="24"/>
                <w:szCs w:val="24"/>
              </w:rPr>
            </w:pPr>
            <w:r>
              <w:rPr>
                <w:rFonts w:ascii="Times New Roman" w:hAnsi="Times New Roman" w:eastAsia="宋体" w:cs="Times New Roman"/>
                <w:sz w:val="24"/>
                <w:szCs w:val="24"/>
              </w:rPr>
              <w:t>典型的人为新建水体</w:t>
            </w:r>
          </w:p>
        </w:tc>
      </w:tr>
      <w:tr w14:paraId="60108409">
        <w:tblPrEx>
          <w:tblCellMar>
            <w:top w:w="0" w:type="dxa"/>
            <w:left w:w="0" w:type="dxa"/>
            <w:bottom w:w="0" w:type="dxa"/>
            <w:right w:w="0" w:type="dxa"/>
          </w:tblCellMar>
        </w:tblPrEx>
        <w:trPr>
          <w:trHeight w:val="20" w:hRule="atLeast"/>
          <w:jc w:val="center"/>
        </w:trPr>
        <w:tc>
          <w:tcPr>
            <w:tcW w:w="1835"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11E74363">
            <w:pPr>
              <w:contextualSpacing/>
              <w:rPr>
                <w:rFonts w:ascii="Times New Roman" w:hAnsi="Times New Roman" w:eastAsia="宋体" w:cs="Times New Roman"/>
                <w:sz w:val="24"/>
                <w:szCs w:val="24"/>
              </w:rPr>
            </w:pPr>
            <w:r>
              <w:rPr>
                <w:rFonts w:ascii="Times New Roman" w:hAnsi="Times New Roman" w:eastAsia="宋体" w:cs="Times New Roman"/>
                <w:sz w:val="24"/>
                <w:szCs w:val="24"/>
              </w:rPr>
              <w:t>池塘</w:t>
            </w:r>
          </w:p>
        </w:tc>
        <w:tc>
          <w:tcPr>
            <w:tcW w:w="1985"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7010D9EB">
            <w:pPr>
              <w:contextualSpacing/>
              <w:rPr>
                <w:rFonts w:ascii="Times New Roman" w:hAnsi="Times New Roman" w:eastAsia="宋体" w:cs="Times New Roman"/>
                <w:sz w:val="24"/>
                <w:szCs w:val="24"/>
              </w:rPr>
            </w:pPr>
            <w:r>
              <w:rPr>
                <w:rFonts w:ascii="Times New Roman" w:hAnsi="Times New Roman" w:eastAsia="宋体" w:cs="Times New Roman"/>
                <w:sz w:val="24"/>
                <w:szCs w:val="24"/>
              </w:rPr>
              <w:t>农业储水塘、水产养殖塘</w:t>
            </w:r>
          </w:p>
        </w:tc>
        <w:tc>
          <w:tcPr>
            <w:tcW w:w="1842"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51850BF9">
            <w:pPr>
              <w:contextualSpacing/>
              <w:rPr>
                <w:rFonts w:ascii="Times New Roman" w:hAnsi="Times New Roman" w:eastAsia="宋体" w:cs="Times New Roman"/>
                <w:sz w:val="24"/>
                <w:szCs w:val="24"/>
              </w:rPr>
            </w:pPr>
            <w:r>
              <w:rPr>
                <w:rFonts w:ascii="Times New Roman" w:hAnsi="Times New Roman" w:eastAsia="宋体" w:cs="Times New Roman"/>
                <w:sz w:val="24"/>
                <w:szCs w:val="24"/>
              </w:rPr>
              <w:t>是</w:t>
            </w:r>
          </w:p>
        </w:tc>
        <w:tc>
          <w:tcPr>
            <w:tcW w:w="2628"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7829362E">
            <w:pPr>
              <w:contextualSpacing/>
              <w:rPr>
                <w:rFonts w:ascii="Times New Roman" w:hAnsi="Times New Roman" w:eastAsia="宋体" w:cs="Times New Roman"/>
                <w:sz w:val="24"/>
                <w:szCs w:val="24"/>
              </w:rPr>
            </w:pPr>
            <w:r>
              <w:rPr>
                <w:rFonts w:ascii="Times New Roman" w:hAnsi="Times New Roman" w:eastAsia="宋体" w:cs="Times New Roman"/>
                <w:sz w:val="24"/>
                <w:szCs w:val="24"/>
              </w:rPr>
              <w:t>典型的人为新建水体</w:t>
            </w:r>
          </w:p>
        </w:tc>
      </w:tr>
      <w:tr w14:paraId="79A16DC0">
        <w:tblPrEx>
          <w:tblCellMar>
            <w:top w:w="0" w:type="dxa"/>
            <w:left w:w="0" w:type="dxa"/>
            <w:bottom w:w="0" w:type="dxa"/>
            <w:right w:w="0" w:type="dxa"/>
          </w:tblCellMar>
        </w:tblPrEx>
        <w:trPr>
          <w:trHeight w:val="20" w:hRule="atLeast"/>
          <w:jc w:val="center"/>
        </w:trPr>
        <w:tc>
          <w:tcPr>
            <w:tcW w:w="1835"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74A63AE3">
            <w:pPr>
              <w:contextualSpacing/>
              <w:rPr>
                <w:rFonts w:ascii="Times New Roman" w:hAnsi="Times New Roman" w:eastAsia="宋体" w:cs="Times New Roman"/>
                <w:sz w:val="24"/>
                <w:szCs w:val="24"/>
              </w:rPr>
            </w:pPr>
            <w:r>
              <w:rPr>
                <w:rFonts w:ascii="Times New Roman" w:hAnsi="Times New Roman" w:eastAsia="宋体" w:cs="Times New Roman"/>
                <w:sz w:val="24"/>
                <w:szCs w:val="24"/>
              </w:rPr>
              <w:t>沟渠</w:t>
            </w:r>
            <w:r>
              <w:rPr>
                <w:rFonts w:hint="eastAsia" w:ascii="Times New Roman" w:hAnsi="Times New Roman" w:eastAsia="宋体" w:cs="Times New Roman"/>
                <w:sz w:val="24"/>
                <w:szCs w:val="24"/>
              </w:rPr>
              <w:t>、</w:t>
            </w:r>
            <w:r>
              <w:rPr>
                <w:rFonts w:ascii="Times New Roman" w:hAnsi="Times New Roman" w:eastAsia="宋体" w:cs="Times New Roman"/>
                <w:sz w:val="24"/>
                <w:szCs w:val="24"/>
              </w:rPr>
              <w:t>运河</w:t>
            </w:r>
          </w:p>
        </w:tc>
        <w:tc>
          <w:tcPr>
            <w:tcW w:w="1985"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282E0CB4">
            <w:pPr>
              <w:contextualSpacing/>
              <w:rPr>
                <w:rFonts w:ascii="Times New Roman" w:hAnsi="Times New Roman" w:eastAsia="宋体" w:cs="Times New Roman"/>
                <w:sz w:val="24"/>
                <w:szCs w:val="24"/>
              </w:rPr>
            </w:pPr>
            <w:r>
              <w:rPr>
                <w:rFonts w:ascii="Times New Roman" w:hAnsi="Times New Roman" w:eastAsia="宋体" w:cs="Times New Roman"/>
                <w:sz w:val="24"/>
                <w:szCs w:val="24"/>
              </w:rPr>
              <w:t>排水沟、灌溉渠、运输运河</w:t>
            </w:r>
          </w:p>
        </w:tc>
        <w:tc>
          <w:tcPr>
            <w:tcW w:w="1842"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09AA2126">
            <w:pPr>
              <w:contextualSpacing/>
              <w:rPr>
                <w:rFonts w:ascii="Times New Roman" w:hAnsi="Times New Roman" w:eastAsia="宋体" w:cs="Times New Roman"/>
                <w:sz w:val="24"/>
                <w:szCs w:val="24"/>
              </w:rPr>
            </w:pPr>
            <w:r>
              <w:rPr>
                <w:rFonts w:ascii="Times New Roman" w:hAnsi="Times New Roman" w:eastAsia="宋体" w:cs="Times New Roman"/>
                <w:sz w:val="24"/>
                <w:szCs w:val="24"/>
              </w:rPr>
              <w:t>是</w:t>
            </w:r>
          </w:p>
        </w:tc>
        <w:tc>
          <w:tcPr>
            <w:tcW w:w="2628"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5EC6546B">
            <w:pPr>
              <w:contextualSpacing/>
              <w:rPr>
                <w:rFonts w:ascii="Times New Roman" w:hAnsi="Times New Roman" w:eastAsia="宋体" w:cs="Times New Roman"/>
                <w:sz w:val="24"/>
                <w:szCs w:val="24"/>
              </w:rPr>
            </w:pPr>
            <w:r>
              <w:rPr>
                <w:rFonts w:ascii="Times New Roman" w:hAnsi="Times New Roman" w:eastAsia="宋体" w:cs="Times New Roman"/>
                <w:sz w:val="24"/>
                <w:szCs w:val="24"/>
              </w:rPr>
              <w:t>典型的人为新建水体</w:t>
            </w:r>
          </w:p>
        </w:tc>
      </w:tr>
      <w:tr w14:paraId="1A7644B4">
        <w:tblPrEx>
          <w:tblCellMar>
            <w:top w:w="0" w:type="dxa"/>
            <w:left w:w="0" w:type="dxa"/>
            <w:bottom w:w="0" w:type="dxa"/>
            <w:right w:w="0" w:type="dxa"/>
          </w:tblCellMar>
        </w:tblPrEx>
        <w:trPr>
          <w:trHeight w:val="20" w:hRule="atLeast"/>
          <w:jc w:val="center"/>
        </w:trPr>
        <w:tc>
          <w:tcPr>
            <w:tcW w:w="1835"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40FC59A2">
            <w:pPr>
              <w:contextualSpacing/>
              <w:rPr>
                <w:rFonts w:ascii="Times New Roman" w:hAnsi="Times New Roman" w:eastAsia="宋体" w:cs="Times New Roman"/>
                <w:sz w:val="24"/>
                <w:szCs w:val="24"/>
              </w:rPr>
            </w:pPr>
            <w:r>
              <w:rPr>
                <w:rFonts w:ascii="Times New Roman" w:hAnsi="Times New Roman" w:eastAsia="宋体" w:cs="Times New Roman"/>
                <w:sz w:val="24"/>
                <w:szCs w:val="24"/>
              </w:rPr>
              <w:t>自然湖泊</w:t>
            </w:r>
          </w:p>
        </w:tc>
        <w:tc>
          <w:tcPr>
            <w:tcW w:w="1985"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2C07717F">
            <w:pPr>
              <w:contextualSpacing/>
              <w:rPr>
                <w:rFonts w:ascii="Times New Roman" w:hAnsi="Times New Roman" w:eastAsia="宋体" w:cs="Times New Roman"/>
                <w:sz w:val="24"/>
                <w:szCs w:val="24"/>
              </w:rPr>
            </w:pPr>
            <w:r>
              <w:rPr>
                <w:rFonts w:ascii="Times New Roman" w:hAnsi="Times New Roman" w:eastAsia="宋体" w:cs="Times New Roman"/>
                <w:sz w:val="24"/>
                <w:szCs w:val="24"/>
              </w:rPr>
              <w:t>未经人为工程显著改造的湖泊</w:t>
            </w:r>
          </w:p>
        </w:tc>
        <w:tc>
          <w:tcPr>
            <w:tcW w:w="1842"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3499E037">
            <w:pPr>
              <w:contextualSpacing/>
              <w:rPr>
                <w:rFonts w:ascii="Times New Roman" w:hAnsi="Times New Roman" w:eastAsia="宋体" w:cs="Times New Roman"/>
                <w:sz w:val="24"/>
                <w:szCs w:val="24"/>
              </w:rPr>
            </w:pPr>
            <w:r>
              <w:rPr>
                <w:rFonts w:ascii="Times New Roman" w:hAnsi="Times New Roman" w:eastAsia="宋体" w:cs="Times New Roman"/>
                <w:sz w:val="24"/>
                <w:szCs w:val="24"/>
              </w:rPr>
              <w:t>否</w:t>
            </w:r>
          </w:p>
        </w:tc>
        <w:tc>
          <w:tcPr>
            <w:tcW w:w="2628"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0E3B77F9">
            <w:pPr>
              <w:contextualSpacing/>
              <w:rPr>
                <w:rFonts w:ascii="Times New Roman" w:hAnsi="Times New Roman" w:eastAsia="宋体" w:cs="Times New Roman"/>
                <w:sz w:val="24"/>
                <w:szCs w:val="24"/>
              </w:rPr>
            </w:pPr>
            <w:r>
              <w:rPr>
                <w:rFonts w:ascii="Times New Roman" w:hAnsi="Times New Roman" w:eastAsia="宋体" w:cs="Times New Roman"/>
                <w:sz w:val="24"/>
                <w:szCs w:val="24"/>
              </w:rPr>
              <w:t>被视为自然水体，其排放不计入国家人为排放清单</w:t>
            </w:r>
          </w:p>
        </w:tc>
      </w:tr>
      <w:tr w14:paraId="6F3FDC0F">
        <w:tblPrEx>
          <w:tblCellMar>
            <w:top w:w="0" w:type="dxa"/>
            <w:left w:w="0" w:type="dxa"/>
            <w:bottom w:w="0" w:type="dxa"/>
            <w:right w:w="0" w:type="dxa"/>
          </w:tblCellMar>
        </w:tblPrEx>
        <w:trPr>
          <w:trHeight w:val="20" w:hRule="atLeast"/>
          <w:jc w:val="center"/>
        </w:trPr>
        <w:tc>
          <w:tcPr>
            <w:tcW w:w="1835"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46367E8A">
            <w:pPr>
              <w:contextualSpacing/>
              <w:rPr>
                <w:rFonts w:ascii="Times New Roman" w:hAnsi="Times New Roman" w:eastAsia="宋体" w:cs="Times New Roman"/>
                <w:sz w:val="24"/>
                <w:szCs w:val="24"/>
              </w:rPr>
            </w:pPr>
            <w:r>
              <w:rPr>
                <w:rFonts w:ascii="Times New Roman" w:hAnsi="Times New Roman" w:eastAsia="宋体" w:cs="Times New Roman"/>
                <w:sz w:val="24"/>
                <w:szCs w:val="24"/>
              </w:rPr>
              <w:t>水稻田</w:t>
            </w:r>
          </w:p>
        </w:tc>
        <w:tc>
          <w:tcPr>
            <w:tcW w:w="1985"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33A1431C">
            <w:pPr>
              <w:contextualSpacing/>
              <w:rPr>
                <w:rFonts w:ascii="Times New Roman" w:hAnsi="Times New Roman" w:eastAsia="宋体" w:cs="Times New Roman"/>
                <w:sz w:val="24"/>
                <w:szCs w:val="24"/>
              </w:rPr>
            </w:pPr>
            <w:r>
              <w:rPr>
                <w:rFonts w:ascii="Times New Roman" w:hAnsi="Times New Roman" w:eastAsia="宋体" w:cs="Times New Roman"/>
                <w:sz w:val="24"/>
                <w:szCs w:val="24"/>
              </w:rPr>
              <w:t>种植水稻的淹水农田</w:t>
            </w:r>
          </w:p>
        </w:tc>
        <w:tc>
          <w:tcPr>
            <w:tcW w:w="1842"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4C984DE1">
            <w:pPr>
              <w:contextualSpacing/>
              <w:rPr>
                <w:rFonts w:ascii="Times New Roman" w:hAnsi="Times New Roman" w:eastAsia="宋体" w:cs="Times New Roman"/>
                <w:sz w:val="24"/>
                <w:szCs w:val="24"/>
              </w:rPr>
            </w:pPr>
            <w:r>
              <w:rPr>
                <w:rFonts w:ascii="Times New Roman" w:hAnsi="Times New Roman" w:eastAsia="宋体" w:cs="Times New Roman"/>
                <w:sz w:val="24"/>
                <w:szCs w:val="24"/>
              </w:rPr>
              <w:t>否</w:t>
            </w:r>
          </w:p>
        </w:tc>
        <w:tc>
          <w:tcPr>
            <w:tcW w:w="2628"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09F0A03C">
            <w:pPr>
              <w:contextualSpacing/>
              <w:rPr>
                <w:rFonts w:ascii="Times New Roman" w:hAnsi="Times New Roman" w:eastAsia="宋体" w:cs="Times New Roman"/>
                <w:sz w:val="24"/>
                <w:szCs w:val="24"/>
              </w:rPr>
            </w:pPr>
            <w:r>
              <w:rPr>
                <w:rFonts w:ascii="Times New Roman" w:hAnsi="Times New Roman" w:eastAsia="宋体" w:cs="Times New Roman"/>
                <w:sz w:val="24"/>
                <w:szCs w:val="24"/>
              </w:rPr>
              <w:t>因水稻种植活动的独特性，归入“耕地”类别核算</w:t>
            </w:r>
          </w:p>
        </w:tc>
      </w:tr>
      <w:tr w14:paraId="6B18C7C8">
        <w:tblPrEx>
          <w:tblCellMar>
            <w:top w:w="0" w:type="dxa"/>
            <w:left w:w="0" w:type="dxa"/>
            <w:bottom w:w="0" w:type="dxa"/>
            <w:right w:w="0" w:type="dxa"/>
          </w:tblCellMar>
        </w:tblPrEx>
        <w:trPr>
          <w:trHeight w:val="20" w:hRule="atLeast"/>
          <w:jc w:val="center"/>
        </w:trPr>
        <w:tc>
          <w:tcPr>
            <w:tcW w:w="1835"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7FEA297A">
            <w:pPr>
              <w:contextualSpacing/>
              <w:rPr>
                <w:rFonts w:ascii="Times New Roman" w:hAnsi="Times New Roman" w:eastAsia="宋体" w:cs="Times New Roman"/>
                <w:sz w:val="24"/>
                <w:szCs w:val="24"/>
              </w:rPr>
            </w:pPr>
            <w:r>
              <w:rPr>
                <w:rFonts w:ascii="Times New Roman" w:hAnsi="Times New Roman" w:eastAsia="宋体" w:cs="Times New Roman"/>
                <w:sz w:val="24"/>
                <w:szCs w:val="24"/>
              </w:rPr>
              <w:t>污水处理</w:t>
            </w:r>
            <w:r>
              <w:rPr>
                <w:rFonts w:hint="eastAsia" w:ascii="Times New Roman" w:hAnsi="Times New Roman" w:eastAsia="宋体" w:cs="Times New Roman"/>
                <w:sz w:val="24"/>
                <w:szCs w:val="24"/>
              </w:rPr>
              <w:t>中的</w:t>
            </w:r>
            <w:r>
              <w:rPr>
                <w:rFonts w:ascii="Times New Roman" w:hAnsi="Times New Roman" w:eastAsia="宋体" w:cs="Times New Roman"/>
                <w:sz w:val="24"/>
                <w:szCs w:val="24"/>
              </w:rPr>
              <w:t>人工湿地</w:t>
            </w:r>
          </w:p>
        </w:tc>
        <w:tc>
          <w:tcPr>
            <w:tcW w:w="1985"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55461B3D">
            <w:pPr>
              <w:contextualSpacing/>
              <w:rPr>
                <w:rFonts w:ascii="Times New Roman" w:hAnsi="Times New Roman" w:eastAsia="宋体" w:cs="Times New Roman"/>
                <w:sz w:val="24"/>
                <w:szCs w:val="24"/>
              </w:rPr>
            </w:pPr>
            <w:r>
              <w:rPr>
                <w:rFonts w:ascii="Times New Roman" w:hAnsi="Times New Roman" w:eastAsia="宋体" w:cs="Times New Roman"/>
                <w:sz w:val="24"/>
                <w:szCs w:val="24"/>
              </w:rPr>
              <w:t>用于水质净化的人工湿地</w:t>
            </w:r>
          </w:p>
        </w:tc>
        <w:tc>
          <w:tcPr>
            <w:tcW w:w="1842"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7D8FDEFB">
            <w:pPr>
              <w:contextualSpacing/>
              <w:rPr>
                <w:rFonts w:ascii="Times New Roman" w:hAnsi="Times New Roman" w:eastAsia="宋体" w:cs="Times New Roman"/>
                <w:sz w:val="24"/>
                <w:szCs w:val="24"/>
              </w:rPr>
            </w:pPr>
            <w:r>
              <w:rPr>
                <w:rFonts w:ascii="Times New Roman" w:hAnsi="Times New Roman" w:eastAsia="宋体" w:cs="Times New Roman"/>
                <w:sz w:val="24"/>
                <w:szCs w:val="24"/>
              </w:rPr>
              <w:t>否</w:t>
            </w:r>
          </w:p>
        </w:tc>
        <w:tc>
          <w:tcPr>
            <w:tcW w:w="2628"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136A2BA3">
            <w:pPr>
              <w:contextualSpacing/>
              <w:rPr>
                <w:rFonts w:ascii="Times New Roman" w:hAnsi="Times New Roman" w:eastAsia="宋体" w:cs="Times New Roman"/>
                <w:sz w:val="24"/>
                <w:szCs w:val="24"/>
              </w:rPr>
            </w:pPr>
            <w:r>
              <w:rPr>
                <w:rFonts w:ascii="Times New Roman" w:hAnsi="Times New Roman" w:eastAsia="宋体" w:cs="Times New Roman"/>
                <w:sz w:val="24"/>
                <w:szCs w:val="24"/>
              </w:rPr>
              <w:t>归入“污水处理”或</w:t>
            </w:r>
            <w:r>
              <w:rPr>
                <w:rFonts w:hint="eastAsia" w:ascii="Times New Roman" w:hAnsi="Times New Roman" w:eastAsia="宋体" w:cs="Times New Roman"/>
                <w:sz w:val="24"/>
                <w:szCs w:val="24"/>
              </w:rPr>
              <w:t>根据</w:t>
            </w:r>
            <w:r>
              <w:rPr>
                <w:rFonts w:ascii="Times New Roman" w:hAnsi="Times New Roman" w:eastAsia="宋体" w:cs="Times New Roman"/>
                <w:sz w:val="24"/>
                <w:szCs w:val="24"/>
              </w:rPr>
              <w:t>《2013年湿地</w:t>
            </w:r>
            <w:r>
              <w:rPr>
                <w:rFonts w:hint="eastAsia" w:ascii="Times New Roman" w:hAnsi="Times New Roman" w:eastAsia="宋体" w:cs="Times New Roman"/>
                <w:sz w:val="24"/>
                <w:szCs w:val="24"/>
              </w:rPr>
              <w:t>增补章节</w:t>
            </w:r>
            <w:r>
              <w:rPr>
                <w:rFonts w:ascii="Times New Roman" w:hAnsi="Times New Roman" w:eastAsia="宋体" w:cs="Times New Roman"/>
                <w:sz w:val="24"/>
                <w:szCs w:val="24"/>
              </w:rPr>
              <w:t>》核算</w:t>
            </w:r>
          </w:p>
        </w:tc>
      </w:tr>
      <w:tr w14:paraId="7D16423E">
        <w:tblPrEx>
          <w:tblCellMar>
            <w:top w:w="0" w:type="dxa"/>
            <w:left w:w="0" w:type="dxa"/>
            <w:bottom w:w="0" w:type="dxa"/>
            <w:right w:w="0" w:type="dxa"/>
          </w:tblCellMar>
        </w:tblPrEx>
        <w:trPr>
          <w:trHeight w:val="20" w:hRule="atLeast"/>
          <w:jc w:val="center"/>
        </w:trPr>
        <w:tc>
          <w:tcPr>
            <w:tcW w:w="1835"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30B52D02">
            <w:pPr>
              <w:contextualSpacing/>
              <w:rPr>
                <w:rFonts w:ascii="Times New Roman" w:hAnsi="Times New Roman" w:eastAsia="宋体" w:cs="Times New Roman"/>
                <w:sz w:val="24"/>
                <w:szCs w:val="24"/>
              </w:rPr>
            </w:pPr>
            <w:r>
              <w:rPr>
                <w:rFonts w:ascii="Times New Roman" w:hAnsi="Times New Roman" w:eastAsia="宋体" w:cs="Times New Roman"/>
                <w:sz w:val="24"/>
                <w:szCs w:val="24"/>
              </w:rPr>
              <w:t>季节性淹没的农业草地</w:t>
            </w:r>
          </w:p>
        </w:tc>
        <w:tc>
          <w:tcPr>
            <w:tcW w:w="1985"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318C6830">
            <w:pPr>
              <w:contextualSpacing/>
              <w:rPr>
                <w:rFonts w:ascii="Times New Roman" w:hAnsi="Times New Roman" w:eastAsia="宋体" w:cs="Times New Roman"/>
                <w:sz w:val="24"/>
                <w:szCs w:val="24"/>
              </w:rPr>
            </w:pPr>
            <w:r>
              <w:rPr>
                <w:rFonts w:ascii="Times New Roman" w:hAnsi="Times New Roman" w:eastAsia="宋体" w:cs="Times New Roman"/>
                <w:sz w:val="24"/>
                <w:szCs w:val="24"/>
              </w:rPr>
              <w:t>管理的湿草地或牧场</w:t>
            </w:r>
          </w:p>
        </w:tc>
        <w:tc>
          <w:tcPr>
            <w:tcW w:w="1842"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7285D7B2">
            <w:pPr>
              <w:contextualSpacing/>
              <w:rPr>
                <w:rFonts w:ascii="Times New Roman" w:hAnsi="Times New Roman" w:eastAsia="宋体" w:cs="Times New Roman"/>
                <w:sz w:val="24"/>
                <w:szCs w:val="24"/>
              </w:rPr>
            </w:pPr>
            <w:r>
              <w:rPr>
                <w:rFonts w:ascii="Times New Roman" w:hAnsi="Times New Roman" w:eastAsia="宋体" w:cs="Times New Roman"/>
                <w:sz w:val="24"/>
                <w:szCs w:val="24"/>
              </w:rPr>
              <w:t>否</w:t>
            </w:r>
          </w:p>
        </w:tc>
        <w:tc>
          <w:tcPr>
            <w:tcW w:w="2628"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13B0B4D6">
            <w:pPr>
              <w:contextualSpacing/>
              <w:rPr>
                <w:rFonts w:ascii="Times New Roman" w:hAnsi="Times New Roman" w:eastAsia="宋体" w:cs="Times New Roman"/>
                <w:sz w:val="24"/>
                <w:szCs w:val="24"/>
              </w:rPr>
            </w:pPr>
            <w:r>
              <w:rPr>
                <w:rFonts w:ascii="Times New Roman" w:hAnsi="Times New Roman" w:eastAsia="宋体" w:cs="Times New Roman"/>
                <w:sz w:val="24"/>
                <w:szCs w:val="24"/>
              </w:rPr>
              <w:t>归入《2013年湿地</w:t>
            </w:r>
            <w:r>
              <w:rPr>
                <w:rFonts w:hint="eastAsia" w:ascii="Times New Roman" w:hAnsi="Times New Roman" w:eastAsia="宋体" w:cs="Times New Roman"/>
                <w:sz w:val="24"/>
                <w:szCs w:val="24"/>
              </w:rPr>
              <w:t>增补章节</w:t>
            </w:r>
            <w:r>
              <w:rPr>
                <w:rFonts w:ascii="Times New Roman" w:hAnsi="Times New Roman" w:eastAsia="宋体" w:cs="Times New Roman"/>
                <w:sz w:val="24"/>
                <w:szCs w:val="24"/>
              </w:rPr>
              <w:t>》核算</w:t>
            </w:r>
          </w:p>
        </w:tc>
      </w:tr>
      <w:tr w14:paraId="22A088AD">
        <w:tblPrEx>
          <w:tblCellMar>
            <w:top w:w="0" w:type="dxa"/>
            <w:left w:w="0" w:type="dxa"/>
            <w:bottom w:w="0" w:type="dxa"/>
            <w:right w:w="0" w:type="dxa"/>
          </w:tblCellMar>
        </w:tblPrEx>
        <w:trPr>
          <w:trHeight w:val="20" w:hRule="atLeast"/>
          <w:jc w:val="center"/>
        </w:trPr>
        <w:tc>
          <w:tcPr>
            <w:tcW w:w="1835"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59F82FD2">
            <w:pPr>
              <w:contextualSpacing/>
              <w:rPr>
                <w:rFonts w:ascii="Times New Roman" w:hAnsi="Times New Roman" w:eastAsia="宋体" w:cs="Times New Roman"/>
                <w:sz w:val="24"/>
                <w:szCs w:val="24"/>
              </w:rPr>
            </w:pPr>
            <w:r>
              <w:rPr>
                <w:rFonts w:ascii="Times New Roman" w:hAnsi="Times New Roman" w:eastAsia="宋体" w:cs="Times New Roman"/>
                <w:sz w:val="24"/>
                <w:szCs w:val="24"/>
              </w:rPr>
              <w:t>沿海红树林改建的水产养殖塘</w:t>
            </w:r>
          </w:p>
        </w:tc>
        <w:tc>
          <w:tcPr>
            <w:tcW w:w="1985"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214F6954">
            <w:pPr>
              <w:contextualSpacing/>
              <w:rPr>
                <w:rFonts w:ascii="Times New Roman" w:hAnsi="Times New Roman" w:eastAsia="宋体" w:cs="Times New Roman"/>
                <w:sz w:val="24"/>
                <w:szCs w:val="24"/>
              </w:rPr>
            </w:pPr>
            <w:r>
              <w:rPr>
                <w:rFonts w:ascii="Times New Roman" w:hAnsi="Times New Roman" w:eastAsia="宋体" w:cs="Times New Roman"/>
                <w:sz w:val="24"/>
                <w:szCs w:val="24"/>
              </w:rPr>
              <w:t>在红树林区域开挖的虾塘</w:t>
            </w:r>
          </w:p>
        </w:tc>
        <w:tc>
          <w:tcPr>
            <w:tcW w:w="1842"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3B3E7C07">
            <w:pPr>
              <w:contextualSpacing/>
              <w:rPr>
                <w:rFonts w:ascii="Times New Roman" w:hAnsi="Times New Roman" w:eastAsia="宋体" w:cs="Times New Roman"/>
                <w:sz w:val="24"/>
                <w:szCs w:val="24"/>
                <w:lang w:val="pl-PL"/>
              </w:rPr>
            </w:pPr>
            <w:r>
              <w:rPr>
                <w:rFonts w:ascii="Times New Roman" w:hAnsi="Times New Roman" w:eastAsia="宋体" w:cs="Times New Roman"/>
                <w:sz w:val="24"/>
                <w:szCs w:val="24"/>
                <w:lang w:val="pl-PL"/>
              </w:rPr>
              <w:t>CO</w:t>
            </w:r>
            <w:r>
              <w:rPr>
                <w:rFonts w:ascii="Times New Roman" w:hAnsi="Times New Roman" w:eastAsia="宋体" w:cs="Times New Roman"/>
                <w:sz w:val="24"/>
                <w:szCs w:val="24"/>
                <w:vertAlign w:val="subscript"/>
                <w:lang w:val="pl-PL"/>
              </w:rPr>
              <w:t>2</w:t>
            </w:r>
            <w:r>
              <w:rPr>
                <w:rFonts w:ascii="Times New Roman" w:hAnsi="Times New Roman" w:eastAsia="宋体" w:cs="Times New Roman"/>
                <w:sz w:val="24"/>
                <w:szCs w:val="24"/>
              </w:rPr>
              <w:t>排放</w:t>
            </w:r>
            <w:r>
              <w:rPr>
                <w:rFonts w:ascii="Times New Roman" w:hAnsi="Times New Roman" w:eastAsia="宋体" w:cs="Times New Roman"/>
                <w:sz w:val="24"/>
                <w:szCs w:val="24"/>
                <w:lang w:val="pl-PL"/>
              </w:rPr>
              <w:t>：</w:t>
            </w:r>
            <w:r>
              <w:rPr>
                <w:rFonts w:ascii="Times New Roman" w:hAnsi="Times New Roman" w:eastAsia="宋体" w:cs="Times New Roman"/>
                <w:sz w:val="24"/>
                <w:szCs w:val="24"/>
              </w:rPr>
              <w:t>否</w:t>
            </w:r>
          </w:p>
          <w:p w14:paraId="7E886D6A">
            <w:pPr>
              <w:contextualSpacing/>
              <w:rPr>
                <w:rFonts w:ascii="Times New Roman" w:hAnsi="Times New Roman" w:eastAsia="宋体" w:cs="Times New Roman"/>
                <w:sz w:val="24"/>
                <w:szCs w:val="24"/>
                <w:lang w:val="pl-PL"/>
              </w:rPr>
            </w:pPr>
            <w:r>
              <w:rPr>
                <w:rFonts w:ascii="Times New Roman" w:hAnsi="Times New Roman" w:eastAsia="宋体" w:cs="Times New Roman"/>
                <w:sz w:val="24"/>
                <w:szCs w:val="24"/>
                <w:lang w:val="pl-PL"/>
              </w:rPr>
              <w:t>CH</w:t>
            </w:r>
            <w:r>
              <w:rPr>
                <w:rFonts w:ascii="Times New Roman" w:hAnsi="Times New Roman" w:eastAsia="宋体" w:cs="Times New Roman"/>
                <w:sz w:val="24"/>
                <w:szCs w:val="24"/>
                <w:vertAlign w:val="subscript"/>
                <w:lang w:val="pl-PL"/>
              </w:rPr>
              <w:t>4</w:t>
            </w:r>
            <w:r>
              <w:rPr>
                <w:rFonts w:ascii="Times New Roman" w:hAnsi="Times New Roman" w:eastAsia="宋体" w:cs="Times New Roman"/>
                <w:sz w:val="24"/>
                <w:szCs w:val="24"/>
              </w:rPr>
              <w:t>排放</w:t>
            </w:r>
            <w:r>
              <w:rPr>
                <w:rFonts w:ascii="Times New Roman" w:hAnsi="Times New Roman" w:eastAsia="宋体" w:cs="Times New Roman"/>
                <w:sz w:val="24"/>
                <w:szCs w:val="24"/>
                <w:lang w:val="pl-PL"/>
              </w:rPr>
              <w:t>：</w:t>
            </w:r>
            <w:r>
              <w:rPr>
                <w:rFonts w:ascii="Times New Roman" w:hAnsi="Times New Roman" w:eastAsia="宋体" w:cs="Times New Roman"/>
                <w:sz w:val="24"/>
                <w:szCs w:val="24"/>
              </w:rPr>
              <w:t>是</w:t>
            </w:r>
          </w:p>
        </w:tc>
        <w:tc>
          <w:tcPr>
            <w:tcW w:w="2628" w:type="dxa"/>
            <w:tcBorders>
              <w:top w:val="single" w:color="383838" w:sz="6" w:space="0"/>
              <w:left w:val="single" w:color="383838" w:sz="6" w:space="0"/>
              <w:bottom w:val="single" w:color="383838" w:sz="6" w:space="0"/>
              <w:right w:val="single" w:color="383838" w:sz="6" w:space="0"/>
            </w:tcBorders>
            <w:tcMar>
              <w:top w:w="150" w:type="dxa"/>
              <w:left w:w="180" w:type="dxa"/>
              <w:bottom w:w="150" w:type="dxa"/>
              <w:right w:w="180" w:type="dxa"/>
            </w:tcMar>
            <w:vAlign w:val="center"/>
          </w:tcPr>
          <w:p w14:paraId="10B27FC3">
            <w:pPr>
              <w:contextualSpacing/>
              <w:rPr>
                <w:rFonts w:ascii="Times New Roman" w:hAnsi="Times New Roman" w:eastAsia="宋体" w:cs="Times New Roman"/>
                <w:sz w:val="24"/>
                <w:szCs w:val="24"/>
              </w:rPr>
            </w:pPr>
            <w:r>
              <w:rPr>
                <w:rFonts w:ascii="Times New Roman" w:hAnsi="Times New Roman" w:eastAsia="宋体" w:cs="Times New Roman"/>
                <w:sz w:val="24"/>
                <w:szCs w:val="24"/>
              </w:rPr>
              <w:t>CO</w:t>
            </w:r>
            <w:r>
              <w:rPr>
                <w:rFonts w:hint="eastAsia" w:ascii="Times New Roman" w:hAnsi="Times New Roman" w:eastAsia="宋体" w:cs="Times New Roman"/>
                <w:sz w:val="24"/>
                <w:szCs w:val="24"/>
                <w:vertAlign w:val="subscript"/>
              </w:rPr>
              <w:t>2</w:t>
            </w:r>
            <w:r>
              <w:rPr>
                <w:rFonts w:ascii="Times New Roman" w:hAnsi="Times New Roman" w:eastAsia="宋体" w:cs="Times New Roman"/>
                <w:sz w:val="24"/>
                <w:szCs w:val="24"/>
              </w:rPr>
              <w:t>排放（由土地转化引起）在《2013年湿地</w:t>
            </w:r>
            <w:r>
              <w:rPr>
                <w:rFonts w:hint="eastAsia" w:ascii="Times New Roman" w:hAnsi="Times New Roman" w:eastAsia="宋体" w:cs="Times New Roman"/>
                <w:sz w:val="24"/>
                <w:szCs w:val="24"/>
              </w:rPr>
              <w:t>增补章节</w:t>
            </w:r>
            <w:r>
              <w:rPr>
                <w:rFonts w:ascii="Times New Roman" w:hAnsi="Times New Roman" w:eastAsia="宋体" w:cs="Times New Roman"/>
                <w:sz w:val="24"/>
                <w:szCs w:val="24"/>
              </w:rPr>
              <w:t>》中核算；</w:t>
            </w:r>
          </w:p>
          <w:p w14:paraId="52DA7AA9">
            <w:pPr>
              <w:contextualSpacing/>
              <w:rPr>
                <w:rFonts w:ascii="Times New Roman" w:hAnsi="Times New Roman" w:eastAsia="宋体" w:cs="Times New Roman"/>
                <w:sz w:val="24"/>
                <w:szCs w:val="24"/>
              </w:rPr>
            </w:pPr>
            <w:r>
              <w:rPr>
                <w:rFonts w:ascii="Times New Roman" w:hAnsi="Times New Roman" w:eastAsia="宋体" w:cs="Times New Roman"/>
                <w:sz w:val="24"/>
                <w:szCs w:val="24"/>
              </w:rPr>
              <w:t>CH₄排放（来自池塘水体）在</w:t>
            </w:r>
            <w:r>
              <w:rPr>
                <w:rFonts w:hint="eastAsia" w:ascii="Times New Roman" w:hAnsi="Times New Roman" w:eastAsia="宋体" w:cs="Times New Roman"/>
                <w:sz w:val="24"/>
                <w:szCs w:val="24"/>
              </w:rPr>
              <w:t>“水淹地”</w:t>
            </w:r>
            <w:r>
              <w:rPr>
                <w:rFonts w:ascii="Times New Roman" w:hAnsi="Times New Roman" w:eastAsia="宋体" w:cs="Times New Roman"/>
                <w:sz w:val="24"/>
                <w:szCs w:val="24"/>
              </w:rPr>
              <w:t>章节核算</w:t>
            </w:r>
          </w:p>
        </w:tc>
      </w:tr>
    </w:tbl>
    <w:p w14:paraId="5B55F628">
      <w:pPr>
        <w:spacing w:line="360" w:lineRule="auto"/>
        <w:rPr>
          <w:rFonts w:ascii="Times New Roman" w:hAnsi="Times New Roman" w:eastAsia="宋体" w:cs="Times New Roman"/>
          <w:sz w:val="24"/>
          <w:szCs w:val="24"/>
        </w:rPr>
      </w:pPr>
    </w:p>
    <w:p w14:paraId="5582372C">
      <w:pPr>
        <w:spacing w:before="312" w:beforeLines="100" w:line="360" w:lineRule="auto"/>
        <w:rPr>
          <w:rFonts w:ascii="Times New Roman" w:hAnsi="Times New Roman" w:eastAsia="黑体" w:cs="Times New Roman"/>
          <w:sz w:val="28"/>
          <w:szCs w:val="28"/>
        </w:rPr>
      </w:pPr>
      <w:r>
        <w:rPr>
          <w:rFonts w:ascii="Times New Roman" w:hAnsi="Times New Roman" w:eastAsia="黑体" w:cs="Times New Roman"/>
          <w:sz w:val="28"/>
          <w:szCs w:val="28"/>
        </w:rPr>
        <w:t>2. 为什么要开展水淹地温室气体清单的编制</w:t>
      </w:r>
    </w:p>
    <w:p w14:paraId="3E50EE8F">
      <w:pPr>
        <w:spacing w:line="360" w:lineRule="auto"/>
        <w:ind w:left="0" w:leftChars="0" w:firstLine="0" w:firstLineChars="0"/>
        <w:rPr>
          <w:rFonts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要</w:t>
      </w:r>
      <w:r>
        <w:rPr>
          <w:rFonts w:ascii="Times New Roman" w:hAnsi="Times New Roman" w:eastAsia="宋体" w:cs="Times New Roman"/>
          <w:sz w:val="24"/>
          <w:szCs w:val="24"/>
        </w:rPr>
        <w:t>把“水下排放账”算清楚，避免系统性低估人为排放</w:t>
      </w:r>
    </w:p>
    <w:p w14:paraId="3E3A0ACF">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水库、小池塘、滞洪区等人为水淹地已成为全球重要甲烷（CH</w:t>
      </w:r>
      <w:r>
        <w:rPr>
          <w:rFonts w:hint="eastAsia" w:ascii="Times New Roman" w:hAnsi="Times New Roman" w:eastAsia="宋体" w:cs="Times New Roman"/>
          <w:sz w:val="24"/>
          <w:szCs w:val="24"/>
          <w:vertAlign w:val="subscript"/>
          <w:lang w:val="en-US" w:eastAsia="zh-CN"/>
        </w:rPr>
        <w:t>4</w:t>
      </w:r>
      <w:r>
        <w:rPr>
          <w:rFonts w:ascii="Times New Roman" w:hAnsi="Times New Roman" w:eastAsia="宋体" w:cs="Times New Roman"/>
          <w:sz w:val="24"/>
          <w:szCs w:val="24"/>
        </w:rPr>
        <w:t>）来源之一，其排放具有“高增温效应＋持续增长”双重特征。如不单独核算，这部分排放会被当作“自然背景”忽略，导致国家和行业的温室气体排放被明显低估，减排责任与气候风险判断失真。</w:t>
      </w:r>
    </w:p>
    <w:p w14:paraId="3A0FB78F">
      <w:pPr>
        <w:spacing w:line="360" w:lineRule="auto"/>
        <w:ind w:left="0" w:leftChars="0" w:firstLine="0" w:firstLineChars="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有助于</w:t>
      </w:r>
      <w:r>
        <w:rPr>
          <w:rFonts w:hint="eastAsia" w:ascii="Times New Roman" w:hAnsi="Times New Roman" w:eastAsia="宋体" w:cs="Times New Roman"/>
          <w:sz w:val="24"/>
          <w:szCs w:val="24"/>
          <w:lang w:eastAsia="zh-CN"/>
        </w:rPr>
        <w:t>识别高排放热点与减排潜力，服务科学管理</w:t>
      </w:r>
    </w:p>
    <w:p w14:paraId="48AECDC6">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新建水库早期常出现营养物和有机质集中分解释放，前20年CH₄排放明显偏高，小型水体和库湾也可能是“高排放斑块”。建立清单，有助于找出哪些区域、哪些运行方式排放最高，从而通过水位调度、入库污染控制、底泥管理等手段进行精准减排，而不是“盲目喊口号”。</w:t>
      </w:r>
    </w:p>
    <w:p w14:paraId="02BCC10E">
      <w:pPr>
        <w:widowControl w:val="0"/>
        <w:numPr>
          <w:numId w:val="0"/>
        </w:numPr>
        <w:tabs>
          <w:tab w:val="left" w:pos="720"/>
        </w:tabs>
        <w:spacing w:line="360" w:lineRule="auto"/>
        <w:jc w:val="both"/>
        <w:rPr>
          <w:rFonts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响应IPCC指南要求，提升国家报告透明度与公信力</w:t>
      </w:r>
    </w:p>
    <w:p w14:paraId="145F6F00">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IPCC 2019指南已明确提出需将水淹地视为人为排放源进行核算与报告。编制水淹地温室气体清单，可以使我国温室气体清单更加完整、规范、可比，体现对国际规则的积极响应，增强在全球气候治理中的话语权与可信度。</w:t>
      </w:r>
    </w:p>
    <w:p w14:paraId="3E47C309">
      <w:pPr>
        <w:widowControl w:val="0"/>
        <w:numPr>
          <w:numId w:val="0"/>
        </w:numPr>
        <w:tabs>
          <w:tab w:val="left" w:pos="720"/>
        </w:tabs>
        <w:spacing w:line="360" w:lineRule="auto"/>
        <w:jc w:val="both"/>
        <w:rPr>
          <w:rFonts w:ascii="Times New Roman" w:hAnsi="Times New Roman" w:eastAsia="宋体" w:cs="Times New Roman"/>
          <w:sz w:val="24"/>
          <w:szCs w:val="24"/>
        </w:rPr>
      </w:pP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真实评估水电等工程的净气候效益，防止“漂绿”</w:t>
      </w:r>
    </w:p>
    <w:p w14:paraId="1B21BF6D">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很多水淹地与水电工程紧密相关。只有把水库及相关水淹地排放计入全生命周期核算，才能判断某个工程是否真正“低碳”。这对能源规划、项目审批、绿色金融和企业ESG信息披露至关重要，有助于避免将高排放项目误包装为“清洁工程”，引导未来基础设施向更安全、更真实的低碳路径演进。</w:t>
      </w:r>
    </w:p>
    <w:p w14:paraId="024A566E">
      <w:pPr>
        <w:spacing w:before="312" w:beforeLines="100" w:line="360" w:lineRule="auto"/>
        <w:rPr>
          <w:rFonts w:ascii="Times New Roman" w:hAnsi="Times New Roman" w:eastAsia="黑体" w:cs="Times New Roman"/>
          <w:sz w:val="28"/>
          <w:szCs w:val="28"/>
        </w:rPr>
      </w:pPr>
      <w:r>
        <w:rPr>
          <w:rFonts w:ascii="Times New Roman" w:hAnsi="Times New Roman" w:eastAsia="黑体" w:cs="Times New Roman"/>
          <w:sz w:val="28"/>
          <w:szCs w:val="28"/>
        </w:rPr>
        <w:t>3. 水淹地温室气体排放核算的基本原理</w:t>
      </w:r>
    </w:p>
    <w:p w14:paraId="0185DF01">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当陆地被水淹没形成水库、池塘、沟渠等水体时，原有的生态系统会发生显著改变。被淹没的植物和土壤中的有机质在缺氧环境下，会通过微生物分解产生大量的温室气体包括CO</w:t>
      </w:r>
      <w:r>
        <w:rPr>
          <w:rFonts w:hint="eastAsia" w:ascii="Times New Roman" w:hAnsi="Times New Roman" w:eastAsia="宋体" w:cs="Times New Roman"/>
          <w:sz w:val="24"/>
          <w:szCs w:val="24"/>
          <w:vertAlign w:val="subscript"/>
        </w:rPr>
        <w:t>2</w:t>
      </w:r>
      <w:r>
        <w:rPr>
          <w:rFonts w:hint="eastAsia" w:ascii="Times New Roman" w:hAnsi="Times New Roman" w:eastAsia="宋体" w:cs="Times New Roman"/>
          <w:sz w:val="24"/>
          <w:szCs w:val="24"/>
        </w:rPr>
        <w:t>、CH</w:t>
      </w:r>
      <w:r>
        <w:rPr>
          <w:rFonts w:hint="eastAsia" w:ascii="Times New Roman" w:hAnsi="Times New Roman" w:eastAsia="宋体" w:cs="Times New Roman"/>
          <w:sz w:val="24"/>
          <w:szCs w:val="24"/>
          <w:vertAlign w:val="subscript"/>
        </w:rPr>
        <w:t>4</w:t>
      </w:r>
      <w:r>
        <w:rPr>
          <w:rFonts w:hint="eastAsia" w:ascii="Times New Roman" w:hAnsi="Times New Roman" w:eastAsia="宋体" w:cs="Times New Roman"/>
          <w:sz w:val="24"/>
          <w:szCs w:val="24"/>
        </w:rPr>
        <w:t>、N</w:t>
      </w:r>
      <w:r>
        <w:rPr>
          <w:rFonts w:hint="eastAsia" w:ascii="Times New Roman" w:hAnsi="Times New Roman" w:eastAsia="宋体" w:cs="Times New Roman"/>
          <w:sz w:val="24"/>
          <w:szCs w:val="24"/>
          <w:vertAlign w:val="subscript"/>
        </w:rPr>
        <w:t>2</w:t>
      </w:r>
      <w:r>
        <w:rPr>
          <w:rFonts w:hint="eastAsia" w:ascii="Times New Roman" w:hAnsi="Times New Roman" w:eastAsia="宋体" w:cs="Times New Roman"/>
          <w:sz w:val="24"/>
          <w:szCs w:val="24"/>
        </w:rPr>
        <w:t>O等</w:t>
      </w:r>
      <w:r>
        <w:rPr>
          <w:rFonts w:ascii="Times New Roman" w:hAnsi="Times New Roman" w:eastAsia="宋体" w:cs="Times New Roman"/>
          <w:sz w:val="24"/>
          <w:szCs w:val="24"/>
        </w:rPr>
        <w:t>。</w:t>
      </w:r>
    </w:p>
    <w:p w14:paraId="6D743657">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核算上述温室气体排放量的基本原理是：</w:t>
      </w:r>
    </w:p>
    <w:p w14:paraId="53D7A731">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CO</w:t>
      </w:r>
      <w:r>
        <w:rPr>
          <w:rFonts w:hint="eastAsia" w:ascii="Times New Roman" w:hAnsi="Times New Roman" w:eastAsia="宋体" w:cs="Times New Roman"/>
          <w:sz w:val="24"/>
          <w:szCs w:val="24"/>
          <w:vertAlign w:val="subscript"/>
        </w:rPr>
        <w:t>2</w:t>
      </w:r>
      <w:r>
        <w:rPr>
          <w:rFonts w:hint="eastAsia" w:ascii="Times New Roman" w:hAnsi="Times New Roman" w:eastAsia="宋体" w:cs="Times New Roman"/>
          <w:sz w:val="24"/>
          <w:szCs w:val="24"/>
        </w:rPr>
        <w:t>排放：主要来自水体中或从流域进入水体的土壤有机质和其他有机质的分解，以及生物（如细菌、鱼类等）的呼吸。特别是当土地被初次淹没时，被淹没的有机物（如植被和土壤）会分解，导致CO</w:t>
      </w:r>
      <w:r>
        <w:rPr>
          <w:rFonts w:hint="eastAsia" w:ascii="Times New Roman" w:hAnsi="Times New Roman" w:eastAsia="宋体" w:cs="Times New Roman"/>
          <w:sz w:val="24"/>
          <w:szCs w:val="24"/>
          <w:vertAlign w:val="subscript"/>
        </w:rPr>
        <w:t>2</w:t>
      </w:r>
      <w:r>
        <w:rPr>
          <w:rFonts w:hint="eastAsia" w:ascii="Times New Roman" w:hAnsi="Times New Roman" w:eastAsia="宋体" w:cs="Times New Roman"/>
          <w:sz w:val="24"/>
          <w:szCs w:val="24"/>
        </w:rPr>
        <w:t>排放。</w:t>
      </w:r>
    </w:p>
    <w:p w14:paraId="14FC6A24">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CH</w:t>
      </w:r>
      <w:r>
        <w:rPr>
          <w:rFonts w:hint="eastAsia" w:ascii="Times New Roman" w:hAnsi="Times New Roman" w:eastAsia="宋体" w:cs="Times New Roman"/>
          <w:sz w:val="24"/>
          <w:szCs w:val="24"/>
          <w:vertAlign w:val="subscript"/>
        </w:rPr>
        <w:t>4</w:t>
      </w:r>
      <w:r>
        <w:rPr>
          <w:rFonts w:hint="eastAsia" w:ascii="Times New Roman" w:hAnsi="Times New Roman" w:eastAsia="宋体" w:cs="Times New Roman"/>
          <w:sz w:val="24"/>
          <w:szCs w:val="24"/>
        </w:rPr>
        <w:t>排放：主要是在沉积物的缺氧条件下产甲烷菌（如甲烷杆菌）等活动产生的，但水库沉积物与水柱中的甲烷氧化菌（如有氧甲烷氧化菌）将可能通过氧化作用削减一部分甲烷。</w:t>
      </w:r>
    </w:p>
    <w:p w14:paraId="5DB208AF">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N</w:t>
      </w:r>
      <w:r>
        <w:rPr>
          <w:rFonts w:hint="eastAsia" w:ascii="Times New Roman" w:hAnsi="Times New Roman" w:eastAsia="宋体" w:cs="Times New Roman"/>
          <w:sz w:val="24"/>
          <w:szCs w:val="24"/>
          <w:vertAlign w:val="subscript"/>
        </w:rPr>
        <w:t>2</w:t>
      </w:r>
      <w:r>
        <w:rPr>
          <w:rFonts w:hint="eastAsia" w:ascii="Times New Roman" w:hAnsi="Times New Roman" w:eastAsia="宋体" w:cs="Times New Roman"/>
          <w:sz w:val="24"/>
          <w:szCs w:val="24"/>
        </w:rPr>
        <w:t>O排放：虽然水淹地也排放氧化亚氮（N2O），但这些排放主要与来自流域的氮输入有关。通常，流域氮输入已在农业土壤管理或废水管理中核算，为避免重复计算，“水淹地”章节不再提供N</w:t>
      </w:r>
      <w:r>
        <w:rPr>
          <w:rFonts w:hint="eastAsia" w:ascii="Times New Roman" w:hAnsi="Times New Roman" w:eastAsia="宋体" w:cs="Times New Roman"/>
          <w:sz w:val="24"/>
          <w:szCs w:val="24"/>
          <w:vertAlign w:val="subscript"/>
        </w:rPr>
        <w:t>2</w:t>
      </w:r>
      <w:r>
        <w:rPr>
          <w:rFonts w:hint="eastAsia" w:ascii="Times New Roman" w:hAnsi="Times New Roman" w:eastAsia="宋体" w:cs="Times New Roman"/>
          <w:sz w:val="24"/>
          <w:szCs w:val="24"/>
        </w:rPr>
        <w:t>O的核算方法。</w:t>
      </w:r>
    </w:p>
    <w:p w14:paraId="7CF013F9">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需要特别指出的是，在IPCC的核算体系中，遵循“管理土地替代”（Managed Land Proxy, MLP）原则，即所有来自管理土地（包括水淹地）的排放都被视为“人为排放”。</w:t>
      </w:r>
    </w:p>
    <w:p w14:paraId="3F213A28">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MLP原则旨在解决一个根本性问题：如何将地球陆地系统中复杂的碳循环和温室气体排放，区分为“人为”（Anthropogenic）活动导致的排放和“自然”（Non-anthropogenic）排放？MLP的“替代”原则简化了核算过程，避免了难以量化的“基线”（Baseline）或“自然背景值”的复杂计算。</w:t>
      </w:r>
    </w:p>
    <w:p w14:paraId="1D33C171">
      <w:pPr>
        <w:spacing w:line="360" w:lineRule="auto"/>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 xml:space="preserve">表2 </w:t>
      </w:r>
      <w:r>
        <w:rPr>
          <w:rFonts w:hint="eastAsia" w:ascii="Times New Roman" w:hAnsi="Times New Roman" w:eastAsia="宋体" w:cs="Times New Roman"/>
          <w:sz w:val="24"/>
          <w:szCs w:val="24"/>
          <w:lang w:val="en-US" w:eastAsia="zh-CN"/>
        </w:rPr>
        <w:t>基于MLP原则开展实际核算与理想条件开展核算的比较</w:t>
      </w:r>
    </w:p>
    <w:tbl>
      <w:tblPr>
        <w:tblStyle w:val="15"/>
        <w:tblW w:w="5000" w:type="pct"/>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autofit"/>
        <w:tblCellMar>
          <w:top w:w="0" w:type="dxa"/>
          <w:left w:w="0" w:type="dxa"/>
          <w:bottom w:w="0" w:type="dxa"/>
          <w:right w:w="0" w:type="dxa"/>
        </w:tblCellMar>
      </w:tblPr>
      <w:tblGrid>
        <w:gridCol w:w="558"/>
        <w:gridCol w:w="4201"/>
        <w:gridCol w:w="3602"/>
      </w:tblGrid>
      <w:tr w14:paraId="6E9DB8E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0" w:type="dxa"/>
          </w:tblCellMar>
        </w:tblPrEx>
        <w:trPr>
          <w:trHeight w:val="20" w:hRule="atLeast"/>
          <w:jc w:val="center"/>
        </w:trPr>
        <w:tc>
          <w:tcPr>
            <w:tcW w:w="0" w:type="auto"/>
            <w:tcMar>
              <w:top w:w="30" w:type="dxa"/>
              <w:left w:w="45" w:type="dxa"/>
              <w:bottom w:w="30" w:type="dxa"/>
              <w:right w:w="45" w:type="dxa"/>
            </w:tcMar>
            <w:vAlign w:val="center"/>
          </w:tcPr>
          <w:p w14:paraId="0B93C9E8">
            <w:pPr>
              <w:jc w:val="center"/>
              <w:rPr>
                <w:rFonts w:ascii="Times New Roman" w:hAnsi="Times New Roman" w:eastAsia="宋体" w:cs="Times New Roman"/>
              </w:rPr>
            </w:pPr>
            <w:r>
              <w:rPr>
                <w:rFonts w:ascii="Times New Roman" w:hAnsi="Times New Roman" w:eastAsia="宋体" w:cs="Times New Roman"/>
              </w:rPr>
              <w:t>维度</w:t>
            </w:r>
          </w:p>
        </w:tc>
        <w:tc>
          <w:tcPr>
            <w:tcW w:w="0" w:type="auto"/>
            <w:tcMar>
              <w:top w:w="30" w:type="dxa"/>
              <w:left w:w="45" w:type="dxa"/>
              <w:bottom w:w="30" w:type="dxa"/>
              <w:right w:w="45" w:type="dxa"/>
            </w:tcMar>
            <w:vAlign w:val="center"/>
          </w:tcPr>
          <w:p w14:paraId="3FB5709E">
            <w:pPr>
              <w:jc w:val="center"/>
              <w:rPr>
                <w:rFonts w:ascii="Times New Roman" w:hAnsi="Times New Roman" w:eastAsia="宋体" w:cs="Times New Roman"/>
              </w:rPr>
            </w:pPr>
            <w:r>
              <w:rPr>
                <w:rFonts w:ascii="Times New Roman" w:hAnsi="Times New Roman" w:eastAsia="宋体" w:cs="Times New Roman"/>
              </w:rPr>
              <w:t>理想</w:t>
            </w:r>
            <w:r>
              <w:rPr>
                <w:rFonts w:hint="eastAsia" w:ascii="Times New Roman" w:hAnsi="Times New Roman" w:eastAsia="宋体" w:cs="Times New Roman"/>
              </w:rPr>
              <w:t>条件下</w:t>
            </w:r>
            <w:r>
              <w:rPr>
                <w:rFonts w:ascii="Times New Roman" w:hAnsi="Times New Roman" w:eastAsia="宋体" w:cs="Times New Roman"/>
              </w:rPr>
              <w:t>核算</w:t>
            </w:r>
          </w:p>
        </w:tc>
        <w:tc>
          <w:tcPr>
            <w:tcW w:w="0" w:type="auto"/>
            <w:tcMar>
              <w:top w:w="30" w:type="dxa"/>
              <w:left w:w="0" w:type="dxa"/>
              <w:bottom w:w="30" w:type="dxa"/>
              <w:right w:w="0" w:type="dxa"/>
            </w:tcMar>
            <w:vAlign w:val="center"/>
          </w:tcPr>
          <w:p w14:paraId="2EAE451A">
            <w:pPr>
              <w:jc w:val="center"/>
              <w:rPr>
                <w:rFonts w:ascii="Times New Roman" w:hAnsi="Times New Roman" w:eastAsia="宋体" w:cs="Times New Roman"/>
              </w:rPr>
            </w:pPr>
            <w:r>
              <w:rPr>
                <w:rFonts w:hint="eastAsia" w:ascii="Times New Roman" w:hAnsi="Times New Roman" w:eastAsia="宋体" w:cs="Times New Roman"/>
              </w:rPr>
              <w:t>基于</w:t>
            </w:r>
            <w:r>
              <w:rPr>
                <w:rFonts w:ascii="Times New Roman" w:hAnsi="Times New Roman" w:eastAsia="宋体" w:cs="Times New Roman"/>
              </w:rPr>
              <w:t>MLP原则</w:t>
            </w:r>
            <w:r>
              <w:rPr>
                <w:rFonts w:hint="eastAsia" w:ascii="Times New Roman" w:hAnsi="Times New Roman" w:eastAsia="宋体" w:cs="Times New Roman"/>
              </w:rPr>
              <w:t>的</w:t>
            </w:r>
            <w:r>
              <w:rPr>
                <w:rFonts w:ascii="Times New Roman" w:hAnsi="Times New Roman" w:eastAsia="宋体" w:cs="Times New Roman"/>
              </w:rPr>
              <w:t>实际核算</w:t>
            </w:r>
          </w:p>
        </w:tc>
      </w:tr>
      <w:tr w14:paraId="3C1F11F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0" w:type="dxa"/>
          </w:tblCellMar>
        </w:tblPrEx>
        <w:trPr>
          <w:trHeight w:val="20" w:hRule="atLeast"/>
          <w:jc w:val="center"/>
        </w:trPr>
        <w:tc>
          <w:tcPr>
            <w:tcW w:w="0" w:type="auto"/>
            <w:tcMar>
              <w:top w:w="30" w:type="dxa"/>
              <w:left w:w="45" w:type="dxa"/>
              <w:bottom w:w="30" w:type="dxa"/>
              <w:right w:w="45" w:type="dxa"/>
            </w:tcMar>
            <w:vAlign w:val="center"/>
          </w:tcPr>
          <w:p w14:paraId="33CB7A8B">
            <w:pPr>
              <w:jc w:val="center"/>
              <w:rPr>
                <w:rFonts w:ascii="Times New Roman" w:hAnsi="Times New Roman" w:eastAsia="宋体" w:cs="Times New Roman"/>
              </w:rPr>
            </w:pPr>
            <w:r>
              <w:rPr>
                <w:rFonts w:ascii="Times New Roman" w:hAnsi="Times New Roman" w:eastAsia="宋体" w:cs="Times New Roman"/>
              </w:rPr>
              <w:t>目标</w:t>
            </w:r>
          </w:p>
        </w:tc>
        <w:tc>
          <w:tcPr>
            <w:tcW w:w="0" w:type="auto"/>
            <w:tcMar>
              <w:top w:w="30" w:type="dxa"/>
              <w:left w:w="45" w:type="dxa"/>
              <w:bottom w:w="30" w:type="dxa"/>
              <w:right w:w="45" w:type="dxa"/>
            </w:tcMar>
            <w:vAlign w:val="center"/>
          </w:tcPr>
          <w:p w14:paraId="2028ED75">
            <w:pPr>
              <w:rPr>
                <w:rFonts w:ascii="Times New Roman" w:hAnsi="Times New Roman" w:eastAsia="宋体" w:cs="Times New Roman"/>
              </w:rPr>
            </w:pPr>
            <w:r>
              <w:rPr>
                <w:rFonts w:ascii="Times New Roman" w:hAnsi="Times New Roman" w:eastAsia="宋体" w:cs="Times New Roman"/>
              </w:rPr>
              <w:t>找出净人为排放（人为影响 - 自然本底值）。</w:t>
            </w:r>
          </w:p>
        </w:tc>
        <w:tc>
          <w:tcPr>
            <w:tcW w:w="0" w:type="auto"/>
            <w:tcMar>
              <w:top w:w="30" w:type="dxa"/>
              <w:left w:w="0" w:type="dxa"/>
              <w:bottom w:w="30" w:type="dxa"/>
              <w:right w:w="0" w:type="dxa"/>
            </w:tcMar>
            <w:vAlign w:val="center"/>
          </w:tcPr>
          <w:p w14:paraId="5D2A5581">
            <w:pPr>
              <w:rPr>
                <w:rFonts w:ascii="Times New Roman" w:hAnsi="Times New Roman" w:eastAsia="宋体" w:cs="Times New Roman"/>
              </w:rPr>
            </w:pPr>
            <w:r>
              <w:rPr>
                <w:rFonts w:ascii="Times New Roman" w:hAnsi="Times New Roman" w:eastAsia="宋体" w:cs="Times New Roman"/>
              </w:rPr>
              <w:t>报告管理土地上的总排放/清除。</w:t>
            </w:r>
          </w:p>
        </w:tc>
      </w:tr>
      <w:tr w14:paraId="2C5AC9B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0" w:type="dxa"/>
          </w:tblCellMar>
        </w:tblPrEx>
        <w:trPr>
          <w:trHeight w:val="20" w:hRule="atLeast"/>
          <w:jc w:val="center"/>
        </w:trPr>
        <w:tc>
          <w:tcPr>
            <w:tcW w:w="0" w:type="auto"/>
            <w:tcMar>
              <w:top w:w="30" w:type="dxa"/>
              <w:left w:w="45" w:type="dxa"/>
              <w:bottom w:w="30" w:type="dxa"/>
              <w:right w:w="45" w:type="dxa"/>
            </w:tcMar>
            <w:vAlign w:val="center"/>
          </w:tcPr>
          <w:p w14:paraId="0F007A30">
            <w:pPr>
              <w:jc w:val="center"/>
              <w:rPr>
                <w:rFonts w:ascii="Times New Roman" w:hAnsi="Times New Roman" w:eastAsia="宋体" w:cs="Times New Roman"/>
              </w:rPr>
            </w:pPr>
            <w:r>
              <w:rPr>
                <w:rFonts w:ascii="Times New Roman" w:hAnsi="Times New Roman" w:eastAsia="宋体" w:cs="Times New Roman"/>
              </w:rPr>
              <w:t>前提</w:t>
            </w:r>
          </w:p>
        </w:tc>
        <w:tc>
          <w:tcPr>
            <w:tcW w:w="0" w:type="auto"/>
            <w:tcMar>
              <w:top w:w="30" w:type="dxa"/>
              <w:left w:w="45" w:type="dxa"/>
              <w:bottom w:w="30" w:type="dxa"/>
              <w:right w:w="45" w:type="dxa"/>
            </w:tcMar>
            <w:vAlign w:val="center"/>
          </w:tcPr>
          <w:p w14:paraId="205C2DED">
            <w:pPr>
              <w:rPr>
                <w:rFonts w:ascii="Times New Roman" w:hAnsi="Times New Roman" w:eastAsia="宋体" w:cs="Times New Roman"/>
              </w:rPr>
            </w:pPr>
            <w:r>
              <w:rPr>
                <w:rFonts w:ascii="Times New Roman" w:hAnsi="Times New Roman" w:eastAsia="宋体" w:cs="Times New Roman"/>
              </w:rPr>
              <w:t>假设该土地在无人为干预下，其排放和清除处于自然平衡状态（净影响为零）。</w:t>
            </w:r>
          </w:p>
        </w:tc>
        <w:tc>
          <w:tcPr>
            <w:tcW w:w="0" w:type="auto"/>
            <w:tcMar>
              <w:top w:w="30" w:type="dxa"/>
              <w:left w:w="0" w:type="dxa"/>
              <w:bottom w:w="30" w:type="dxa"/>
              <w:right w:w="0" w:type="dxa"/>
            </w:tcMar>
            <w:vAlign w:val="center"/>
          </w:tcPr>
          <w:p w14:paraId="0B5A9034">
            <w:pPr>
              <w:rPr>
                <w:rFonts w:ascii="Times New Roman" w:hAnsi="Times New Roman" w:eastAsia="宋体" w:cs="Times New Roman"/>
              </w:rPr>
            </w:pPr>
            <w:r>
              <w:rPr>
                <w:rFonts w:ascii="Times New Roman" w:hAnsi="Times New Roman" w:eastAsia="宋体" w:cs="Times New Roman"/>
              </w:rPr>
              <w:t>假设对该土地的管理行为，即代表了排放/清除的“人为”属性。</w:t>
            </w:r>
          </w:p>
        </w:tc>
      </w:tr>
      <w:tr w14:paraId="0F4A729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0" w:type="dxa"/>
            <w:bottom w:w="0" w:type="dxa"/>
            <w:right w:w="0" w:type="dxa"/>
          </w:tblCellMar>
        </w:tblPrEx>
        <w:trPr>
          <w:trHeight w:val="20" w:hRule="atLeast"/>
          <w:jc w:val="center"/>
        </w:trPr>
        <w:tc>
          <w:tcPr>
            <w:tcW w:w="0" w:type="auto"/>
            <w:tcMar>
              <w:top w:w="30" w:type="dxa"/>
              <w:left w:w="45" w:type="dxa"/>
              <w:bottom w:w="30" w:type="dxa"/>
              <w:right w:w="45" w:type="dxa"/>
            </w:tcMar>
            <w:vAlign w:val="center"/>
          </w:tcPr>
          <w:p w14:paraId="31F985D7">
            <w:pPr>
              <w:jc w:val="center"/>
              <w:rPr>
                <w:rFonts w:ascii="Times New Roman" w:hAnsi="Times New Roman" w:eastAsia="宋体" w:cs="Times New Roman"/>
              </w:rPr>
            </w:pPr>
            <w:r>
              <w:rPr>
                <w:rFonts w:ascii="Times New Roman" w:hAnsi="Times New Roman" w:eastAsia="宋体" w:cs="Times New Roman"/>
              </w:rPr>
              <w:t>关键区别</w:t>
            </w:r>
          </w:p>
        </w:tc>
        <w:tc>
          <w:tcPr>
            <w:tcW w:w="0" w:type="auto"/>
            <w:tcMar>
              <w:top w:w="30" w:type="dxa"/>
              <w:left w:w="45" w:type="dxa"/>
              <w:bottom w:w="30" w:type="dxa"/>
              <w:right w:w="45" w:type="dxa"/>
            </w:tcMar>
            <w:vAlign w:val="center"/>
          </w:tcPr>
          <w:p w14:paraId="4C905575">
            <w:pPr>
              <w:rPr>
                <w:rFonts w:ascii="Times New Roman" w:hAnsi="Times New Roman" w:eastAsia="宋体" w:cs="Times New Roman"/>
              </w:rPr>
            </w:pPr>
            <w:r>
              <w:rPr>
                <w:rFonts w:ascii="Times New Roman" w:hAnsi="Times New Roman" w:eastAsia="宋体" w:cs="Times New Roman"/>
              </w:rPr>
              <w:t>水淹地：如果水库在未修建前（自然河流/湿地状态下）也在排放 CH</w:t>
            </w:r>
            <w:r>
              <w:rPr>
                <w:rFonts w:hint="eastAsia" w:ascii="Times New Roman" w:hAnsi="Times New Roman" w:eastAsia="宋体" w:cs="Times New Roman"/>
                <w:vertAlign w:val="subscript"/>
              </w:rPr>
              <w:t>4</w:t>
            </w:r>
            <w:r>
              <w:rPr>
                <w:rFonts w:ascii="Times New Roman" w:hAnsi="Times New Roman" w:eastAsia="宋体" w:cs="Times New Roman"/>
              </w:rPr>
              <w:t>，理论上需扣除这部分排放。</w:t>
            </w:r>
          </w:p>
        </w:tc>
        <w:tc>
          <w:tcPr>
            <w:tcW w:w="0" w:type="auto"/>
            <w:tcMar>
              <w:top w:w="30" w:type="dxa"/>
              <w:left w:w="0" w:type="dxa"/>
              <w:bottom w:w="30" w:type="dxa"/>
              <w:right w:w="0" w:type="dxa"/>
            </w:tcMar>
            <w:vAlign w:val="center"/>
          </w:tcPr>
          <w:p w14:paraId="582B46DD">
            <w:pPr>
              <w:rPr>
                <w:rFonts w:ascii="Times New Roman" w:hAnsi="Times New Roman" w:eastAsia="宋体" w:cs="Times New Roman"/>
              </w:rPr>
            </w:pPr>
            <w:r>
              <w:rPr>
                <w:rFonts w:ascii="Times New Roman" w:hAnsi="Times New Roman" w:eastAsia="宋体" w:cs="Times New Roman"/>
              </w:rPr>
              <w:t>水淹地：只需核算水库（水淹地）的总排放。IPCC默认这总排放即是人为管理的后果。</w:t>
            </w:r>
          </w:p>
        </w:tc>
      </w:tr>
    </w:tbl>
    <w:p w14:paraId="4FA4B1CD">
      <w:pPr>
        <w:spacing w:line="360" w:lineRule="auto"/>
        <w:ind w:firstLine="480" w:firstLineChars="200"/>
        <w:rPr>
          <w:rFonts w:ascii="Times New Roman" w:hAnsi="Times New Roman" w:eastAsia="宋体" w:cs="Times New Roman"/>
          <w:sz w:val="24"/>
          <w:szCs w:val="24"/>
        </w:rPr>
      </w:pPr>
    </w:p>
    <w:p w14:paraId="6DB98868">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尽管MLP原则将所有管理地排放视为人为排放，但IPCC也为水淹地提供了一个可选的“指示性人为排放部分”（Indicative Anthropogenic Component）方法：</w:t>
      </w:r>
    </w:p>
    <w:p w14:paraId="48201CD0">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核算两套数据：清单编制者应首先且必须报告基于MLP原则的总排放量（即所有水淹地的排放）。</w:t>
      </w:r>
    </w:p>
    <w:p w14:paraId="22E1EBB7">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可选的背景值调整：清单编制者可以选择计算指示性的人为排放组分，即从水淹地总排放中，减去未管理水体（如水库建成前自然存在的湖泊、河流）的排放，形成“温室气体净排放量”。这部分调整是为了提高透明度，但并非所有国家都必须进行。</w:t>
      </w:r>
    </w:p>
    <w:p w14:paraId="2E7AB465">
      <w:pPr>
        <w:spacing w:before="312" w:beforeLines="100" w:line="360" w:lineRule="auto"/>
        <w:rPr>
          <w:rFonts w:ascii="Times New Roman" w:hAnsi="Times New Roman" w:eastAsia="黑体" w:cs="Times New Roman"/>
          <w:sz w:val="28"/>
          <w:szCs w:val="28"/>
        </w:rPr>
      </w:pPr>
      <w:r>
        <w:rPr>
          <w:rFonts w:ascii="Times New Roman" w:hAnsi="Times New Roman" w:eastAsia="黑体" w:cs="Times New Roman"/>
          <w:sz w:val="28"/>
          <w:szCs w:val="28"/>
        </w:rPr>
        <w:t>4. 水淹地温室气体排放</w:t>
      </w:r>
      <w:r>
        <w:rPr>
          <w:rFonts w:hint="eastAsia" w:ascii="Times New Roman" w:hAnsi="Times New Roman" w:eastAsia="黑体" w:cs="Times New Roman"/>
          <w:sz w:val="28"/>
          <w:szCs w:val="28"/>
        </w:rPr>
        <w:t>核算的基本</w:t>
      </w:r>
      <w:r>
        <w:rPr>
          <w:rFonts w:ascii="Times New Roman" w:hAnsi="Times New Roman" w:eastAsia="黑体" w:cs="Times New Roman"/>
          <w:sz w:val="28"/>
          <w:szCs w:val="28"/>
        </w:rPr>
        <w:t>流程</w:t>
      </w:r>
    </w:p>
    <w:p w14:paraId="0738458A">
      <w:pPr>
        <w:keepNext w:val="0"/>
        <w:keepLines w:val="0"/>
        <w:pageBreakBefore w:val="0"/>
        <w:widowControl w:val="0"/>
        <w:numPr>
          <w:numId w:val="0"/>
        </w:numPr>
        <w:kinsoku/>
        <w:wordWrap/>
        <w:overflowPunct/>
        <w:topLinePunct w:val="0"/>
        <w:autoSpaceDE/>
        <w:autoSpaceDN/>
        <w:bidi w:val="0"/>
        <w:adjustRightInd/>
        <w:snapToGrid/>
        <w:spacing w:before="157" w:beforeLines="50" w:line="360" w:lineRule="auto"/>
        <w:ind w:leftChars="0"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核算水淹地的温室气体排放</w:t>
      </w:r>
      <w:r>
        <w:rPr>
          <w:rFonts w:hint="eastAsia" w:ascii="Times New Roman" w:hAnsi="Times New Roman" w:eastAsia="宋体" w:cs="Times New Roman"/>
          <w:sz w:val="24"/>
          <w:szCs w:val="24"/>
        </w:rPr>
        <w:t>的基本</w:t>
      </w:r>
      <w:r>
        <w:rPr>
          <w:rFonts w:ascii="Times New Roman" w:hAnsi="Times New Roman" w:eastAsia="宋体" w:cs="Times New Roman"/>
          <w:sz w:val="24"/>
          <w:szCs w:val="24"/>
        </w:rPr>
        <w:t>逻辑是：</w:t>
      </w:r>
    </w:p>
    <w:p w14:paraId="14D066B3">
      <w:pPr>
        <w:keepNext w:val="0"/>
        <w:keepLines w:val="0"/>
        <w:pageBreakBefore w:val="0"/>
        <w:widowControl w:val="0"/>
        <w:numPr>
          <w:numId w:val="0"/>
        </w:numPr>
        <w:kinsoku/>
        <w:wordWrap/>
        <w:overflowPunct/>
        <w:topLinePunct w:val="0"/>
        <w:autoSpaceDE/>
        <w:autoSpaceDN/>
        <w:bidi w:val="0"/>
        <w:adjustRightInd/>
        <w:snapToGrid/>
        <w:spacing w:before="157" w:beforeLines="50" w:line="360" w:lineRule="auto"/>
        <w:ind w:leftChars="0" w:firstLine="482" w:firstLineChars="200"/>
        <w:textAlignment w:val="auto"/>
        <w:rPr>
          <w:rFonts w:ascii="Times New Roman" w:hAnsi="Times New Roman" w:eastAsia="宋体" w:cs="Times New Roman"/>
          <w:sz w:val="24"/>
          <w:szCs w:val="24"/>
        </w:rPr>
      </w:pPr>
      <w:r>
        <w:rPr>
          <w:rFonts w:ascii="Times New Roman" w:hAnsi="Times New Roman" w:eastAsia="宋体" w:cs="Times New Roman"/>
          <w:b/>
          <w:bCs/>
          <w:sz w:val="24"/>
          <w:szCs w:val="24"/>
        </w:rPr>
        <w:t>总排放量 = 活动数据 (Activity Data, AD) × 排放因子 (Emission Factor, EF)</w:t>
      </w:r>
    </w:p>
    <w:p w14:paraId="1A009C69">
      <w:pPr>
        <w:keepNext w:val="0"/>
        <w:keepLines w:val="0"/>
        <w:pageBreakBefore w:val="0"/>
        <w:widowControl w:val="0"/>
        <w:numPr>
          <w:numId w:val="0"/>
        </w:numPr>
        <w:kinsoku/>
        <w:wordWrap/>
        <w:overflowPunct/>
        <w:topLinePunct w:val="0"/>
        <w:autoSpaceDE/>
        <w:autoSpaceDN/>
        <w:bidi w:val="0"/>
        <w:adjustRightInd/>
        <w:snapToGrid/>
        <w:spacing w:before="157" w:beforeLines="50" w:line="360" w:lineRule="auto"/>
        <w:ind w:leftChars="0"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对于水淹地来说，这个流程可以分解为以下几个关键步骤：</w:t>
      </w:r>
    </w:p>
    <w:p w14:paraId="247D2CE5">
      <w:pPr>
        <w:keepNext w:val="0"/>
        <w:keepLines w:val="0"/>
        <w:pageBreakBefore w:val="0"/>
        <w:widowControl w:val="0"/>
        <w:numPr>
          <w:numId w:val="0"/>
        </w:numPr>
        <w:kinsoku/>
        <w:wordWrap/>
        <w:overflowPunct/>
        <w:topLinePunct w:val="0"/>
        <w:autoSpaceDE/>
        <w:autoSpaceDN/>
        <w:bidi w:val="0"/>
        <w:adjustRightInd/>
        <w:snapToGrid/>
        <w:spacing w:before="157" w:beforeLines="50" w:line="360" w:lineRule="auto"/>
        <w:ind w:leftChars="0"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第1步：分类 (Categorization)</w:t>
      </w:r>
    </w:p>
    <w:p w14:paraId="7130069F">
      <w:pPr>
        <w:keepNext w:val="0"/>
        <w:keepLines w:val="0"/>
        <w:pageBreakBefore w:val="0"/>
        <w:widowControl w:val="0"/>
        <w:numPr>
          <w:numId w:val="0"/>
        </w:numPr>
        <w:kinsoku/>
        <w:wordWrap/>
        <w:overflowPunct/>
        <w:topLinePunct w:val="0"/>
        <w:autoSpaceDE/>
        <w:autoSpaceDN/>
        <w:bidi w:val="0"/>
        <w:adjustRightInd/>
        <w:snapToGrid/>
        <w:spacing w:before="157" w:beforeLines="50" w:line="360" w:lineRule="auto"/>
        <w:ind w:leftChars="0" w:firstLine="480" w:firstLineChars="200"/>
        <w:textAlignment w:val="auto"/>
        <w:rPr>
          <w:rFonts w:ascii="Times New Roman" w:hAnsi="Times New Roman" w:eastAsia="宋体" w:cs="Times New Roman"/>
          <w:sz w:val="24"/>
          <w:szCs w:val="24"/>
          <w:highlight w:val="none"/>
        </w:rPr>
      </w:pPr>
      <w:r>
        <w:rPr>
          <w:rFonts w:ascii="Times New Roman" w:hAnsi="Times New Roman" w:eastAsia="宋体" w:cs="Times New Roman"/>
          <w:sz w:val="24"/>
          <w:szCs w:val="24"/>
          <w:highlight w:val="none"/>
        </w:rPr>
        <w:t>首先，需要</w:t>
      </w:r>
      <w:r>
        <w:rPr>
          <w:rFonts w:hint="eastAsia" w:ascii="Times New Roman" w:hAnsi="Times New Roman" w:eastAsia="宋体" w:cs="Times New Roman"/>
          <w:sz w:val="24"/>
          <w:szCs w:val="24"/>
          <w:highlight w:val="none"/>
        </w:rPr>
        <w:t>首先</w:t>
      </w:r>
      <w:r>
        <w:rPr>
          <w:rFonts w:ascii="Times New Roman" w:hAnsi="Times New Roman" w:eastAsia="宋体" w:cs="Times New Roman"/>
          <w:sz w:val="24"/>
          <w:szCs w:val="24"/>
          <w:highlight w:val="none"/>
        </w:rPr>
        <w:t>判断</w:t>
      </w:r>
      <w:r>
        <w:rPr>
          <w:rFonts w:hint="eastAsia" w:ascii="Times New Roman" w:hAnsi="Times New Roman" w:eastAsia="宋体" w:cs="Times New Roman"/>
          <w:sz w:val="24"/>
          <w:szCs w:val="24"/>
          <w:highlight w:val="none"/>
        </w:rPr>
        <w:t>针对的土地利用类型</w:t>
      </w:r>
      <w:r>
        <w:rPr>
          <w:rFonts w:ascii="Times New Roman" w:hAnsi="Times New Roman" w:eastAsia="宋体" w:cs="Times New Roman"/>
          <w:sz w:val="24"/>
          <w:szCs w:val="24"/>
          <w:highlight w:val="none"/>
        </w:rPr>
        <w:t>是否属于“水淹地”。如果它是人工建造的（如池塘、运河），或者是一个自然水体但被人类活动显著改变（例如，水库大坝导致表面积增加&gt;10%），它就需要被核算。</w:t>
      </w:r>
    </w:p>
    <w:p w14:paraId="5A7AF783">
      <w:pPr>
        <w:keepNext w:val="0"/>
        <w:keepLines w:val="0"/>
        <w:pageBreakBefore w:val="0"/>
        <w:widowControl w:val="0"/>
        <w:numPr>
          <w:numId w:val="0"/>
        </w:numPr>
        <w:kinsoku/>
        <w:wordWrap/>
        <w:overflowPunct/>
        <w:topLinePunct w:val="0"/>
        <w:autoSpaceDE/>
        <w:autoSpaceDN/>
        <w:bidi w:val="0"/>
        <w:adjustRightInd/>
        <w:snapToGrid/>
        <w:spacing w:before="157" w:beforeLines="50" w:line="360" w:lineRule="auto"/>
        <w:ind w:leftChars="0"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第2步：定年 (Age Classification)</w:t>
      </w:r>
    </w:p>
    <w:p w14:paraId="3A76347B">
      <w:pPr>
        <w:keepNext w:val="0"/>
        <w:keepLines w:val="0"/>
        <w:pageBreakBefore w:val="0"/>
        <w:widowControl w:val="0"/>
        <w:numPr>
          <w:numId w:val="0"/>
        </w:numPr>
        <w:kinsoku/>
        <w:wordWrap/>
        <w:overflowPunct/>
        <w:topLinePunct w:val="0"/>
        <w:autoSpaceDE/>
        <w:autoSpaceDN/>
        <w:bidi w:val="0"/>
        <w:adjustRightInd/>
        <w:snapToGrid/>
        <w:spacing w:before="157" w:beforeLines="50" w:line="360" w:lineRule="auto"/>
        <w:ind w:leftChars="0"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这是核算水库时最关键的一步。IPCC根据水库的“年龄”将其分为两类：</w:t>
      </w:r>
    </w:p>
    <w:p w14:paraId="63C82EFE">
      <w:pPr>
        <w:keepNext w:val="0"/>
        <w:keepLines w:val="0"/>
        <w:pageBreakBefore w:val="0"/>
        <w:widowControl w:val="0"/>
        <w:numPr>
          <w:numId w:val="0"/>
        </w:numPr>
        <w:kinsoku/>
        <w:wordWrap/>
        <w:overflowPunct/>
        <w:topLinePunct w:val="0"/>
        <w:autoSpaceDE/>
        <w:autoSpaceDN/>
        <w:bidi w:val="0"/>
        <w:adjustRightInd/>
        <w:snapToGrid/>
        <w:spacing w:before="157" w:beforeLines="50" w:line="360" w:lineRule="auto"/>
        <w:ind w:leftChars="0" w:firstLine="482" w:firstLineChars="200"/>
        <w:textAlignment w:val="auto"/>
        <w:rPr>
          <w:rFonts w:ascii="Times New Roman" w:hAnsi="Times New Roman" w:eastAsia="宋体" w:cs="Times New Roman"/>
          <w:sz w:val="24"/>
          <w:szCs w:val="24"/>
        </w:rPr>
      </w:pPr>
      <w:r>
        <w:rPr>
          <w:rFonts w:ascii="Times New Roman" w:hAnsi="Times New Roman" w:eastAsia="宋体" w:cs="Times New Roman"/>
          <w:b/>
          <w:bCs/>
          <w:sz w:val="24"/>
          <w:szCs w:val="24"/>
        </w:rPr>
        <w:t>土地转化为水淹地 (Land Converted to Flooded Land)</w:t>
      </w:r>
      <w:r>
        <w:rPr>
          <w:rFonts w:ascii="Times New Roman" w:hAnsi="Times New Roman" w:eastAsia="宋体" w:cs="Times New Roman"/>
          <w:sz w:val="24"/>
          <w:szCs w:val="24"/>
        </w:rPr>
        <w:t xml:space="preserve">：指 </w:t>
      </w:r>
      <w:r>
        <w:rPr>
          <w:rFonts w:hint="eastAsia" w:ascii="Times New Roman" w:hAnsi="Times New Roman" w:eastAsia="宋体" w:cs="Times New Roman"/>
          <w:sz w:val="24"/>
          <w:szCs w:val="24"/>
        </w:rPr>
        <w:t>库龄</w:t>
      </w:r>
      <w:r>
        <w:rPr>
          <w:rFonts w:hint="eastAsia" w:ascii="微软雅黑" w:hAnsi="微软雅黑" w:eastAsia="微软雅黑" w:cs="Times New Roman"/>
          <w:sz w:val="24"/>
          <w:szCs w:val="24"/>
        </w:rPr>
        <w:t>≤</w:t>
      </w:r>
      <w:r>
        <w:rPr>
          <w:rFonts w:ascii="Times New Roman" w:hAnsi="Times New Roman" w:eastAsia="宋体" w:cs="Times New Roman"/>
          <w:sz w:val="24"/>
          <w:szCs w:val="24"/>
        </w:rPr>
        <w:t>20年的</w:t>
      </w:r>
      <w:r>
        <w:rPr>
          <w:rFonts w:hint="eastAsia" w:ascii="Times New Roman" w:hAnsi="Times New Roman" w:eastAsia="宋体" w:cs="Times New Roman"/>
          <w:sz w:val="24"/>
          <w:szCs w:val="24"/>
          <w:lang w:val="en-US" w:eastAsia="zh-CN"/>
        </w:rPr>
        <w:t>新建</w:t>
      </w:r>
      <w:r>
        <w:rPr>
          <w:rFonts w:ascii="Times New Roman" w:hAnsi="Times New Roman" w:eastAsia="宋体" w:cs="Times New Roman"/>
          <w:sz w:val="24"/>
          <w:szCs w:val="24"/>
        </w:rPr>
        <w:t>水库。</w:t>
      </w:r>
    </w:p>
    <w:p w14:paraId="11BFBE16">
      <w:pPr>
        <w:keepNext w:val="0"/>
        <w:keepLines w:val="0"/>
        <w:pageBreakBefore w:val="0"/>
        <w:widowControl w:val="0"/>
        <w:numPr>
          <w:numId w:val="0"/>
        </w:numPr>
        <w:kinsoku/>
        <w:wordWrap/>
        <w:overflowPunct/>
        <w:topLinePunct w:val="0"/>
        <w:autoSpaceDE/>
        <w:autoSpaceDN/>
        <w:bidi w:val="0"/>
        <w:adjustRightInd/>
        <w:snapToGrid/>
        <w:spacing w:before="157" w:beforeLines="50" w:line="360" w:lineRule="auto"/>
        <w:ind w:leftChars="0" w:firstLine="482" w:firstLineChars="200"/>
        <w:textAlignment w:val="auto"/>
        <w:rPr>
          <w:rFonts w:ascii="Times New Roman" w:hAnsi="Times New Roman" w:eastAsia="宋体" w:cs="Times New Roman"/>
          <w:sz w:val="24"/>
          <w:szCs w:val="24"/>
        </w:rPr>
      </w:pPr>
      <w:r>
        <w:rPr>
          <w:rFonts w:ascii="Times New Roman" w:hAnsi="Times New Roman" w:eastAsia="宋体" w:cs="Times New Roman"/>
          <w:b/>
          <w:bCs/>
          <w:sz w:val="24"/>
          <w:szCs w:val="24"/>
        </w:rPr>
        <w:t>水淹地保持为水淹地 (Flooded Land Remaining Flooded Land)</w:t>
      </w:r>
      <w:r>
        <w:rPr>
          <w:rFonts w:ascii="Times New Roman" w:hAnsi="Times New Roman" w:eastAsia="宋体" w:cs="Times New Roman"/>
          <w:sz w:val="24"/>
          <w:szCs w:val="24"/>
        </w:rPr>
        <w:t>：指</w:t>
      </w:r>
      <w:r>
        <w:rPr>
          <w:rFonts w:hint="eastAsia" w:ascii="Times New Roman" w:hAnsi="Times New Roman" w:eastAsia="宋体" w:cs="Times New Roman"/>
          <w:sz w:val="24"/>
          <w:szCs w:val="24"/>
        </w:rPr>
        <w:t>库龄</w:t>
      </w:r>
      <w:r>
        <w:rPr>
          <w:rFonts w:ascii="Times New Roman" w:hAnsi="Times New Roman" w:eastAsia="宋体" w:cs="Times New Roman"/>
          <w:sz w:val="24"/>
          <w:szCs w:val="24"/>
        </w:rPr>
        <w:t>&gt; 20年的老水库。</w:t>
      </w:r>
    </w:p>
    <w:p w14:paraId="00E11071">
      <w:pPr>
        <w:keepNext w:val="0"/>
        <w:keepLines w:val="0"/>
        <w:pageBreakBefore w:val="0"/>
        <w:widowControl w:val="0"/>
        <w:numPr>
          <w:numId w:val="0"/>
        </w:numPr>
        <w:kinsoku/>
        <w:wordWrap/>
        <w:overflowPunct/>
        <w:topLinePunct w:val="0"/>
        <w:autoSpaceDE/>
        <w:autoSpaceDN/>
        <w:bidi w:val="0"/>
        <w:adjustRightInd/>
        <w:snapToGrid/>
        <w:spacing w:before="157" w:beforeLines="50" w:line="360" w:lineRule="auto"/>
        <w:ind w:leftChars="0"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其中，“库龄”通常是指水库首次蓄水至正常运行水位之日起，到当前年份所经历的年限，用来区分新建水库与运行多年的老水库，在排放核算中常以“是否超过20年”作为分类依据。</w:t>
      </w:r>
    </w:p>
    <w:p w14:paraId="132720E9">
      <w:pPr>
        <w:keepNext w:val="0"/>
        <w:keepLines w:val="0"/>
        <w:pageBreakBefore w:val="0"/>
        <w:widowControl w:val="0"/>
        <w:numPr>
          <w:numId w:val="0"/>
        </w:numPr>
        <w:kinsoku/>
        <w:wordWrap/>
        <w:overflowPunct/>
        <w:topLinePunct w:val="0"/>
        <w:autoSpaceDE/>
        <w:autoSpaceDN/>
        <w:bidi w:val="0"/>
        <w:adjustRightInd/>
        <w:snapToGrid/>
        <w:spacing w:before="157" w:beforeLines="50" w:line="360" w:lineRule="auto"/>
        <w:ind w:leftChars="0"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第3步：选择层级 (Tier Selection)</w:t>
      </w:r>
    </w:p>
    <w:p w14:paraId="5F265546">
      <w:pPr>
        <w:keepNext w:val="0"/>
        <w:keepLines w:val="0"/>
        <w:pageBreakBefore w:val="0"/>
        <w:widowControl w:val="0"/>
        <w:numPr>
          <w:numId w:val="0"/>
        </w:numPr>
        <w:kinsoku/>
        <w:wordWrap/>
        <w:overflowPunct/>
        <w:topLinePunct w:val="0"/>
        <w:autoSpaceDE/>
        <w:autoSpaceDN/>
        <w:bidi w:val="0"/>
        <w:adjustRightInd/>
        <w:snapToGrid/>
        <w:spacing w:before="157" w:beforeLines="50" w:line="360" w:lineRule="auto"/>
        <w:ind w:leftChars="0"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IPCC提供了三个“层级”（Tiers）的方法，各国根据自身数据可得性、资源和该排放源的重要性来选择。</w:t>
      </w:r>
    </w:p>
    <w:p w14:paraId="5CA234F8">
      <w:pPr>
        <w:keepNext w:val="0"/>
        <w:keepLines w:val="0"/>
        <w:pageBreakBefore w:val="0"/>
        <w:widowControl w:val="0"/>
        <w:numPr>
          <w:numId w:val="0"/>
        </w:numPr>
        <w:kinsoku/>
        <w:wordWrap/>
        <w:overflowPunct/>
        <w:topLinePunct w:val="0"/>
        <w:autoSpaceDE/>
        <w:autoSpaceDN/>
        <w:bidi w:val="0"/>
        <w:adjustRightInd/>
        <w:snapToGrid/>
        <w:spacing w:before="157" w:beforeLines="50" w:line="360" w:lineRule="auto"/>
        <w:ind w:leftChars="0" w:firstLine="482" w:firstLineChars="200"/>
        <w:textAlignment w:val="auto"/>
        <w:rPr>
          <w:rFonts w:ascii="Times New Roman" w:hAnsi="Times New Roman" w:eastAsia="宋体" w:cs="Times New Roman"/>
          <w:sz w:val="24"/>
          <w:szCs w:val="24"/>
        </w:rPr>
      </w:pPr>
      <w:r>
        <w:rPr>
          <w:rFonts w:ascii="Times New Roman" w:hAnsi="Times New Roman" w:eastAsia="宋体" w:cs="Times New Roman"/>
          <w:b/>
          <w:bCs/>
          <w:sz w:val="24"/>
          <w:szCs w:val="24"/>
        </w:rPr>
        <w:t>第4步：收集数据与计算 (Data &amp; Calculation)</w:t>
      </w:r>
    </w:p>
    <w:p w14:paraId="55D7066D">
      <w:pPr>
        <w:keepNext w:val="0"/>
        <w:keepLines w:val="0"/>
        <w:pageBreakBefore w:val="0"/>
        <w:widowControl w:val="0"/>
        <w:numPr>
          <w:numId w:val="0"/>
        </w:numPr>
        <w:kinsoku/>
        <w:wordWrap/>
        <w:overflowPunct/>
        <w:topLinePunct w:val="0"/>
        <w:autoSpaceDE/>
        <w:autoSpaceDN/>
        <w:bidi w:val="0"/>
        <w:adjustRightInd/>
        <w:snapToGrid/>
        <w:spacing w:before="157" w:beforeLines="50" w:line="360" w:lineRule="auto"/>
        <w:ind w:leftChars="0" w:firstLine="482" w:firstLineChars="200"/>
        <w:textAlignment w:val="auto"/>
        <w:rPr>
          <w:rFonts w:ascii="Times New Roman" w:hAnsi="Times New Roman" w:eastAsia="宋体" w:cs="Times New Roman"/>
          <w:sz w:val="24"/>
          <w:szCs w:val="24"/>
        </w:rPr>
      </w:pPr>
      <w:r>
        <w:rPr>
          <w:rFonts w:ascii="Times New Roman" w:hAnsi="Times New Roman" w:eastAsia="宋体" w:cs="Times New Roman"/>
          <w:b/>
          <w:bCs/>
          <w:sz w:val="24"/>
          <w:szCs w:val="24"/>
        </w:rPr>
        <w:t>活动数据</w:t>
      </w:r>
      <w:r>
        <w:rPr>
          <w:rFonts w:hint="eastAsia" w:ascii="Times New Roman" w:hAnsi="Times New Roman" w:eastAsia="宋体" w:cs="Times New Roman"/>
          <w:b/>
          <w:bCs/>
          <w:sz w:val="24"/>
          <w:szCs w:val="24"/>
          <w:lang w:eastAsia="zh-CN"/>
        </w:rPr>
        <w:t>（</w:t>
      </w:r>
      <w:r>
        <w:rPr>
          <w:rFonts w:hint="eastAsia" w:ascii="Times New Roman" w:hAnsi="Times New Roman" w:eastAsia="宋体" w:cs="Times New Roman"/>
          <w:b/>
          <w:bCs/>
          <w:sz w:val="24"/>
          <w:szCs w:val="24"/>
          <w:lang w:val="en-US" w:eastAsia="zh-CN"/>
        </w:rPr>
        <w:t>AD</w:t>
      </w:r>
      <w:r>
        <w:rPr>
          <w:rFonts w:hint="eastAsia" w:ascii="Times New Roman" w:hAnsi="Times New Roman" w:eastAsia="宋体" w:cs="Times New Roman"/>
          <w:b/>
          <w:bCs/>
          <w:sz w:val="24"/>
          <w:szCs w:val="24"/>
          <w:lang w:eastAsia="zh-CN"/>
        </w:rPr>
        <w:t>）</w:t>
      </w:r>
      <w:r>
        <w:rPr>
          <w:rFonts w:ascii="Times New Roman" w:hAnsi="Times New Roman" w:eastAsia="宋体" w:cs="Times New Roman"/>
          <w:sz w:val="24"/>
          <w:szCs w:val="24"/>
        </w:rPr>
        <w:t>：主要是各类水淹地的</w:t>
      </w:r>
      <w:r>
        <w:rPr>
          <w:rFonts w:ascii="Times New Roman" w:hAnsi="Times New Roman" w:eastAsia="宋体" w:cs="Times New Roman"/>
          <w:b/>
          <w:bCs/>
          <w:sz w:val="24"/>
          <w:szCs w:val="24"/>
        </w:rPr>
        <w:t>总面积</w:t>
      </w:r>
      <w:r>
        <w:rPr>
          <w:rFonts w:ascii="Times New Roman" w:hAnsi="Times New Roman" w:eastAsia="宋体" w:cs="Times New Roman"/>
          <w:sz w:val="24"/>
          <w:szCs w:val="24"/>
        </w:rPr>
        <w:t>（单位：</w:t>
      </w:r>
      <w:r>
        <w:rPr>
          <w:rFonts w:hint="eastAsia" w:ascii="Times New Roman" w:hAnsi="Times New Roman" w:eastAsia="宋体" w:cs="Times New Roman"/>
          <w:sz w:val="24"/>
          <w:szCs w:val="24"/>
          <w:lang w:val="en-US" w:eastAsia="zh-CN"/>
        </w:rPr>
        <w:t>公顷（ha）</w:t>
      </w:r>
      <w:r>
        <w:rPr>
          <w:rFonts w:ascii="Times New Roman" w:hAnsi="Times New Roman" w:eastAsia="宋体" w:cs="Times New Roman"/>
          <w:sz w:val="24"/>
          <w:szCs w:val="24"/>
        </w:rPr>
        <w:t>）。</w:t>
      </w:r>
    </w:p>
    <w:p w14:paraId="351E78DD">
      <w:pPr>
        <w:keepNext w:val="0"/>
        <w:keepLines w:val="0"/>
        <w:pageBreakBefore w:val="0"/>
        <w:widowControl w:val="0"/>
        <w:numPr>
          <w:numId w:val="0"/>
        </w:numPr>
        <w:kinsoku/>
        <w:wordWrap/>
        <w:overflowPunct/>
        <w:topLinePunct w:val="0"/>
        <w:autoSpaceDE/>
        <w:autoSpaceDN/>
        <w:bidi w:val="0"/>
        <w:adjustRightInd/>
        <w:snapToGrid/>
        <w:spacing w:before="157" w:beforeLines="50" w:line="360" w:lineRule="auto"/>
        <w:ind w:leftChars="0" w:firstLine="482" w:firstLineChars="200"/>
        <w:textAlignment w:val="auto"/>
        <w:rPr>
          <w:rFonts w:ascii="Times New Roman" w:hAnsi="Times New Roman" w:eastAsia="宋体" w:cs="Times New Roman"/>
          <w:sz w:val="24"/>
          <w:szCs w:val="24"/>
        </w:rPr>
      </w:pPr>
      <w:r>
        <w:rPr>
          <w:rFonts w:ascii="Times New Roman" w:hAnsi="Times New Roman" w:eastAsia="宋体" w:cs="Times New Roman"/>
          <w:b/>
          <w:bCs/>
          <w:sz w:val="24"/>
          <w:szCs w:val="24"/>
        </w:rPr>
        <w:t>排放因子</w:t>
      </w:r>
      <w:r>
        <w:rPr>
          <w:rFonts w:hint="eastAsia" w:ascii="Times New Roman" w:hAnsi="Times New Roman" w:eastAsia="宋体" w:cs="Times New Roman"/>
          <w:b/>
          <w:bCs/>
          <w:sz w:val="24"/>
          <w:szCs w:val="24"/>
          <w:lang w:eastAsia="zh-CN"/>
        </w:rPr>
        <w:t>（</w:t>
      </w:r>
      <w:r>
        <w:rPr>
          <w:rFonts w:hint="eastAsia" w:ascii="Times New Roman" w:hAnsi="Times New Roman" w:eastAsia="宋体" w:cs="Times New Roman"/>
          <w:b/>
          <w:bCs/>
          <w:sz w:val="24"/>
          <w:szCs w:val="24"/>
          <w:lang w:val="en-US" w:eastAsia="zh-CN"/>
        </w:rPr>
        <w:t>EF</w:t>
      </w:r>
      <w:r>
        <w:rPr>
          <w:rFonts w:hint="eastAsia" w:ascii="Times New Roman" w:hAnsi="Times New Roman" w:eastAsia="宋体" w:cs="Times New Roman"/>
          <w:b/>
          <w:bCs/>
          <w:sz w:val="24"/>
          <w:szCs w:val="24"/>
          <w:lang w:eastAsia="zh-CN"/>
        </w:rPr>
        <w:t>）</w:t>
      </w:r>
      <w:r>
        <w:rPr>
          <w:rFonts w:ascii="Times New Roman" w:hAnsi="Times New Roman" w:eastAsia="宋体" w:cs="Times New Roman"/>
          <w:sz w:val="24"/>
          <w:szCs w:val="24"/>
        </w:rPr>
        <w:t>：即单位面积的排放速</w:t>
      </w:r>
      <w:r>
        <w:rPr>
          <w:rFonts w:hint="default" w:ascii="Times New Roman" w:hAnsi="Times New Roman" w:eastAsia="宋体" w:cs="Times New Roman"/>
          <w:sz w:val="24"/>
          <w:szCs w:val="24"/>
        </w:rPr>
        <w:t>率（例如，kg CH</w:t>
      </w:r>
      <w:r>
        <w:rPr>
          <w:rFonts w:hint="default" w:ascii="Times New Roman" w:hAnsi="Times New Roman" w:eastAsia="宋体" w:cs="Times New Roman"/>
          <w:sz w:val="24"/>
          <w:szCs w:val="24"/>
          <w:vertAlign w:val="subscript"/>
        </w:rPr>
        <w:t>4</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ha⁻¹</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yr⁻¹）。</w:t>
      </w:r>
    </w:p>
    <w:p w14:paraId="0434BAD3">
      <w:pPr>
        <w:spacing w:before="312" w:beforeLines="100" w:line="360" w:lineRule="auto"/>
        <w:rPr>
          <w:rFonts w:ascii="Times New Roman" w:hAnsi="Times New Roman" w:eastAsia="黑体" w:cs="Times New Roman"/>
          <w:sz w:val="28"/>
          <w:szCs w:val="28"/>
        </w:rPr>
      </w:pPr>
      <w:r>
        <w:rPr>
          <w:rFonts w:ascii="Times New Roman" w:hAnsi="Times New Roman" w:eastAsia="黑体" w:cs="Times New Roman"/>
          <w:sz w:val="28"/>
          <w:szCs w:val="28"/>
        </w:rPr>
        <w:t>5. 不同层级方法学的对比分析</w:t>
      </w:r>
    </w:p>
    <w:p w14:paraId="48F885B2">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PCC对水淹地温室气体排放采用分层级方法：</w:t>
      </w:r>
    </w:p>
    <w:p w14:paraId="05E634D4">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一级方法</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Tier 1</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使用全球默认排放因子和简化活动数据，保证各国在数据有限时也能给出可比估算；</w:t>
      </w:r>
    </w:p>
    <w:p w14:paraId="343EEBAC">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二级方法</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Tier 2</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建立本国排放因子和关键参数，体现气候带与工程类型差异；</w:t>
      </w:r>
    </w:p>
    <w:p w14:paraId="753F6861">
      <w:pPr>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三级方法</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Tier 3</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依托长期监测、过程模型和高分辨率数据进行精细模拟。</w:t>
      </w:r>
    </w:p>
    <w:p w14:paraId="162B02BD">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方法学</w:t>
      </w:r>
      <w:r>
        <w:rPr>
          <w:rFonts w:hint="eastAsia" w:ascii="Times New Roman" w:hAnsi="Times New Roman" w:eastAsia="宋体" w:cs="Times New Roman"/>
          <w:sz w:val="24"/>
          <w:szCs w:val="24"/>
        </w:rPr>
        <w:t>分级设置遵循“完整、可比、透明、准确”和与数据能力相匹配的原则，将水淹地明确视作人为源，在“面积×排放因子/模型”的统一框架下，鼓励对关键排放源采用更高层级，以提高清单结果的科学性与政策有效性。</w:t>
      </w:r>
    </w:p>
    <w:p w14:paraId="21AE3F26">
      <w:pPr>
        <w:spacing w:line="360" w:lineRule="auto"/>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表3 不同层级方法学的描述</w:t>
      </w:r>
    </w:p>
    <w:tbl>
      <w:tblPr>
        <w:tblStyle w:val="15"/>
        <w:tblW w:w="8736" w:type="dxa"/>
        <w:tblInd w:w="0" w:type="dxa"/>
        <w:tblLayout w:type="autofit"/>
        <w:tblCellMar>
          <w:top w:w="0" w:type="dxa"/>
          <w:left w:w="0" w:type="dxa"/>
          <w:bottom w:w="0" w:type="dxa"/>
          <w:right w:w="0" w:type="dxa"/>
        </w:tblCellMar>
      </w:tblPr>
      <w:tblGrid>
        <w:gridCol w:w="717"/>
        <w:gridCol w:w="1617"/>
        <w:gridCol w:w="1259"/>
        <w:gridCol w:w="2375"/>
        <w:gridCol w:w="2768"/>
      </w:tblGrid>
      <w:tr w14:paraId="34F9F131">
        <w:tblPrEx>
          <w:tblCellMar>
            <w:top w:w="0" w:type="dxa"/>
            <w:left w:w="0" w:type="dxa"/>
            <w:bottom w:w="0" w:type="dxa"/>
            <w:right w:w="0" w:type="dxa"/>
          </w:tblCellMar>
        </w:tblPrEx>
        <w:trPr>
          <w:trHeight w:val="227" w:hRule="atLeast"/>
        </w:trPr>
        <w:tc>
          <w:tcPr>
            <w:tcW w:w="0" w:type="auto"/>
            <w:tcBorders>
              <w:top w:val="single" w:color="000000" w:themeColor="text1" w:sz="6" w:space="0"/>
              <w:left w:val="single" w:color="000000" w:themeColor="text1" w:sz="6" w:space="0"/>
              <w:bottom w:val="single" w:color="000000" w:themeColor="text1" w:sz="4" w:space="0"/>
              <w:right w:val="single" w:color="000000" w:themeColor="text1" w:sz="4" w:space="0"/>
            </w:tcBorders>
            <w:tcMar>
              <w:top w:w="30" w:type="dxa"/>
              <w:left w:w="45" w:type="dxa"/>
              <w:bottom w:w="30" w:type="dxa"/>
              <w:right w:w="45" w:type="dxa"/>
            </w:tcMar>
            <w:vAlign w:val="center"/>
          </w:tcPr>
          <w:p w14:paraId="7C7D5169">
            <w:pPr>
              <w:jc w:val="center"/>
              <w:rPr>
                <w:rFonts w:ascii="Times New Roman" w:hAnsi="Times New Roman" w:eastAsia="宋体" w:cs="Times New Roman"/>
              </w:rPr>
            </w:pPr>
            <w:r>
              <w:rPr>
                <w:rFonts w:ascii="Times New Roman" w:hAnsi="Times New Roman" w:eastAsia="宋体" w:cs="Times New Roman"/>
              </w:rPr>
              <w:t>层级 (Tier)</w:t>
            </w:r>
          </w:p>
        </w:tc>
        <w:tc>
          <w:tcPr>
            <w:tcW w:w="0" w:type="auto"/>
            <w:tcBorders>
              <w:top w:val="single" w:color="000000" w:themeColor="text1" w:sz="6" w:space="0"/>
              <w:left w:val="single" w:color="000000" w:themeColor="text1" w:sz="4" w:space="0"/>
              <w:bottom w:val="single" w:color="000000" w:themeColor="text1" w:sz="4" w:space="0"/>
              <w:right w:val="single" w:color="000000" w:themeColor="text1" w:sz="4" w:space="0"/>
            </w:tcBorders>
            <w:tcMar>
              <w:top w:w="30" w:type="dxa"/>
              <w:left w:w="45" w:type="dxa"/>
              <w:bottom w:w="30" w:type="dxa"/>
              <w:right w:w="45" w:type="dxa"/>
            </w:tcMar>
            <w:vAlign w:val="center"/>
          </w:tcPr>
          <w:p w14:paraId="6EA9188F">
            <w:pPr>
              <w:jc w:val="center"/>
              <w:rPr>
                <w:rFonts w:hint="eastAsia" w:ascii="Times New Roman" w:hAnsi="Times New Roman" w:eastAsia="宋体" w:cs="Times New Roman"/>
                <w:lang w:eastAsia="zh-CN"/>
              </w:rPr>
            </w:pPr>
            <w:r>
              <w:rPr>
                <w:rFonts w:hint="eastAsia" w:ascii="Times New Roman" w:hAnsi="Times New Roman" w:eastAsia="宋体" w:cs="Times New Roman"/>
                <w:lang w:val="en-US" w:eastAsia="zh-CN"/>
              </w:rPr>
              <w:t>特点</w:t>
            </w:r>
          </w:p>
        </w:tc>
        <w:tc>
          <w:tcPr>
            <w:tcW w:w="1259" w:type="dxa"/>
            <w:tcBorders>
              <w:top w:val="single" w:color="000000" w:themeColor="text1" w:sz="6" w:space="0"/>
              <w:left w:val="single" w:color="000000" w:themeColor="text1" w:sz="4" w:space="0"/>
              <w:bottom w:val="single" w:color="000000" w:themeColor="text1" w:sz="4" w:space="0"/>
              <w:right w:val="single" w:color="000000" w:themeColor="text1" w:sz="4" w:space="0"/>
            </w:tcBorders>
            <w:tcMar>
              <w:top w:w="30" w:type="dxa"/>
              <w:left w:w="45" w:type="dxa"/>
              <w:bottom w:w="30" w:type="dxa"/>
              <w:right w:w="45" w:type="dxa"/>
            </w:tcMar>
            <w:vAlign w:val="center"/>
          </w:tcPr>
          <w:p w14:paraId="6F011D72">
            <w:pPr>
              <w:jc w:val="cente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适用范围</w:t>
            </w:r>
          </w:p>
        </w:tc>
        <w:tc>
          <w:tcPr>
            <w:tcW w:w="2375" w:type="dxa"/>
            <w:tcBorders>
              <w:top w:val="single" w:color="000000" w:themeColor="text1" w:sz="6" w:space="0"/>
              <w:left w:val="single" w:color="000000" w:themeColor="text1" w:sz="4" w:space="0"/>
              <w:bottom w:val="single" w:color="000000" w:themeColor="text1" w:sz="4" w:space="0"/>
              <w:right w:val="single" w:color="000000" w:themeColor="text1" w:sz="4" w:space="0"/>
            </w:tcBorders>
            <w:tcMar>
              <w:top w:w="30" w:type="dxa"/>
              <w:left w:w="45" w:type="dxa"/>
              <w:bottom w:w="30" w:type="dxa"/>
              <w:right w:w="45" w:type="dxa"/>
            </w:tcMar>
            <w:vAlign w:val="center"/>
          </w:tcPr>
          <w:p w14:paraId="5E01BFA5">
            <w:pPr>
              <w:jc w:val="cente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核算要求</w:t>
            </w:r>
          </w:p>
        </w:tc>
        <w:tc>
          <w:tcPr>
            <w:tcW w:w="2768" w:type="dxa"/>
            <w:tcBorders>
              <w:top w:val="single" w:color="000000" w:themeColor="text1" w:sz="6" w:space="0"/>
              <w:left w:val="single" w:color="000000" w:themeColor="text1" w:sz="4" w:space="0"/>
              <w:bottom w:val="single" w:color="000000" w:themeColor="text1" w:sz="4" w:space="0"/>
              <w:right w:val="single" w:color="000000" w:themeColor="text1" w:sz="6" w:space="0"/>
            </w:tcBorders>
            <w:tcMar>
              <w:top w:w="30" w:type="dxa"/>
              <w:left w:w="45" w:type="dxa"/>
              <w:bottom w:w="30" w:type="dxa"/>
              <w:right w:w="45" w:type="dxa"/>
            </w:tcMar>
            <w:vAlign w:val="center"/>
          </w:tcPr>
          <w:p w14:paraId="2B080638">
            <w:pPr>
              <w:jc w:val="cente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不确定性</w:t>
            </w:r>
          </w:p>
        </w:tc>
      </w:tr>
      <w:tr w14:paraId="700F397B">
        <w:tblPrEx>
          <w:tblCellMar>
            <w:top w:w="0" w:type="dxa"/>
            <w:left w:w="0" w:type="dxa"/>
            <w:bottom w:w="0" w:type="dxa"/>
            <w:right w:w="0" w:type="dxa"/>
          </w:tblCellMar>
        </w:tblPrEx>
        <w:trPr>
          <w:trHeight w:val="227" w:hRule="atLeast"/>
        </w:trPr>
        <w:tc>
          <w:tcPr>
            <w:tcW w:w="0" w:type="auto"/>
            <w:tcBorders>
              <w:top w:val="single" w:color="000000" w:themeColor="text1" w:sz="4" w:space="0"/>
              <w:left w:val="single" w:color="000000" w:themeColor="text1" w:sz="6" w:space="0"/>
              <w:bottom w:val="single" w:color="000000" w:themeColor="text1" w:sz="4" w:space="0"/>
              <w:right w:val="single" w:color="000000" w:themeColor="text1" w:sz="4" w:space="0"/>
            </w:tcBorders>
            <w:tcMar>
              <w:top w:w="30" w:type="dxa"/>
              <w:left w:w="45" w:type="dxa"/>
              <w:bottom w:w="30" w:type="dxa"/>
              <w:right w:w="45" w:type="dxa"/>
            </w:tcMar>
            <w:vAlign w:val="center"/>
          </w:tcPr>
          <w:p w14:paraId="73A6AEAD">
            <w:pPr>
              <w:jc w:val="center"/>
              <w:rPr>
                <w:rFonts w:ascii="Times New Roman" w:hAnsi="Times New Roman" w:eastAsia="宋体" w:cs="Times New Roman"/>
              </w:rPr>
            </w:pPr>
            <w:r>
              <w:rPr>
                <w:rFonts w:ascii="Times New Roman" w:hAnsi="Times New Roman" w:eastAsia="宋体" w:cs="Times New Roman"/>
              </w:rPr>
              <w:t>Tier 1 (第一层级)</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30" w:type="dxa"/>
              <w:left w:w="45" w:type="dxa"/>
              <w:bottom w:w="30" w:type="dxa"/>
              <w:right w:w="45" w:type="dxa"/>
            </w:tcMar>
            <w:vAlign w:val="center"/>
          </w:tcPr>
          <w:p w14:paraId="5C8826CC">
            <w:pPr>
              <w:jc w:val="center"/>
              <w:rPr>
                <w:rFonts w:ascii="Times New Roman" w:hAnsi="Times New Roman" w:eastAsia="宋体" w:cs="Times New Roman"/>
              </w:rPr>
            </w:pPr>
            <w:r>
              <w:rPr>
                <w:rFonts w:ascii="Times New Roman" w:hAnsi="Times New Roman" w:eastAsia="宋体" w:cs="Times New Roman"/>
              </w:rPr>
              <w:t>采用IPCC默认排放因子与简单“面积×因子”公式，不区分本国气候与工程差异。</w:t>
            </w:r>
          </w:p>
        </w:tc>
        <w:tc>
          <w:tcPr>
            <w:tcW w:w="12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30" w:type="dxa"/>
              <w:left w:w="0" w:type="dxa"/>
              <w:bottom w:w="30" w:type="dxa"/>
              <w:right w:w="0" w:type="dxa"/>
            </w:tcMar>
            <w:vAlign w:val="center"/>
          </w:tcPr>
          <w:p w14:paraId="3F137426">
            <w:pPr>
              <w:jc w:val="center"/>
              <w:rPr>
                <w:rFonts w:ascii="Times New Roman" w:hAnsi="Times New Roman" w:eastAsia="宋体" w:cs="Times New Roman"/>
              </w:rPr>
            </w:pPr>
            <w:r>
              <w:rPr>
                <w:rFonts w:hint="eastAsia" w:ascii="Times New Roman" w:hAnsi="Times New Roman" w:eastAsia="宋体" w:cs="Times New Roman"/>
              </w:rPr>
              <w:t>数据匮乏、排放贡献相对较小或尚未被认定为关键类别的水淹地。</w:t>
            </w:r>
          </w:p>
        </w:tc>
        <w:tc>
          <w:tcPr>
            <w:tcW w:w="23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30" w:type="dxa"/>
              <w:left w:w="0" w:type="dxa"/>
              <w:bottom w:w="30" w:type="dxa"/>
              <w:right w:w="0" w:type="dxa"/>
            </w:tcMar>
            <w:vAlign w:val="center"/>
          </w:tcPr>
          <w:p w14:paraId="2326B515">
            <w:pPr>
              <w:jc w:val="center"/>
              <w:rPr>
                <w:rFonts w:ascii="Times New Roman" w:hAnsi="Times New Roman" w:eastAsia="宋体" w:cs="Times New Roman"/>
              </w:rPr>
            </w:pPr>
            <w:r>
              <w:rPr>
                <w:rFonts w:hint="eastAsia" w:ascii="Times New Roman" w:hAnsi="Times New Roman" w:eastAsia="宋体" w:cs="Times New Roman"/>
              </w:rPr>
              <w:t>获取各类水淹地面积，套用指南默认EF，按气体分别计算，总体满足“可比、可报告”</w:t>
            </w:r>
          </w:p>
        </w:tc>
        <w:tc>
          <w:tcPr>
            <w:tcW w:w="2768" w:type="dxa"/>
            <w:tcBorders>
              <w:top w:val="single" w:color="000000" w:themeColor="text1" w:sz="4" w:space="0"/>
              <w:left w:val="single" w:color="000000" w:themeColor="text1" w:sz="4" w:space="0"/>
              <w:bottom w:val="single" w:color="000000" w:themeColor="text1" w:sz="4" w:space="0"/>
              <w:right w:val="single" w:color="000000" w:themeColor="text1" w:sz="6" w:space="0"/>
            </w:tcBorders>
            <w:tcMar>
              <w:top w:w="30" w:type="dxa"/>
              <w:left w:w="0" w:type="dxa"/>
              <w:bottom w:w="30" w:type="dxa"/>
              <w:right w:w="0" w:type="dxa"/>
            </w:tcMar>
            <w:vAlign w:val="center"/>
          </w:tcPr>
          <w:p w14:paraId="36B8C227">
            <w:pPr>
              <w:jc w:val="center"/>
              <w:rPr>
                <w:rFonts w:ascii="Times New Roman" w:hAnsi="Times New Roman" w:eastAsia="宋体" w:cs="Times New Roman"/>
              </w:rPr>
            </w:pPr>
            <w:r>
              <w:rPr>
                <w:rFonts w:ascii="Times New Roman" w:hAnsi="Times New Roman" w:eastAsia="宋体" w:cs="Times New Roman"/>
              </w:rPr>
              <w:t>最高，仅提供量级估算，难以反映本国真实排放水平。</w:t>
            </w:r>
          </w:p>
        </w:tc>
      </w:tr>
      <w:tr w14:paraId="24143909">
        <w:tblPrEx>
          <w:tblCellMar>
            <w:top w:w="0" w:type="dxa"/>
            <w:left w:w="0" w:type="dxa"/>
            <w:bottom w:w="0" w:type="dxa"/>
            <w:right w:w="0" w:type="dxa"/>
          </w:tblCellMar>
        </w:tblPrEx>
        <w:trPr>
          <w:trHeight w:val="227" w:hRule="atLeast"/>
        </w:trPr>
        <w:tc>
          <w:tcPr>
            <w:tcW w:w="0" w:type="auto"/>
            <w:tcBorders>
              <w:top w:val="single" w:color="000000" w:themeColor="text1" w:sz="4" w:space="0"/>
              <w:left w:val="single" w:color="000000" w:themeColor="text1" w:sz="6" w:space="0"/>
              <w:bottom w:val="single" w:color="000000" w:themeColor="text1" w:sz="4" w:space="0"/>
              <w:right w:val="single" w:color="000000" w:themeColor="text1" w:sz="4" w:space="0"/>
            </w:tcBorders>
            <w:tcMar>
              <w:top w:w="30" w:type="dxa"/>
              <w:left w:w="45" w:type="dxa"/>
              <w:bottom w:w="30" w:type="dxa"/>
              <w:right w:w="45" w:type="dxa"/>
            </w:tcMar>
            <w:vAlign w:val="center"/>
          </w:tcPr>
          <w:p w14:paraId="131D26E3">
            <w:pPr>
              <w:jc w:val="center"/>
              <w:rPr>
                <w:rFonts w:ascii="Times New Roman" w:hAnsi="Times New Roman" w:eastAsia="宋体" w:cs="Times New Roman"/>
              </w:rPr>
            </w:pPr>
            <w:r>
              <w:rPr>
                <w:rFonts w:ascii="Times New Roman" w:hAnsi="Times New Roman" w:eastAsia="宋体" w:cs="Times New Roman"/>
              </w:rPr>
              <w:t>Tier 2 (第二层级)</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30" w:type="dxa"/>
              <w:left w:w="45" w:type="dxa"/>
              <w:bottom w:w="30" w:type="dxa"/>
              <w:right w:w="45" w:type="dxa"/>
            </w:tcMar>
            <w:vAlign w:val="center"/>
          </w:tcPr>
          <w:p w14:paraId="60698809">
            <w:pPr>
              <w:jc w:val="center"/>
              <w:rPr>
                <w:rFonts w:ascii="Times New Roman" w:hAnsi="Times New Roman" w:eastAsia="宋体" w:cs="Times New Roman"/>
              </w:rPr>
            </w:pPr>
            <w:r>
              <w:rPr>
                <w:rFonts w:hint="eastAsia" w:ascii="Times New Roman" w:hAnsi="Times New Roman" w:eastAsia="宋体" w:cs="Times New Roman"/>
              </w:rPr>
              <w:t>使用本国/区域自主建立的排放因子，按气候带、水库类型、营养状态等细分类别。</w:t>
            </w:r>
          </w:p>
        </w:tc>
        <w:tc>
          <w:tcPr>
            <w:tcW w:w="125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30" w:type="dxa"/>
              <w:left w:w="0" w:type="dxa"/>
              <w:bottom w:w="30" w:type="dxa"/>
              <w:right w:w="0" w:type="dxa"/>
            </w:tcMar>
            <w:vAlign w:val="center"/>
          </w:tcPr>
          <w:p w14:paraId="22FB33EC">
            <w:pPr>
              <w:jc w:val="center"/>
              <w:rPr>
                <w:rFonts w:ascii="Times New Roman" w:hAnsi="Times New Roman" w:eastAsia="宋体" w:cs="Times New Roman"/>
              </w:rPr>
            </w:pPr>
            <w:r>
              <w:rPr>
                <w:rFonts w:hint="eastAsia" w:ascii="Times New Roman" w:hAnsi="Times New Roman" w:eastAsia="宋体" w:cs="Times New Roman"/>
              </w:rPr>
              <w:t>对国家清单贡献较大或政策关注度高的水库、水淹地；已有一定监测与基础研究。</w:t>
            </w:r>
          </w:p>
        </w:tc>
        <w:tc>
          <w:tcPr>
            <w:tcW w:w="23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30" w:type="dxa"/>
              <w:left w:w="0" w:type="dxa"/>
              <w:bottom w:w="30" w:type="dxa"/>
              <w:right w:w="0" w:type="dxa"/>
            </w:tcMar>
            <w:vAlign w:val="center"/>
          </w:tcPr>
          <w:p w14:paraId="744D8D55">
            <w:pPr>
              <w:jc w:val="center"/>
              <w:rPr>
                <w:rFonts w:ascii="Times New Roman" w:hAnsi="Times New Roman" w:eastAsia="宋体" w:cs="Times New Roman"/>
              </w:rPr>
            </w:pPr>
            <w:r>
              <w:rPr>
                <w:rFonts w:hint="eastAsia" w:ascii="Times New Roman" w:hAnsi="Times New Roman" w:eastAsia="宋体" w:cs="Times New Roman"/>
              </w:rPr>
              <w:t>建立科学的本地EF、明确分区分型面积数据，加强QA/QC与不确定性评估。</w:t>
            </w:r>
          </w:p>
        </w:tc>
        <w:tc>
          <w:tcPr>
            <w:tcW w:w="2768" w:type="dxa"/>
            <w:tcBorders>
              <w:top w:val="single" w:color="000000" w:themeColor="text1" w:sz="4" w:space="0"/>
              <w:left w:val="single" w:color="000000" w:themeColor="text1" w:sz="4" w:space="0"/>
              <w:bottom w:val="single" w:color="000000" w:themeColor="text1" w:sz="4" w:space="0"/>
              <w:right w:val="single" w:color="000000" w:themeColor="text1" w:sz="6" w:space="0"/>
            </w:tcBorders>
            <w:tcMar>
              <w:top w:w="30" w:type="dxa"/>
              <w:left w:w="0" w:type="dxa"/>
              <w:bottom w:w="30" w:type="dxa"/>
              <w:right w:w="0" w:type="dxa"/>
            </w:tcMar>
            <w:vAlign w:val="center"/>
          </w:tcPr>
          <w:p w14:paraId="1EDF6A41">
            <w:pPr>
              <w:jc w:val="center"/>
              <w:rPr>
                <w:rFonts w:ascii="Times New Roman" w:hAnsi="Times New Roman" w:eastAsia="宋体" w:cs="Times New Roman"/>
              </w:rPr>
            </w:pPr>
            <w:r>
              <w:rPr>
                <w:rFonts w:hint="eastAsia" w:ascii="Times New Roman" w:hAnsi="Times New Roman" w:eastAsia="宋体" w:cs="Times New Roman"/>
              </w:rPr>
              <w:t>中等，明显低于Tier1，可支持定量比较与政策决策。</w:t>
            </w:r>
          </w:p>
        </w:tc>
      </w:tr>
      <w:tr w14:paraId="6B6EF11A">
        <w:tblPrEx>
          <w:tblCellMar>
            <w:top w:w="0" w:type="dxa"/>
            <w:left w:w="0" w:type="dxa"/>
            <w:bottom w:w="0" w:type="dxa"/>
            <w:right w:w="0" w:type="dxa"/>
          </w:tblCellMar>
        </w:tblPrEx>
        <w:trPr>
          <w:trHeight w:val="227" w:hRule="atLeast"/>
        </w:trPr>
        <w:tc>
          <w:tcPr>
            <w:tcW w:w="0" w:type="auto"/>
            <w:tcBorders>
              <w:top w:val="single" w:color="000000" w:themeColor="text1" w:sz="4" w:space="0"/>
              <w:left w:val="single" w:color="000000" w:themeColor="text1" w:sz="6" w:space="0"/>
              <w:bottom w:val="single" w:color="000000" w:themeColor="text1" w:sz="6" w:space="0"/>
              <w:right w:val="single" w:color="000000" w:themeColor="text1" w:sz="4" w:space="0"/>
            </w:tcBorders>
            <w:tcMar>
              <w:top w:w="30" w:type="dxa"/>
              <w:left w:w="45" w:type="dxa"/>
              <w:bottom w:w="30" w:type="dxa"/>
              <w:right w:w="45" w:type="dxa"/>
            </w:tcMar>
            <w:vAlign w:val="center"/>
          </w:tcPr>
          <w:p w14:paraId="36DCE6FC">
            <w:pPr>
              <w:jc w:val="center"/>
              <w:rPr>
                <w:rFonts w:ascii="Times New Roman" w:hAnsi="Times New Roman" w:eastAsia="宋体" w:cs="Times New Roman"/>
              </w:rPr>
            </w:pPr>
            <w:r>
              <w:rPr>
                <w:rFonts w:ascii="Times New Roman" w:hAnsi="Times New Roman" w:eastAsia="宋体" w:cs="Times New Roman"/>
              </w:rPr>
              <w:t>Tier 3 (第三层级)</w:t>
            </w:r>
          </w:p>
        </w:tc>
        <w:tc>
          <w:tcPr>
            <w:tcW w:w="0" w:type="auto"/>
            <w:tcBorders>
              <w:top w:val="single" w:color="000000" w:themeColor="text1" w:sz="4" w:space="0"/>
              <w:left w:val="single" w:color="000000" w:themeColor="text1" w:sz="4" w:space="0"/>
              <w:bottom w:val="single" w:color="000000" w:themeColor="text1" w:sz="6" w:space="0"/>
              <w:right w:val="single" w:color="000000" w:themeColor="text1" w:sz="4" w:space="0"/>
            </w:tcBorders>
            <w:tcMar>
              <w:top w:w="30" w:type="dxa"/>
              <w:left w:w="45" w:type="dxa"/>
              <w:bottom w:w="30" w:type="dxa"/>
              <w:right w:w="45" w:type="dxa"/>
            </w:tcMar>
            <w:vAlign w:val="center"/>
          </w:tcPr>
          <w:p w14:paraId="53962DC8">
            <w:pPr>
              <w:jc w:val="center"/>
              <w:rPr>
                <w:rFonts w:ascii="Times New Roman" w:hAnsi="Times New Roman" w:eastAsia="宋体" w:cs="Times New Roman"/>
              </w:rPr>
            </w:pPr>
            <w:r>
              <w:rPr>
                <w:rFonts w:hint="eastAsia" w:ascii="Times New Roman" w:hAnsi="Times New Roman" w:eastAsia="宋体" w:cs="Times New Roman"/>
              </w:rPr>
              <w:t>采用长期监测网络、过程模型或高分辨率统计模型，对排放进行动态、分过程精细模拟。</w:t>
            </w:r>
          </w:p>
        </w:tc>
        <w:tc>
          <w:tcPr>
            <w:tcW w:w="1259" w:type="dxa"/>
            <w:tcBorders>
              <w:top w:val="single" w:color="000000" w:themeColor="text1" w:sz="4" w:space="0"/>
              <w:left w:val="single" w:color="000000" w:themeColor="text1" w:sz="4" w:space="0"/>
              <w:bottom w:val="single" w:color="000000" w:themeColor="text1" w:sz="6" w:space="0"/>
              <w:right w:val="single" w:color="000000" w:themeColor="text1" w:sz="4" w:space="0"/>
            </w:tcBorders>
            <w:tcMar>
              <w:top w:w="30" w:type="dxa"/>
              <w:left w:w="0" w:type="dxa"/>
              <w:bottom w:w="30" w:type="dxa"/>
              <w:right w:w="0" w:type="dxa"/>
            </w:tcMar>
            <w:vAlign w:val="center"/>
          </w:tcPr>
          <w:p w14:paraId="27212A21">
            <w:pPr>
              <w:jc w:val="center"/>
              <w:rPr>
                <w:rFonts w:ascii="Times New Roman" w:hAnsi="Times New Roman" w:eastAsia="宋体" w:cs="Times New Roman"/>
              </w:rPr>
            </w:pPr>
            <w:r>
              <w:rPr>
                <w:rFonts w:hint="eastAsia" w:ascii="Times New Roman" w:hAnsi="Times New Roman" w:eastAsia="宋体" w:cs="Times New Roman"/>
              </w:rPr>
              <w:t>国家重点水电基地、大型典型库区、需要精准评估减排潜力和项目绩效的关键源。</w:t>
            </w:r>
          </w:p>
        </w:tc>
        <w:tc>
          <w:tcPr>
            <w:tcW w:w="2375" w:type="dxa"/>
            <w:tcBorders>
              <w:top w:val="single" w:color="000000" w:themeColor="text1" w:sz="4" w:space="0"/>
              <w:left w:val="single" w:color="000000" w:themeColor="text1" w:sz="4" w:space="0"/>
              <w:bottom w:val="single" w:color="000000" w:themeColor="text1" w:sz="6" w:space="0"/>
              <w:right w:val="single" w:color="000000" w:themeColor="text1" w:sz="4" w:space="0"/>
            </w:tcBorders>
            <w:tcMar>
              <w:top w:w="30" w:type="dxa"/>
              <w:left w:w="0" w:type="dxa"/>
              <w:bottom w:w="30" w:type="dxa"/>
              <w:right w:w="0" w:type="dxa"/>
            </w:tcMar>
            <w:vAlign w:val="center"/>
          </w:tcPr>
          <w:p w14:paraId="1F4BF9FC">
            <w:pPr>
              <w:jc w:val="center"/>
              <w:rPr>
                <w:rFonts w:ascii="Times New Roman" w:hAnsi="Times New Roman" w:eastAsia="宋体" w:cs="Times New Roman"/>
              </w:rPr>
            </w:pPr>
            <w:r>
              <w:rPr>
                <w:rFonts w:hint="eastAsia" w:ascii="Times New Roman" w:hAnsi="Times New Roman" w:eastAsia="宋体" w:cs="Times New Roman"/>
                <w:lang w:val="en-US" w:eastAsia="zh-CN"/>
              </w:rPr>
              <w:t>需开展</w:t>
            </w:r>
            <w:r>
              <w:rPr>
                <w:rFonts w:hint="eastAsia" w:ascii="Times New Roman" w:hAnsi="Times New Roman" w:eastAsia="宋体" w:cs="Times New Roman"/>
              </w:rPr>
              <w:t>连续观测（含CH</w:t>
            </w:r>
            <w:r>
              <w:rPr>
                <w:rFonts w:hint="eastAsia" w:ascii="Times New Roman" w:hAnsi="Times New Roman" w:eastAsia="宋体" w:cs="Times New Roman"/>
                <w:lang w:val="en-US" w:eastAsia="zh-CN"/>
              </w:rPr>
              <w:t>4</w:t>
            </w:r>
            <w:r>
              <w:rPr>
                <w:rFonts w:hint="eastAsia" w:ascii="Times New Roman" w:hAnsi="Times New Roman" w:eastAsia="宋体" w:cs="Times New Roman"/>
              </w:rPr>
              <w:t>扩散、冒泡、下泄脱气等）、参数校准、模型验证和系统不确定性分析。</w:t>
            </w:r>
          </w:p>
        </w:tc>
        <w:tc>
          <w:tcPr>
            <w:tcW w:w="2768" w:type="dxa"/>
            <w:tcBorders>
              <w:top w:val="single" w:color="000000" w:themeColor="text1" w:sz="4" w:space="0"/>
              <w:left w:val="single" w:color="000000" w:themeColor="text1" w:sz="4" w:space="0"/>
              <w:bottom w:val="single" w:color="000000" w:themeColor="text1" w:sz="6" w:space="0"/>
              <w:right w:val="single" w:color="000000" w:themeColor="text1" w:sz="6" w:space="0"/>
            </w:tcBorders>
            <w:tcMar>
              <w:top w:w="30" w:type="dxa"/>
              <w:left w:w="0" w:type="dxa"/>
              <w:bottom w:w="30" w:type="dxa"/>
              <w:right w:w="0" w:type="dxa"/>
            </w:tcMar>
            <w:vAlign w:val="center"/>
          </w:tcPr>
          <w:p w14:paraId="3D88BA51">
            <w:pPr>
              <w:jc w:val="center"/>
              <w:rPr>
                <w:rFonts w:ascii="Times New Roman" w:hAnsi="Times New Roman" w:eastAsia="宋体" w:cs="Times New Roman"/>
              </w:rPr>
            </w:pPr>
            <w:r>
              <w:rPr>
                <w:rFonts w:hint="eastAsia" w:ascii="Times New Roman" w:hAnsi="Times New Roman" w:eastAsia="宋体" w:cs="Times New Roman"/>
              </w:rPr>
              <w:t>最低，但对数据、技术和管理能力要求最高，需长期投入与透明方法文档。</w:t>
            </w:r>
          </w:p>
        </w:tc>
      </w:tr>
    </w:tbl>
    <w:p w14:paraId="033FF167">
      <w:pPr>
        <w:spacing w:line="360" w:lineRule="auto"/>
        <w:rPr>
          <w:rFonts w:ascii="Times New Roman" w:hAnsi="Times New Roman" w:eastAsia="宋体" w:cs="Times New Roman"/>
          <w:sz w:val="24"/>
          <w:szCs w:val="24"/>
        </w:rPr>
      </w:pPr>
    </w:p>
    <w:p w14:paraId="39324CD3">
      <w:pPr>
        <w:spacing w:before="312" w:beforeLines="100" w:line="360" w:lineRule="auto"/>
        <w:rPr>
          <w:rFonts w:ascii="Times New Roman" w:hAnsi="Times New Roman" w:eastAsia="黑体" w:cs="Times New Roman"/>
          <w:sz w:val="28"/>
          <w:szCs w:val="28"/>
        </w:rPr>
      </w:pPr>
      <w:r>
        <w:rPr>
          <w:rFonts w:ascii="Times New Roman" w:hAnsi="Times New Roman" w:eastAsia="黑体" w:cs="Times New Roman"/>
          <w:sz w:val="28"/>
          <w:szCs w:val="28"/>
        </w:rPr>
        <w:t>6. 第一层级方法学（Tier 1）具体核算详解</w:t>
      </w:r>
    </w:p>
    <w:p w14:paraId="26107342">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Tier 1 是各国开展核算的基础。它虽然简单，但背后有一套严谨的假设和参数。</w:t>
      </w:r>
    </w:p>
    <w:p w14:paraId="6022747B">
      <w:pPr>
        <w:spacing w:line="360" w:lineRule="auto"/>
        <w:rPr>
          <w:rFonts w:ascii="Times New Roman" w:hAnsi="Times New Roman" w:eastAsia="宋体" w:cs="Times New Roman"/>
          <w:b/>
          <w:bCs/>
          <w:sz w:val="24"/>
          <w:szCs w:val="24"/>
        </w:rPr>
      </w:pPr>
      <w:r>
        <w:rPr>
          <w:rFonts w:ascii="Times New Roman" w:hAnsi="Times New Roman" w:eastAsia="宋体" w:cs="Times New Roman"/>
          <w:b/>
          <w:bCs/>
          <w:sz w:val="24"/>
          <w:szCs w:val="24"/>
        </w:rPr>
        <w:t>A. Tier 1 的基本假设</w:t>
      </w:r>
    </w:p>
    <w:p w14:paraId="24DB73CB">
      <w:pPr>
        <w:numPr>
          <w:ilvl w:val="0"/>
          <w:numId w:val="1"/>
        </w:numPr>
        <w:spacing w:line="360" w:lineRule="auto"/>
        <w:rPr>
          <w:rFonts w:ascii="Times New Roman" w:hAnsi="Times New Roman" w:eastAsia="宋体" w:cs="Times New Roman"/>
          <w:sz w:val="24"/>
          <w:szCs w:val="24"/>
        </w:rPr>
      </w:pPr>
      <w:r>
        <w:rPr>
          <w:rFonts w:ascii="Times New Roman" w:hAnsi="Times New Roman" w:eastAsia="宋体" w:cs="Times New Roman"/>
          <w:b/>
          <w:bCs/>
          <w:sz w:val="24"/>
          <w:szCs w:val="24"/>
        </w:rPr>
        <w:t>20年分界</w:t>
      </w:r>
      <w:r>
        <w:rPr>
          <w:rFonts w:ascii="Times New Roman" w:hAnsi="Times New Roman" w:eastAsia="宋体" w:cs="Times New Roman"/>
          <w:sz w:val="24"/>
          <w:szCs w:val="24"/>
        </w:rPr>
        <w:t>：如前所述，水库以20年为界，分为两类，它们使用</w:t>
      </w:r>
      <w:r>
        <w:rPr>
          <w:rFonts w:ascii="Times New Roman" w:hAnsi="Times New Roman" w:eastAsia="宋体" w:cs="Times New Roman"/>
          <w:b/>
          <w:bCs/>
          <w:sz w:val="24"/>
          <w:szCs w:val="24"/>
        </w:rPr>
        <w:t>不同的排放因子</w:t>
      </w:r>
      <w:r>
        <w:rPr>
          <w:rFonts w:ascii="Times New Roman" w:hAnsi="Times New Roman" w:eastAsia="宋体" w:cs="Times New Roman"/>
          <w:sz w:val="24"/>
          <w:szCs w:val="24"/>
        </w:rPr>
        <w:t xml:space="preserve"> </w:t>
      </w:r>
      <w:r>
        <w:rPr>
          <w:rFonts w:ascii="Times New Roman" w:hAnsi="Times New Roman" w:eastAsia="宋体" w:cs="Times New Roman"/>
          <w:sz w:val="24"/>
          <w:szCs w:val="24"/>
          <w:vertAlign w:val="superscript"/>
        </w:rPr>
        <w:t>19</w:t>
      </w:r>
      <w:r>
        <w:rPr>
          <w:rFonts w:ascii="Times New Roman" w:hAnsi="Times New Roman" w:eastAsia="宋体" w:cs="Times New Roman"/>
          <w:sz w:val="24"/>
          <w:szCs w:val="24"/>
        </w:rPr>
        <w:t>。</w:t>
      </w:r>
    </w:p>
    <w:p w14:paraId="11F5F5CF">
      <w:pPr>
        <w:numPr>
          <w:ilvl w:val="0"/>
          <w:numId w:val="1"/>
        </w:numPr>
        <w:spacing w:line="360" w:lineRule="auto"/>
        <w:rPr>
          <w:rFonts w:ascii="Times New Roman" w:hAnsi="Times New Roman" w:eastAsia="宋体" w:cs="Times New Roman"/>
          <w:sz w:val="24"/>
          <w:szCs w:val="24"/>
        </w:rPr>
      </w:pPr>
      <w:r>
        <w:rPr>
          <w:rFonts w:ascii="Times New Roman" w:hAnsi="Times New Roman" w:eastAsia="宋体" w:cs="Times New Roman"/>
          <w:b/>
          <w:bCs/>
          <w:sz w:val="24"/>
          <w:szCs w:val="24"/>
        </w:rPr>
        <w:t>老水库的 CO</w:t>
      </w:r>
      <w:r>
        <w:rPr>
          <w:rFonts w:hint="eastAsia" w:ascii="Times New Roman" w:hAnsi="Times New Roman" w:eastAsia="宋体" w:cs="Times New Roman"/>
          <w:b/>
          <w:bCs/>
          <w:sz w:val="24"/>
          <w:szCs w:val="24"/>
          <w:vertAlign w:val="subscript"/>
          <w:lang w:val="en-US" w:eastAsia="zh-CN"/>
        </w:rPr>
        <w:t>2</w:t>
      </w:r>
      <w:r>
        <w:rPr>
          <w:rFonts w:ascii="Times New Roman" w:hAnsi="Times New Roman" w:eastAsia="宋体" w:cs="Times New Roman"/>
          <w:sz w:val="24"/>
          <w:szCs w:val="24"/>
        </w:rPr>
        <w:t xml:space="preserve">：对于 </w:t>
      </w:r>
      <w:r>
        <w:rPr>
          <w:rFonts w:hint="eastAsia" w:ascii="Times New Roman" w:hAnsi="Times New Roman" w:eastAsia="宋体" w:cs="Times New Roman"/>
          <w:sz w:val="24"/>
          <w:szCs w:val="24"/>
          <w:lang w:val="en-US" w:eastAsia="zh-CN"/>
        </w:rPr>
        <w:t>库龄</w:t>
      </w:r>
      <w:r>
        <w:rPr>
          <w:rFonts w:ascii="Times New Roman" w:hAnsi="Times New Roman" w:eastAsia="宋体" w:cs="Times New Roman"/>
          <w:sz w:val="24"/>
          <w:szCs w:val="24"/>
        </w:rPr>
        <w:t xml:space="preserve">&gt; 20年的老水库（水淹地保持为水淹地），Tier 1 </w:t>
      </w:r>
      <w:r>
        <w:rPr>
          <w:rFonts w:ascii="Times New Roman" w:hAnsi="Times New Roman" w:eastAsia="宋体" w:cs="Times New Roman"/>
          <w:b/>
          <w:bCs/>
          <w:sz w:val="24"/>
          <w:szCs w:val="24"/>
        </w:rPr>
        <w:t>不核算</w:t>
      </w:r>
      <w:r>
        <w:rPr>
          <w:rFonts w:ascii="Times New Roman" w:hAnsi="Times New Roman" w:eastAsia="宋体" w:cs="Times New Roman"/>
          <w:sz w:val="24"/>
          <w:szCs w:val="24"/>
        </w:rPr>
        <w:t>其</w:t>
      </w:r>
      <w:r>
        <w:rPr>
          <w:rFonts w:hint="eastAsia" w:ascii="Times New Roman" w:hAnsi="Times New Roman" w:eastAsia="宋体" w:cs="Times New Roman"/>
          <w:sz w:val="24"/>
          <w:szCs w:val="24"/>
          <w:lang w:val="en-US" w:eastAsia="zh-CN"/>
        </w:rPr>
        <w:t>CO2</w:t>
      </w:r>
      <w:r>
        <w:rPr>
          <w:rFonts w:ascii="Times New Roman" w:hAnsi="Times New Roman" w:eastAsia="宋体" w:cs="Times New Roman"/>
          <w:sz w:val="24"/>
          <w:szCs w:val="24"/>
        </w:rPr>
        <w:t>排放。这是因为IPCC假设其</w:t>
      </w:r>
      <w:r>
        <w:rPr>
          <w:rFonts w:hint="eastAsia" w:ascii="Times New Roman" w:hAnsi="Times New Roman" w:eastAsia="宋体" w:cs="Times New Roman"/>
          <w:sz w:val="24"/>
          <w:szCs w:val="24"/>
          <w:lang w:val="en-US" w:eastAsia="zh-CN"/>
        </w:rPr>
        <w:t>CO2</w:t>
      </w:r>
      <w:r>
        <w:rPr>
          <w:rFonts w:ascii="Times New Roman" w:hAnsi="Times New Roman" w:eastAsia="宋体" w:cs="Times New Roman"/>
          <w:sz w:val="24"/>
          <w:szCs w:val="24"/>
        </w:rPr>
        <w:t>排放主要来自流域输入的新碳，这部分碳已在其他土地利用（如林地、农田）的核算中考虑，为避免重复计算，此处不再计列。</w:t>
      </w:r>
    </w:p>
    <w:p w14:paraId="23E3CF7B">
      <w:pPr>
        <w:numPr>
          <w:ilvl w:val="0"/>
          <w:numId w:val="1"/>
        </w:numPr>
        <w:spacing w:line="360" w:lineRule="auto"/>
        <w:rPr>
          <w:rFonts w:ascii="Times New Roman" w:hAnsi="Times New Roman" w:eastAsia="宋体" w:cs="Times New Roman"/>
          <w:sz w:val="24"/>
          <w:szCs w:val="24"/>
        </w:rPr>
      </w:pPr>
      <w:r>
        <w:rPr>
          <w:rFonts w:hint="eastAsia" w:ascii="Times New Roman" w:hAnsi="Times New Roman" w:eastAsia="宋体" w:cs="Times New Roman"/>
          <w:b/>
          <w:bCs/>
          <w:sz w:val="24"/>
          <w:szCs w:val="24"/>
          <w:lang w:val="en-US" w:eastAsia="zh-CN"/>
        </w:rPr>
        <w:t>N2O</w:t>
      </w:r>
      <w:r>
        <w:rPr>
          <w:rFonts w:ascii="Times New Roman" w:hAnsi="Times New Roman" w:eastAsia="宋体" w:cs="Times New Roman"/>
          <w:sz w:val="24"/>
          <w:szCs w:val="24"/>
        </w:rPr>
        <w:t>：Tier 1 不核算</w:t>
      </w:r>
      <w:r>
        <w:rPr>
          <w:rFonts w:hint="eastAsia" w:ascii="Times New Roman" w:hAnsi="Times New Roman" w:eastAsia="宋体" w:cs="Times New Roman"/>
          <w:sz w:val="24"/>
          <w:szCs w:val="24"/>
          <w:lang w:val="en-US" w:eastAsia="zh-CN"/>
        </w:rPr>
        <w:t>N2O</w:t>
      </w:r>
      <w:r>
        <w:rPr>
          <w:rFonts w:ascii="Times New Roman" w:hAnsi="Times New Roman" w:eastAsia="宋体" w:cs="Times New Roman"/>
          <w:sz w:val="24"/>
          <w:szCs w:val="24"/>
        </w:rPr>
        <w:t>。</w:t>
      </w:r>
    </w:p>
    <w:p w14:paraId="759B6DE2">
      <w:pPr>
        <w:numPr>
          <w:ilvl w:val="0"/>
          <w:numId w:val="1"/>
        </w:numPr>
        <w:spacing w:line="360" w:lineRule="auto"/>
        <w:rPr>
          <w:rFonts w:ascii="Times New Roman" w:hAnsi="Times New Roman" w:eastAsia="宋体" w:cs="Times New Roman"/>
          <w:sz w:val="24"/>
          <w:szCs w:val="24"/>
        </w:rPr>
      </w:pPr>
      <w:r>
        <w:rPr>
          <w:rFonts w:ascii="Times New Roman" w:hAnsi="Times New Roman" w:eastAsia="宋体" w:cs="Times New Roman"/>
          <w:b/>
          <w:bCs/>
          <w:sz w:val="24"/>
          <w:szCs w:val="24"/>
        </w:rPr>
        <w:t>营养状态</w:t>
      </w:r>
      <w:r>
        <w:rPr>
          <w:rFonts w:ascii="Times New Roman" w:hAnsi="Times New Roman" w:eastAsia="宋体" w:cs="Times New Roman"/>
          <w:sz w:val="24"/>
          <w:szCs w:val="24"/>
        </w:rPr>
        <w:t>：Tier 1 默认营养状态调整因子</w:t>
      </w:r>
      <w:r>
        <w:rPr>
          <w:rFonts w:hint="default" w:ascii="Arial" w:hAnsi="Arial" w:eastAsia="宋体" w:cs="Arial"/>
          <w:sz w:val="24"/>
          <w:szCs w:val="24"/>
        </w:rPr>
        <w:t>ɑ</w:t>
      </w:r>
      <w:r>
        <w:rPr>
          <w:rFonts w:ascii="Times New Roman" w:hAnsi="Times New Roman" w:eastAsia="宋体" w:cs="Times New Roman"/>
          <w:sz w:val="24"/>
          <w:szCs w:val="24"/>
        </w:rPr>
        <w:t>= 1.0。</w:t>
      </w:r>
    </w:p>
    <w:p w14:paraId="66D36CE3">
      <w:pPr>
        <w:numPr>
          <w:ilvl w:val="0"/>
          <w:numId w:val="1"/>
        </w:numPr>
        <w:spacing w:line="360" w:lineRule="auto"/>
        <w:rPr>
          <w:rFonts w:ascii="Times New Roman" w:hAnsi="Times New Roman" w:eastAsia="宋体" w:cs="Times New Roman"/>
          <w:sz w:val="24"/>
          <w:szCs w:val="24"/>
        </w:rPr>
      </w:pPr>
      <w:r>
        <w:rPr>
          <w:rFonts w:ascii="Times New Roman" w:hAnsi="Times New Roman" w:eastAsia="宋体" w:cs="Times New Roman"/>
          <w:b/>
          <w:bCs/>
          <w:sz w:val="24"/>
          <w:szCs w:val="24"/>
        </w:rPr>
        <w:t>下游排放</w:t>
      </w:r>
      <w:r>
        <w:rPr>
          <w:rFonts w:ascii="Times New Roman" w:hAnsi="Times New Roman" w:eastAsia="宋体" w:cs="Times New Roman"/>
          <w:sz w:val="24"/>
          <w:szCs w:val="24"/>
        </w:rPr>
        <w:t>：Tier 1 默认水库下游排放（水流通过大坝和涡轮机时释放的</w:t>
      </w:r>
      <w:r>
        <w:rPr>
          <w:rFonts w:hint="eastAsia" w:ascii="Times New Roman" w:hAnsi="Times New Roman" w:eastAsia="宋体" w:cs="Times New Roman"/>
          <w:sz w:val="24"/>
          <w:szCs w:val="24"/>
          <w:lang w:val="en-US" w:eastAsia="zh-CN"/>
        </w:rPr>
        <w:t>CH</w:t>
      </w:r>
      <w:r>
        <w:rPr>
          <w:rFonts w:hint="eastAsia" w:ascii="Times New Roman" w:hAnsi="Times New Roman" w:eastAsia="宋体" w:cs="Times New Roman"/>
          <w:sz w:val="24"/>
          <w:szCs w:val="24"/>
          <w:vertAlign w:val="subscript"/>
          <w:lang w:val="en-US" w:eastAsia="zh-CN"/>
        </w:rPr>
        <w:t>4</w:t>
      </w:r>
      <w:r>
        <w:rPr>
          <w:rFonts w:ascii="Times New Roman" w:hAnsi="Times New Roman" w:eastAsia="宋体" w:cs="Times New Roman"/>
          <w:sz w:val="24"/>
          <w:szCs w:val="24"/>
        </w:rPr>
        <w:t>）与</w:t>
      </w:r>
      <w:r>
        <w:rPr>
          <w:rFonts w:hint="eastAsia" w:ascii="Times New Roman" w:hAnsi="Times New Roman" w:eastAsia="宋体" w:cs="Times New Roman"/>
          <w:sz w:val="24"/>
          <w:szCs w:val="24"/>
          <w:lang w:val="en-US" w:eastAsia="zh-CN"/>
        </w:rPr>
        <w:t>水库</w:t>
      </w:r>
      <w:r>
        <w:rPr>
          <w:rFonts w:ascii="Times New Roman" w:hAnsi="Times New Roman" w:eastAsia="宋体" w:cs="Times New Roman"/>
          <w:sz w:val="24"/>
          <w:szCs w:val="24"/>
        </w:rPr>
        <w:t>水面排放的比例</w:t>
      </w:r>
      <w:r>
        <w:rPr>
          <w:rFonts w:hint="eastAsia" w:ascii="Times New Roman" w:hAnsi="Times New Roman" w:eastAsia="宋体" w:cs="Times New Roman"/>
          <w:sz w:val="24"/>
          <w:szCs w:val="24"/>
          <w:lang w:val="en-US" w:eastAsia="zh-CN"/>
        </w:rPr>
        <w:t>R</w:t>
      </w:r>
      <w:r>
        <w:rPr>
          <w:rFonts w:hint="eastAsia" w:ascii="Times New Roman" w:hAnsi="Times New Roman" w:eastAsia="宋体" w:cs="Times New Roman"/>
          <w:sz w:val="24"/>
          <w:szCs w:val="24"/>
          <w:vertAlign w:val="subscript"/>
          <w:lang w:val="en-US" w:eastAsia="zh-CN"/>
        </w:rPr>
        <w:t>d</w:t>
      </w:r>
      <w:r>
        <w:rPr>
          <w:rFonts w:ascii="Times New Roman" w:hAnsi="Times New Roman" w:eastAsia="宋体" w:cs="Times New Roman"/>
          <w:sz w:val="24"/>
          <w:szCs w:val="24"/>
        </w:rPr>
        <w:t xml:space="preserve"> = 0.09。</w:t>
      </w:r>
    </w:p>
    <w:p w14:paraId="58052EFC">
      <w:pPr>
        <w:spacing w:line="360" w:lineRule="auto"/>
        <w:rPr>
          <w:rFonts w:ascii="Times New Roman" w:hAnsi="Times New Roman" w:eastAsia="宋体" w:cs="Times New Roman"/>
          <w:b/>
          <w:bCs/>
          <w:sz w:val="24"/>
          <w:szCs w:val="24"/>
        </w:rPr>
      </w:pPr>
      <w:r>
        <w:rPr>
          <w:rFonts w:ascii="Times New Roman" w:hAnsi="Times New Roman" w:eastAsia="宋体" w:cs="Times New Roman"/>
          <w:b/>
          <w:bCs/>
          <w:sz w:val="24"/>
          <w:szCs w:val="24"/>
        </w:rPr>
        <w:t>B. Tier 1 的主要公式与参数</w:t>
      </w:r>
    </w:p>
    <w:p w14:paraId="59E8505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Tier 1 的计算是</w:t>
      </w:r>
      <w:r>
        <w:rPr>
          <w:rFonts w:ascii="Times New Roman" w:hAnsi="Times New Roman" w:eastAsia="宋体" w:cs="Times New Roman"/>
          <w:b/>
          <w:bCs/>
          <w:sz w:val="24"/>
          <w:szCs w:val="24"/>
        </w:rPr>
        <w:t>分类别进行的</w:t>
      </w:r>
      <w:r>
        <w:rPr>
          <w:rFonts w:ascii="Times New Roman" w:hAnsi="Times New Roman" w:eastAsia="宋体" w:cs="Times New Roman"/>
          <w:sz w:val="24"/>
          <w:szCs w:val="24"/>
        </w:rPr>
        <w:t>。清单编制者需要将全国的水淹地面积（AD）按照以下类别进行汇总，然后乘以对应的排放因子（EF）。</w:t>
      </w:r>
    </w:p>
    <w:p w14:paraId="405DF3F0">
      <w:pPr>
        <w:spacing w:line="360" w:lineRule="auto"/>
        <w:rPr>
          <w:rFonts w:ascii="Times New Roman" w:hAnsi="Times New Roman" w:eastAsia="宋体" w:cs="Times New Roman"/>
          <w:sz w:val="24"/>
          <w:szCs w:val="24"/>
        </w:rPr>
      </w:pPr>
      <w:r>
        <w:rPr>
          <w:rFonts w:ascii="Times New Roman" w:hAnsi="Times New Roman" w:eastAsia="宋体" w:cs="Times New Roman"/>
          <w:b/>
          <w:bCs/>
          <w:sz w:val="24"/>
          <w:szCs w:val="24"/>
        </w:rPr>
        <w:t>类别 1：水库</w:t>
      </w:r>
      <w:r>
        <w:rPr>
          <w:rFonts w:hint="eastAsia" w:ascii="Times New Roman" w:hAnsi="Times New Roman" w:eastAsia="宋体" w:cs="Times New Roman"/>
          <w:b/>
          <w:bCs/>
          <w:sz w:val="24"/>
          <w:szCs w:val="24"/>
          <w:lang w:val="en-US" w:eastAsia="zh-CN"/>
        </w:rPr>
        <w:t>库龄</w:t>
      </w:r>
      <w:r>
        <w:rPr>
          <w:rFonts w:hint="default" w:ascii="Arial" w:hAnsi="Arial" w:eastAsia="宋体" w:cs="Arial"/>
          <w:b/>
          <w:bCs/>
          <w:sz w:val="24"/>
          <w:szCs w:val="24"/>
          <w:lang w:val="en-US" w:eastAsia="zh-CN"/>
        </w:rPr>
        <w:t>≤</w:t>
      </w:r>
      <w:r>
        <w:rPr>
          <w:rFonts w:hint="eastAsia" w:ascii="Times New Roman" w:hAnsi="Times New Roman" w:eastAsia="宋体" w:cs="Times New Roman"/>
          <w:b/>
          <w:bCs/>
          <w:sz w:val="24"/>
          <w:szCs w:val="24"/>
          <w:lang w:val="en-US" w:eastAsia="zh-CN"/>
        </w:rPr>
        <w:t>20</w:t>
      </w:r>
      <w:r>
        <w:rPr>
          <w:rFonts w:ascii="Times New Roman" w:hAnsi="Times New Roman" w:eastAsia="宋体" w:cs="Times New Roman"/>
          <w:b/>
          <w:bCs/>
          <w:sz w:val="24"/>
          <w:szCs w:val="24"/>
        </w:rPr>
        <w:t>年 (Land Converted to Flooded Land)</w:t>
      </w:r>
    </w:p>
    <w:p w14:paraId="6F642716">
      <w:pPr>
        <w:numPr>
          <w:ilvl w:val="0"/>
          <w:numId w:val="2"/>
        </w:num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CO</w:t>
      </w:r>
      <w:r>
        <w:rPr>
          <w:rFonts w:hint="eastAsia" w:ascii="Times New Roman" w:hAnsi="Times New Roman" w:eastAsia="宋体" w:cs="Times New Roman"/>
          <w:sz w:val="24"/>
          <w:szCs w:val="24"/>
          <w:vertAlign w:val="subscript"/>
          <w:lang w:val="en-US" w:eastAsia="zh-CN"/>
        </w:rPr>
        <w:t>2</w:t>
      </w:r>
      <w:r>
        <w:rPr>
          <w:rFonts w:ascii="Times New Roman" w:hAnsi="Times New Roman" w:eastAsia="宋体" w:cs="Times New Roman"/>
          <w:sz w:val="24"/>
          <w:szCs w:val="24"/>
        </w:rPr>
        <w:t>排放:</w:t>
      </w:r>
    </w:p>
    <w:p w14:paraId="703C5C38">
      <w:pPr>
        <w:spacing w:line="360" w:lineRule="auto"/>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FCO2tot = (A_{total j,i} \cdot EF_{CO2age\le20,j})$</w:t>
      </w:r>
    </w:p>
    <w:p w14:paraId="56AAB978">
      <w:pPr>
        <w:numPr>
          <w:ilvl w:val="1"/>
          <w:numId w:val="2"/>
        </w:numPr>
        <w:spacing w:line="360" w:lineRule="auto"/>
        <w:rPr>
          <w:rFonts w:ascii="Times New Roman" w:hAnsi="Times New Roman" w:eastAsia="宋体" w:cs="Times New Roman"/>
          <w:sz w:val="24"/>
          <w:szCs w:val="24"/>
          <w:highlight w:val="yellow"/>
        </w:rPr>
      </w:pPr>
      <w:r>
        <w:rPr>
          <w:rFonts w:ascii="Times New Roman" w:hAnsi="Times New Roman" w:eastAsia="宋体" w:cs="Times New Roman"/>
          <w:b/>
          <w:bCs/>
          <w:sz w:val="24"/>
          <w:szCs w:val="24"/>
          <w:highlight w:val="yellow"/>
        </w:rPr>
        <w:t>$A_{total j,i}$</w:t>
      </w:r>
      <w:r>
        <w:rPr>
          <w:rFonts w:ascii="Times New Roman" w:hAnsi="Times New Roman" w:eastAsia="宋体" w:cs="Times New Roman"/>
          <w:sz w:val="24"/>
          <w:szCs w:val="24"/>
          <w:highlight w:val="yellow"/>
        </w:rPr>
        <w:t>: 位于气候区 $j$ 的水库 $i$ 的总水面面积 (ha)。</w:t>
      </w:r>
    </w:p>
    <w:p w14:paraId="6E9A0470">
      <w:pPr>
        <w:numPr>
          <w:ilvl w:val="1"/>
          <w:numId w:val="2"/>
        </w:numPr>
        <w:spacing w:line="360" w:lineRule="auto"/>
        <w:rPr>
          <w:rFonts w:ascii="Times New Roman" w:hAnsi="Times New Roman" w:eastAsia="宋体" w:cs="Times New Roman"/>
          <w:sz w:val="24"/>
          <w:szCs w:val="24"/>
          <w:highlight w:val="yellow"/>
        </w:rPr>
      </w:pPr>
      <w:r>
        <w:rPr>
          <w:rFonts w:ascii="Times New Roman" w:hAnsi="Times New Roman" w:eastAsia="宋体" w:cs="Times New Roman"/>
          <w:b/>
          <w:bCs/>
          <w:sz w:val="24"/>
          <w:szCs w:val="24"/>
          <w:highlight w:val="yellow"/>
        </w:rPr>
        <w:t>$EF_{CO2age\le20,j}$</w:t>
      </w:r>
      <w:r>
        <w:rPr>
          <w:rFonts w:ascii="Times New Roman" w:hAnsi="Times New Roman" w:eastAsia="宋体" w:cs="Times New Roman"/>
          <w:sz w:val="24"/>
          <w:szCs w:val="24"/>
          <w:highlight w:val="yellow"/>
        </w:rPr>
        <w:t xml:space="preserve">: 默认排放因子 (t $CO_2$-C ha⁻¹ yr⁻¹)，查 </w:t>
      </w:r>
      <w:r>
        <w:rPr>
          <w:rFonts w:ascii="Times New Roman" w:hAnsi="Times New Roman" w:eastAsia="宋体" w:cs="Times New Roman"/>
          <w:b/>
          <w:bCs/>
          <w:sz w:val="24"/>
          <w:szCs w:val="24"/>
          <w:highlight w:val="yellow"/>
        </w:rPr>
        <w:t>表 7.13</w:t>
      </w:r>
      <w:r>
        <w:rPr>
          <w:rFonts w:ascii="Times New Roman" w:hAnsi="Times New Roman" w:eastAsia="宋体" w:cs="Times New Roman"/>
          <w:sz w:val="24"/>
          <w:szCs w:val="24"/>
          <w:highlight w:val="yellow"/>
        </w:rPr>
        <w:t xml:space="preserve"> </w:t>
      </w:r>
      <w:r>
        <w:rPr>
          <w:rFonts w:ascii="Times New Roman" w:hAnsi="Times New Roman" w:eastAsia="宋体" w:cs="Times New Roman"/>
          <w:sz w:val="24"/>
          <w:szCs w:val="24"/>
          <w:highlight w:val="yellow"/>
          <w:vertAlign w:val="superscript"/>
        </w:rPr>
        <w:t>27</w:t>
      </w:r>
      <w:r>
        <w:rPr>
          <w:rFonts w:ascii="Times New Roman" w:hAnsi="Times New Roman" w:eastAsia="宋体" w:cs="Times New Roman"/>
          <w:sz w:val="24"/>
          <w:szCs w:val="24"/>
          <w:highlight w:val="yellow"/>
        </w:rPr>
        <w:t>。</w:t>
      </w:r>
      <w:bookmarkStart w:id="0" w:name="_GoBack"/>
      <w:bookmarkEnd w:id="0"/>
    </w:p>
    <w:p w14:paraId="25A92058">
      <w:pPr>
        <w:numPr>
          <w:ilvl w:val="2"/>
          <w:numId w:val="2"/>
        </w:numPr>
        <w:spacing w:line="360" w:lineRule="auto"/>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 xml:space="preserve">例如： boreal (寒带) = 0.94; cool temperate (冷温带) = 1.02; tropical (热带) = 2.77 - 2.95 </w:t>
      </w:r>
      <w:r>
        <w:rPr>
          <w:rFonts w:ascii="Times New Roman" w:hAnsi="Times New Roman" w:eastAsia="宋体" w:cs="Times New Roman"/>
          <w:sz w:val="24"/>
          <w:szCs w:val="24"/>
          <w:highlight w:val="yellow"/>
          <w:vertAlign w:val="superscript"/>
        </w:rPr>
        <w:t>28</w:t>
      </w:r>
      <w:r>
        <w:rPr>
          <w:rFonts w:ascii="Times New Roman" w:hAnsi="Times New Roman" w:eastAsia="宋体" w:cs="Times New Roman"/>
          <w:sz w:val="24"/>
          <w:szCs w:val="24"/>
          <w:highlight w:val="yellow"/>
        </w:rPr>
        <w:t>。</w:t>
      </w:r>
    </w:p>
    <w:p w14:paraId="644A99EC">
      <w:pPr>
        <w:numPr>
          <w:ilvl w:val="0"/>
          <w:numId w:val="2"/>
        </w:numPr>
        <w:spacing w:line="360" w:lineRule="auto"/>
        <w:rPr>
          <w:rFonts w:ascii="Times New Roman" w:hAnsi="Times New Roman" w:eastAsia="宋体" w:cs="Times New Roman"/>
          <w:sz w:val="24"/>
          <w:szCs w:val="24"/>
          <w:highlight w:val="yellow"/>
        </w:rPr>
      </w:pPr>
      <w:r>
        <w:rPr>
          <w:rFonts w:hint="eastAsia" w:ascii="Times New Roman" w:hAnsi="Times New Roman" w:eastAsia="宋体" w:cs="Times New Roman"/>
          <w:sz w:val="24"/>
          <w:szCs w:val="24"/>
          <w:highlight w:val="yellow"/>
          <w:lang w:val="en-US" w:eastAsia="zh-CN"/>
        </w:rPr>
        <w:t>CH4</w:t>
      </w:r>
      <w:r>
        <w:rPr>
          <w:rFonts w:ascii="Times New Roman" w:hAnsi="Times New Roman" w:eastAsia="宋体" w:cs="Times New Roman"/>
          <w:sz w:val="24"/>
          <w:szCs w:val="24"/>
          <w:highlight w:val="yellow"/>
        </w:rPr>
        <w:t>排放:</w:t>
      </w:r>
    </w:p>
    <w:p w14:paraId="1CFFD74A">
      <w:pPr>
        <w:spacing w:line="360" w:lineRule="auto"/>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$F_{CH4tot} = F_{CH4res} + F_{CH4downstream}$</w:t>
      </w:r>
    </w:p>
    <w:p w14:paraId="1DF30295">
      <w:pPr>
        <w:numPr>
          <w:ilvl w:val="1"/>
          <w:numId w:val="2"/>
        </w:numPr>
        <w:spacing w:line="360" w:lineRule="auto"/>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 xml:space="preserve">水面排放 $F_{CH4res} = \sum (EF_{CH4age\le20,j} \cdot A_{tot j,i})$ (Tier 1 默认 $\alpha=1$) </w:t>
      </w:r>
      <w:r>
        <w:rPr>
          <w:rFonts w:ascii="Times New Roman" w:hAnsi="Times New Roman" w:eastAsia="宋体" w:cs="Times New Roman"/>
          <w:sz w:val="24"/>
          <w:szCs w:val="24"/>
          <w:highlight w:val="yellow"/>
          <w:vertAlign w:val="superscript"/>
        </w:rPr>
        <w:t>30303030</w:t>
      </w:r>
      <w:r>
        <w:rPr>
          <w:rFonts w:ascii="Times New Roman" w:hAnsi="Times New Roman" w:eastAsia="宋体" w:cs="Times New Roman"/>
          <w:sz w:val="24"/>
          <w:szCs w:val="24"/>
          <w:highlight w:val="yellow"/>
        </w:rPr>
        <w:t>。</w:t>
      </w:r>
    </w:p>
    <w:p w14:paraId="0EB6D9A9">
      <w:pPr>
        <w:numPr>
          <w:ilvl w:val="1"/>
          <w:numId w:val="2"/>
        </w:numPr>
        <w:spacing w:line="360" w:lineRule="auto"/>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 xml:space="preserve">下游排放 $F_{CH4downstream} = F_{CH4res} \cdot R_d$ (Tier 1 默认 $R_d=0.09$) </w:t>
      </w:r>
      <w:r>
        <w:rPr>
          <w:rFonts w:ascii="Times New Roman" w:hAnsi="Times New Roman" w:eastAsia="宋体" w:cs="Times New Roman"/>
          <w:sz w:val="24"/>
          <w:szCs w:val="24"/>
          <w:highlight w:val="yellow"/>
          <w:vertAlign w:val="superscript"/>
        </w:rPr>
        <w:t>31</w:t>
      </w:r>
      <w:r>
        <w:rPr>
          <w:rFonts w:ascii="Times New Roman" w:hAnsi="Times New Roman" w:eastAsia="宋体" w:cs="Times New Roman"/>
          <w:sz w:val="24"/>
          <w:szCs w:val="24"/>
          <w:highlight w:val="yellow"/>
        </w:rPr>
        <w:t>。</w:t>
      </w:r>
    </w:p>
    <w:p w14:paraId="17C8DF78">
      <w:pPr>
        <w:numPr>
          <w:ilvl w:val="1"/>
          <w:numId w:val="2"/>
        </w:numPr>
        <w:spacing w:line="360" w:lineRule="auto"/>
        <w:rPr>
          <w:rFonts w:ascii="Times New Roman" w:hAnsi="Times New Roman" w:eastAsia="宋体" w:cs="Times New Roman"/>
          <w:sz w:val="24"/>
          <w:szCs w:val="24"/>
          <w:highlight w:val="yellow"/>
        </w:rPr>
      </w:pPr>
      <w:r>
        <w:rPr>
          <w:rFonts w:ascii="Times New Roman" w:hAnsi="Times New Roman" w:eastAsia="宋体" w:cs="Times New Roman"/>
          <w:b/>
          <w:bCs/>
          <w:sz w:val="24"/>
          <w:szCs w:val="24"/>
          <w:highlight w:val="yellow"/>
        </w:rPr>
        <w:t>$EF_{CH4age\le20,j}$</w:t>
      </w:r>
      <w:r>
        <w:rPr>
          <w:rFonts w:ascii="Times New Roman" w:hAnsi="Times New Roman" w:eastAsia="宋体" w:cs="Times New Roman"/>
          <w:sz w:val="24"/>
          <w:szCs w:val="24"/>
          <w:highlight w:val="yellow"/>
        </w:rPr>
        <w:t xml:space="preserve">: 默认排放因子 (kg $CH_4$ ha⁻¹ yr⁻¹)，查 </w:t>
      </w:r>
      <w:r>
        <w:rPr>
          <w:rFonts w:ascii="Times New Roman" w:hAnsi="Times New Roman" w:eastAsia="宋体" w:cs="Times New Roman"/>
          <w:b/>
          <w:bCs/>
          <w:sz w:val="24"/>
          <w:szCs w:val="24"/>
          <w:highlight w:val="yellow"/>
        </w:rPr>
        <w:t>表 7.15</w:t>
      </w:r>
      <w:r>
        <w:rPr>
          <w:rFonts w:ascii="Times New Roman" w:hAnsi="Times New Roman" w:eastAsia="宋体" w:cs="Times New Roman"/>
          <w:sz w:val="24"/>
          <w:szCs w:val="24"/>
          <w:highlight w:val="yellow"/>
        </w:rPr>
        <w:t xml:space="preserve"> </w:t>
      </w:r>
      <w:r>
        <w:rPr>
          <w:rFonts w:ascii="Times New Roman" w:hAnsi="Times New Roman" w:eastAsia="宋体" w:cs="Times New Roman"/>
          <w:sz w:val="24"/>
          <w:szCs w:val="24"/>
          <w:highlight w:val="yellow"/>
          <w:vertAlign w:val="superscript"/>
        </w:rPr>
        <w:t>32</w:t>
      </w:r>
      <w:r>
        <w:rPr>
          <w:rFonts w:ascii="Times New Roman" w:hAnsi="Times New Roman" w:eastAsia="宋体" w:cs="Times New Roman"/>
          <w:sz w:val="24"/>
          <w:szCs w:val="24"/>
          <w:highlight w:val="yellow"/>
        </w:rPr>
        <w:t>。</w:t>
      </w:r>
    </w:p>
    <w:p w14:paraId="1031C57B">
      <w:pPr>
        <w:numPr>
          <w:ilvl w:val="2"/>
          <w:numId w:val="2"/>
        </w:numPr>
        <w:spacing w:line="360" w:lineRule="auto"/>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 xml:space="preserve">例如： boreal = 27.7; cool temperate = 84.7; tropical = 251.6 - 392.3 </w:t>
      </w:r>
      <w:r>
        <w:rPr>
          <w:rFonts w:ascii="Times New Roman" w:hAnsi="Times New Roman" w:eastAsia="宋体" w:cs="Times New Roman"/>
          <w:sz w:val="24"/>
          <w:szCs w:val="24"/>
          <w:highlight w:val="yellow"/>
          <w:vertAlign w:val="superscript"/>
        </w:rPr>
        <w:t>33</w:t>
      </w:r>
      <w:r>
        <w:rPr>
          <w:rFonts w:ascii="Times New Roman" w:hAnsi="Times New Roman" w:eastAsia="宋体" w:cs="Times New Roman"/>
          <w:sz w:val="24"/>
          <w:szCs w:val="24"/>
          <w:highlight w:val="yellow"/>
        </w:rPr>
        <w:t>。</w:t>
      </w:r>
    </w:p>
    <w:p w14:paraId="6071ACB7">
      <w:pPr>
        <w:spacing w:line="360" w:lineRule="auto"/>
        <w:rPr>
          <w:rFonts w:ascii="Times New Roman" w:hAnsi="Times New Roman" w:eastAsia="宋体" w:cs="Times New Roman"/>
          <w:sz w:val="24"/>
          <w:szCs w:val="24"/>
          <w:highlight w:val="yellow"/>
        </w:rPr>
      </w:pPr>
      <w:r>
        <w:rPr>
          <w:rFonts w:ascii="Times New Roman" w:hAnsi="Times New Roman" w:eastAsia="宋体" w:cs="Times New Roman"/>
          <w:b/>
          <w:bCs/>
          <w:sz w:val="24"/>
          <w:szCs w:val="24"/>
          <w:highlight w:val="yellow"/>
        </w:rPr>
        <w:t>类别 2：水库</w:t>
      </w:r>
      <w:r>
        <w:rPr>
          <w:rFonts w:hint="eastAsia" w:ascii="Times New Roman" w:hAnsi="Times New Roman" w:eastAsia="宋体" w:cs="Times New Roman"/>
          <w:b/>
          <w:bCs/>
          <w:sz w:val="24"/>
          <w:szCs w:val="24"/>
          <w:highlight w:val="yellow"/>
          <w:lang w:val="en-US" w:eastAsia="zh-CN"/>
        </w:rPr>
        <w:t xml:space="preserve"> 库龄</w:t>
      </w:r>
      <w:r>
        <w:rPr>
          <w:rFonts w:ascii="Times New Roman" w:hAnsi="Times New Roman" w:eastAsia="宋体" w:cs="Times New Roman"/>
          <w:b/>
          <w:bCs/>
          <w:sz w:val="24"/>
          <w:szCs w:val="24"/>
          <w:highlight w:val="yellow"/>
        </w:rPr>
        <w:t>&gt; 20 年 (Flooded Land Remaining Flooded Land)</w:t>
      </w:r>
    </w:p>
    <w:p w14:paraId="03FBC8B1">
      <w:pPr>
        <w:numPr>
          <w:ilvl w:val="0"/>
          <w:numId w:val="3"/>
        </w:numPr>
        <w:spacing w:line="360" w:lineRule="auto"/>
        <w:rPr>
          <w:rFonts w:ascii="Times New Roman" w:hAnsi="Times New Roman" w:eastAsia="宋体" w:cs="Times New Roman"/>
          <w:sz w:val="24"/>
          <w:szCs w:val="24"/>
          <w:highlight w:val="yellow"/>
        </w:rPr>
      </w:pPr>
      <w:r>
        <w:rPr>
          <w:rFonts w:ascii="Times New Roman" w:hAnsi="Times New Roman" w:eastAsia="宋体" w:cs="Times New Roman"/>
          <w:b/>
          <w:bCs/>
          <w:sz w:val="24"/>
          <w:szCs w:val="24"/>
          <w:highlight w:val="yellow"/>
        </w:rPr>
        <w:t>CO</w:t>
      </w:r>
      <w:r>
        <w:rPr>
          <w:rFonts w:hint="eastAsia" w:ascii="Times New Roman" w:hAnsi="Times New Roman" w:eastAsia="宋体" w:cs="Times New Roman"/>
          <w:b/>
          <w:bCs/>
          <w:sz w:val="24"/>
          <w:szCs w:val="24"/>
          <w:highlight w:val="yellow"/>
          <w:lang w:val="en-US" w:eastAsia="zh-CN"/>
        </w:rPr>
        <w:t>2</w:t>
      </w:r>
      <w:r>
        <w:rPr>
          <w:rFonts w:ascii="Times New Roman" w:hAnsi="Times New Roman" w:eastAsia="宋体" w:cs="Times New Roman"/>
          <w:b/>
          <w:bCs/>
          <w:sz w:val="24"/>
          <w:szCs w:val="24"/>
          <w:highlight w:val="yellow"/>
        </w:rPr>
        <w:t xml:space="preserve"> 排放</w:t>
      </w:r>
      <w:r>
        <w:rPr>
          <w:rFonts w:ascii="Times New Roman" w:hAnsi="Times New Roman" w:eastAsia="宋体" w:cs="Times New Roman"/>
          <w:sz w:val="24"/>
          <w:szCs w:val="24"/>
          <w:highlight w:val="yellow"/>
        </w:rPr>
        <w:t>:</w:t>
      </w:r>
    </w:p>
    <w:p w14:paraId="6D4EEA77">
      <w:pPr>
        <w:numPr>
          <w:ilvl w:val="1"/>
          <w:numId w:val="3"/>
        </w:numPr>
        <w:spacing w:line="360" w:lineRule="auto"/>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 xml:space="preserve">Tier 1 </w:t>
      </w:r>
      <w:r>
        <w:rPr>
          <w:rFonts w:ascii="Times New Roman" w:hAnsi="Times New Roman" w:eastAsia="宋体" w:cs="Times New Roman"/>
          <w:b/>
          <w:bCs/>
          <w:sz w:val="24"/>
          <w:szCs w:val="24"/>
          <w:highlight w:val="yellow"/>
        </w:rPr>
        <w:t>不核算</w:t>
      </w:r>
      <w:r>
        <w:rPr>
          <w:rFonts w:ascii="Times New Roman" w:hAnsi="Times New Roman" w:eastAsia="宋体" w:cs="Times New Roman"/>
          <w:sz w:val="24"/>
          <w:szCs w:val="24"/>
          <w:highlight w:val="yellow"/>
        </w:rPr>
        <w:t xml:space="preserve"> </w:t>
      </w:r>
      <w:r>
        <w:rPr>
          <w:rFonts w:ascii="Times New Roman" w:hAnsi="Times New Roman" w:eastAsia="宋体" w:cs="Times New Roman"/>
          <w:sz w:val="24"/>
          <w:szCs w:val="24"/>
          <w:highlight w:val="yellow"/>
          <w:vertAlign w:val="superscript"/>
        </w:rPr>
        <w:t>34</w:t>
      </w:r>
      <w:r>
        <w:rPr>
          <w:rFonts w:ascii="Times New Roman" w:hAnsi="Times New Roman" w:eastAsia="宋体" w:cs="Times New Roman"/>
          <w:sz w:val="24"/>
          <w:szCs w:val="24"/>
          <w:highlight w:val="yellow"/>
        </w:rPr>
        <w:t>。</w:t>
      </w:r>
    </w:p>
    <w:p w14:paraId="0785D1F7">
      <w:pPr>
        <w:numPr>
          <w:ilvl w:val="0"/>
          <w:numId w:val="3"/>
        </w:numPr>
        <w:spacing w:line="360" w:lineRule="auto"/>
        <w:rPr>
          <w:rFonts w:ascii="Times New Roman" w:hAnsi="Times New Roman" w:eastAsia="宋体" w:cs="Times New Roman"/>
          <w:sz w:val="24"/>
          <w:szCs w:val="24"/>
          <w:highlight w:val="yellow"/>
        </w:rPr>
      </w:pPr>
      <w:r>
        <w:rPr>
          <w:rFonts w:ascii="Times New Roman" w:hAnsi="Times New Roman" w:eastAsia="宋体" w:cs="Times New Roman"/>
          <w:b/>
          <w:bCs/>
          <w:sz w:val="24"/>
          <w:szCs w:val="24"/>
          <w:highlight w:val="yellow"/>
        </w:rPr>
        <w:t>CH</w:t>
      </w:r>
      <w:r>
        <w:rPr>
          <w:rFonts w:hint="eastAsia" w:ascii="Times New Roman" w:hAnsi="Times New Roman" w:eastAsia="宋体" w:cs="Times New Roman"/>
          <w:b/>
          <w:bCs/>
          <w:sz w:val="24"/>
          <w:szCs w:val="24"/>
          <w:highlight w:val="yellow"/>
          <w:lang w:val="en-US" w:eastAsia="zh-CN"/>
        </w:rPr>
        <w:t>4</w:t>
      </w:r>
      <w:r>
        <w:rPr>
          <w:rFonts w:ascii="Times New Roman" w:hAnsi="Times New Roman" w:eastAsia="宋体" w:cs="Times New Roman"/>
          <w:b/>
          <w:bCs/>
          <w:sz w:val="24"/>
          <w:szCs w:val="24"/>
          <w:highlight w:val="yellow"/>
        </w:rPr>
        <w:t xml:space="preserve"> 排放</w:t>
      </w:r>
      <w:r>
        <w:rPr>
          <w:rFonts w:hint="eastAsia" w:ascii="Times New Roman" w:hAnsi="Times New Roman" w:eastAsia="宋体" w:cs="Times New Roman"/>
          <w:b/>
          <w:bCs/>
          <w:sz w:val="24"/>
          <w:szCs w:val="24"/>
          <w:highlight w:val="yellow"/>
          <w:lang w:eastAsia="zh-CN"/>
        </w:rPr>
        <w:t>：</w:t>
      </w:r>
    </w:p>
    <w:p w14:paraId="33D4B896">
      <w:pPr>
        <w:numPr>
          <w:ilvl w:val="1"/>
          <w:numId w:val="3"/>
        </w:numPr>
        <w:spacing w:line="360" w:lineRule="auto"/>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计算逻辑与</w:t>
      </w:r>
      <w:r>
        <w:rPr>
          <w:rFonts w:hint="eastAsia" w:ascii="Times New Roman" w:hAnsi="Times New Roman" w:eastAsia="宋体" w:cs="Times New Roman"/>
          <w:sz w:val="24"/>
          <w:szCs w:val="24"/>
          <w:highlight w:val="yellow"/>
          <w:lang w:val="en-US" w:eastAsia="zh-CN"/>
        </w:rPr>
        <w:t>前述类别1</w:t>
      </w:r>
      <w:r>
        <w:rPr>
          <w:rFonts w:ascii="Times New Roman" w:hAnsi="Times New Roman" w:eastAsia="宋体" w:cs="Times New Roman"/>
          <w:sz w:val="24"/>
          <w:szCs w:val="24"/>
          <w:highlight w:val="yellow"/>
        </w:rPr>
        <w:t>完全相同，但使用</w:t>
      </w:r>
      <w:r>
        <w:rPr>
          <w:rFonts w:ascii="Times New Roman" w:hAnsi="Times New Roman" w:eastAsia="宋体" w:cs="Times New Roman"/>
          <w:b/>
          <w:bCs/>
          <w:sz w:val="24"/>
          <w:szCs w:val="24"/>
          <w:highlight w:val="yellow"/>
        </w:rPr>
        <w:t>不同</w:t>
      </w:r>
      <w:r>
        <w:rPr>
          <w:rFonts w:ascii="Times New Roman" w:hAnsi="Times New Roman" w:eastAsia="宋体" w:cs="Times New Roman"/>
          <w:sz w:val="24"/>
          <w:szCs w:val="24"/>
          <w:highlight w:val="yellow"/>
        </w:rPr>
        <w:t>的排放因子。</w:t>
      </w:r>
    </w:p>
    <w:p w14:paraId="02BA33C1">
      <w:pPr>
        <w:numPr>
          <w:ilvl w:val="1"/>
          <w:numId w:val="3"/>
        </w:numPr>
        <w:spacing w:line="360" w:lineRule="auto"/>
        <w:rPr>
          <w:rFonts w:ascii="Times New Roman" w:hAnsi="Times New Roman" w:eastAsia="宋体" w:cs="Times New Roman"/>
          <w:sz w:val="24"/>
          <w:szCs w:val="24"/>
          <w:highlight w:val="yellow"/>
        </w:rPr>
      </w:pPr>
      <w:r>
        <w:rPr>
          <w:rFonts w:ascii="Times New Roman" w:hAnsi="Times New Roman" w:eastAsia="宋体" w:cs="Times New Roman"/>
          <w:b/>
          <w:bCs/>
          <w:sz w:val="24"/>
          <w:szCs w:val="24"/>
          <w:highlight w:val="yellow"/>
        </w:rPr>
        <w:t>$EF_{CH4age&gt;20,j}$</w:t>
      </w:r>
      <w:r>
        <w:rPr>
          <w:rFonts w:ascii="Times New Roman" w:hAnsi="Times New Roman" w:eastAsia="宋体" w:cs="Times New Roman"/>
          <w:sz w:val="24"/>
          <w:szCs w:val="24"/>
          <w:highlight w:val="yellow"/>
        </w:rPr>
        <w:t xml:space="preserve">: 默认排放因子 (kg $CH_4$ ha⁻¹ yr⁻¹)，查 </w:t>
      </w:r>
      <w:r>
        <w:rPr>
          <w:rFonts w:ascii="Times New Roman" w:hAnsi="Times New Roman" w:eastAsia="宋体" w:cs="Times New Roman"/>
          <w:b/>
          <w:bCs/>
          <w:sz w:val="24"/>
          <w:szCs w:val="24"/>
          <w:highlight w:val="yellow"/>
        </w:rPr>
        <w:t>表 7.9</w:t>
      </w:r>
      <w:r>
        <w:rPr>
          <w:rFonts w:ascii="Times New Roman" w:hAnsi="Times New Roman" w:eastAsia="宋体" w:cs="Times New Roman"/>
          <w:sz w:val="24"/>
          <w:szCs w:val="24"/>
          <w:highlight w:val="yellow"/>
        </w:rPr>
        <w:t xml:space="preserve"> </w:t>
      </w:r>
      <w:r>
        <w:rPr>
          <w:rFonts w:ascii="Times New Roman" w:hAnsi="Times New Roman" w:eastAsia="宋体" w:cs="Times New Roman"/>
          <w:sz w:val="24"/>
          <w:szCs w:val="24"/>
          <w:highlight w:val="yellow"/>
          <w:vertAlign w:val="superscript"/>
        </w:rPr>
        <w:t>37</w:t>
      </w:r>
      <w:r>
        <w:rPr>
          <w:rFonts w:ascii="Times New Roman" w:hAnsi="Times New Roman" w:eastAsia="宋体" w:cs="Times New Roman"/>
          <w:sz w:val="24"/>
          <w:szCs w:val="24"/>
          <w:highlight w:val="yellow"/>
        </w:rPr>
        <w:t>。</w:t>
      </w:r>
    </w:p>
    <w:p w14:paraId="3C601DBF">
      <w:pPr>
        <w:numPr>
          <w:ilvl w:val="2"/>
          <w:numId w:val="3"/>
        </w:numPr>
        <w:spacing w:line="360" w:lineRule="auto"/>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 xml:space="preserve">例如： boreal = 13.6; cool temperate = 54.0; tropical = 141.1 - 283.7 </w:t>
      </w:r>
      <w:r>
        <w:rPr>
          <w:rFonts w:ascii="Times New Roman" w:hAnsi="Times New Roman" w:eastAsia="宋体" w:cs="Times New Roman"/>
          <w:sz w:val="24"/>
          <w:szCs w:val="24"/>
          <w:highlight w:val="yellow"/>
          <w:vertAlign w:val="superscript"/>
        </w:rPr>
        <w:t>38</w:t>
      </w:r>
      <w:r>
        <w:rPr>
          <w:rFonts w:ascii="Times New Roman" w:hAnsi="Times New Roman" w:eastAsia="宋体" w:cs="Times New Roman"/>
          <w:sz w:val="24"/>
          <w:szCs w:val="24"/>
          <w:highlight w:val="yellow"/>
        </w:rPr>
        <w:t>。</w:t>
      </w:r>
    </w:p>
    <w:p w14:paraId="4E620FCA">
      <w:pPr>
        <w:numPr>
          <w:ilvl w:val="2"/>
          <w:numId w:val="3"/>
        </w:numPr>
        <w:spacing w:line="360" w:lineRule="auto"/>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(注意：这些值明显低于 $\le 20$年的新水库，反映了排放随时间衰减的特性。)</w:t>
      </w:r>
    </w:p>
    <w:p w14:paraId="23049C57">
      <w:pPr>
        <w:spacing w:line="360" w:lineRule="auto"/>
        <w:rPr>
          <w:rFonts w:ascii="Times New Roman" w:hAnsi="Times New Roman" w:eastAsia="宋体" w:cs="Times New Roman"/>
          <w:sz w:val="24"/>
          <w:szCs w:val="24"/>
          <w:highlight w:val="yellow"/>
        </w:rPr>
      </w:pPr>
      <w:r>
        <w:rPr>
          <w:rFonts w:ascii="Times New Roman" w:hAnsi="Times New Roman" w:eastAsia="宋体" w:cs="Times New Roman"/>
          <w:b/>
          <w:bCs/>
          <w:sz w:val="24"/>
          <w:szCs w:val="24"/>
          <w:highlight w:val="yellow"/>
        </w:rPr>
        <w:t>类别 3：其他人工水体 (Other Constructed Waterbodies)</w:t>
      </w:r>
    </w:p>
    <w:p w14:paraId="02EE74ED">
      <w:pPr>
        <w:numPr>
          <w:ilvl w:val="0"/>
          <w:numId w:val="4"/>
        </w:numPr>
        <w:spacing w:line="360" w:lineRule="auto"/>
        <w:rPr>
          <w:rFonts w:ascii="Times New Roman" w:hAnsi="Times New Roman" w:eastAsia="宋体" w:cs="Times New Roman"/>
          <w:sz w:val="24"/>
          <w:szCs w:val="24"/>
          <w:highlight w:val="yellow"/>
        </w:rPr>
      </w:pPr>
      <w:r>
        <w:rPr>
          <w:rFonts w:hint="eastAsia" w:ascii="Times New Roman" w:hAnsi="Times New Roman" w:eastAsia="宋体" w:cs="Times New Roman"/>
          <w:b/>
          <w:bCs/>
          <w:sz w:val="24"/>
          <w:szCs w:val="24"/>
          <w:highlight w:val="yellow"/>
          <w:lang w:val="en-US" w:eastAsia="zh-CN"/>
        </w:rPr>
        <w:t>CO</w:t>
      </w:r>
      <w:r>
        <w:rPr>
          <w:rFonts w:hint="eastAsia" w:ascii="Times New Roman" w:hAnsi="Times New Roman" w:eastAsia="宋体" w:cs="Times New Roman"/>
          <w:b/>
          <w:bCs/>
          <w:sz w:val="24"/>
          <w:szCs w:val="24"/>
          <w:highlight w:val="yellow"/>
          <w:vertAlign w:val="subscript"/>
          <w:lang w:val="en-US" w:eastAsia="zh-CN"/>
        </w:rPr>
        <w:t>2</w:t>
      </w:r>
      <w:r>
        <w:rPr>
          <w:rFonts w:ascii="Times New Roman" w:hAnsi="Times New Roman" w:eastAsia="宋体" w:cs="Times New Roman"/>
          <w:b/>
          <w:bCs/>
          <w:sz w:val="24"/>
          <w:szCs w:val="24"/>
          <w:highlight w:val="yellow"/>
        </w:rPr>
        <w:t>排放</w:t>
      </w:r>
      <w:r>
        <w:rPr>
          <w:rFonts w:ascii="Times New Roman" w:hAnsi="Times New Roman" w:eastAsia="宋体" w:cs="Times New Roman"/>
          <w:sz w:val="24"/>
          <w:szCs w:val="24"/>
          <w:highlight w:val="yellow"/>
        </w:rPr>
        <w:t>:</w:t>
      </w:r>
    </w:p>
    <w:p w14:paraId="110847DF">
      <w:pPr>
        <w:numPr>
          <w:ilvl w:val="1"/>
          <w:numId w:val="4"/>
        </w:numPr>
        <w:spacing w:line="360" w:lineRule="auto"/>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 xml:space="preserve">Tier 1 </w:t>
      </w:r>
      <w:r>
        <w:rPr>
          <w:rFonts w:ascii="Times New Roman" w:hAnsi="Times New Roman" w:eastAsia="宋体" w:cs="Times New Roman"/>
          <w:b/>
          <w:bCs/>
          <w:sz w:val="24"/>
          <w:szCs w:val="24"/>
          <w:highlight w:val="yellow"/>
        </w:rPr>
        <w:t>不提供</w:t>
      </w:r>
      <w:r>
        <w:rPr>
          <w:rFonts w:ascii="Times New Roman" w:hAnsi="Times New Roman" w:eastAsia="宋体" w:cs="Times New Roman"/>
          <w:sz w:val="24"/>
          <w:szCs w:val="24"/>
          <w:highlight w:val="yellow"/>
        </w:rPr>
        <w:t>核算方法（某些沿海养殖塘的土地转换除外）。</w:t>
      </w:r>
    </w:p>
    <w:p w14:paraId="05B9EA18">
      <w:pPr>
        <w:numPr>
          <w:ilvl w:val="0"/>
          <w:numId w:val="4"/>
        </w:numPr>
        <w:spacing w:line="360" w:lineRule="auto"/>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$CH_4$ 排放 (公式 7.12)40:</w:t>
      </w:r>
    </w:p>
    <w:p w14:paraId="4856480D">
      <w:pPr>
        <w:spacing w:line="360" w:lineRule="auto"/>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$F_{CH4other} = \sum (A_{j,w,i} \cdot EF_{CH4,w})$ (Tier 1 默认 $\alpha=1$) 414141。</w:t>
      </w:r>
    </w:p>
    <w:p w14:paraId="3116F071">
      <w:pPr>
        <w:numPr>
          <w:ilvl w:val="1"/>
          <w:numId w:val="4"/>
        </w:numPr>
        <w:spacing w:line="360" w:lineRule="auto"/>
        <w:rPr>
          <w:rFonts w:ascii="Times New Roman" w:hAnsi="Times New Roman" w:eastAsia="宋体" w:cs="Times New Roman"/>
          <w:sz w:val="24"/>
          <w:szCs w:val="24"/>
          <w:highlight w:val="yellow"/>
        </w:rPr>
      </w:pPr>
      <w:r>
        <w:rPr>
          <w:rFonts w:ascii="Times New Roman" w:hAnsi="Times New Roman" w:eastAsia="宋体" w:cs="Times New Roman"/>
          <w:b/>
          <w:bCs/>
          <w:sz w:val="24"/>
          <w:szCs w:val="24"/>
          <w:highlight w:val="yellow"/>
        </w:rPr>
        <w:t>$A_{j,w,i}$</w:t>
      </w:r>
      <w:r>
        <w:rPr>
          <w:rFonts w:ascii="Times New Roman" w:hAnsi="Times New Roman" w:eastAsia="宋体" w:cs="Times New Roman"/>
          <w:sz w:val="24"/>
          <w:szCs w:val="24"/>
          <w:highlight w:val="yellow"/>
        </w:rPr>
        <w:t xml:space="preserve">: 水体类型 $w$ 的面积 (ha) </w:t>
      </w:r>
      <w:r>
        <w:rPr>
          <w:rFonts w:ascii="Times New Roman" w:hAnsi="Times New Roman" w:eastAsia="宋体" w:cs="Times New Roman"/>
          <w:sz w:val="24"/>
          <w:szCs w:val="24"/>
          <w:highlight w:val="yellow"/>
          <w:vertAlign w:val="superscript"/>
        </w:rPr>
        <w:t>42</w:t>
      </w:r>
      <w:r>
        <w:rPr>
          <w:rFonts w:ascii="Times New Roman" w:hAnsi="Times New Roman" w:eastAsia="宋体" w:cs="Times New Roman"/>
          <w:sz w:val="24"/>
          <w:szCs w:val="24"/>
          <w:highlight w:val="yellow"/>
        </w:rPr>
        <w:t>。</w:t>
      </w:r>
    </w:p>
    <w:p w14:paraId="5812F119">
      <w:pPr>
        <w:numPr>
          <w:ilvl w:val="1"/>
          <w:numId w:val="4"/>
        </w:numPr>
        <w:spacing w:line="360" w:lineRule="auto"/>
        <w:rPr>
          <w:rFonts w:ascii="Times New Roman" w:hAnsi="Times New Roman" w:eastAsia="宋体" w:cs="Times New Roman"/>
          <w:sz w:val="24"/>
          <w:szCs w:val="24"/>
          <w:highlight w:val="yellow"/>
        </w:rPr>
      </w:pPr>
      <w:r>
        <w:rPr>
          <w:rFonts w:ascii="Times New Roman" w:hAnsi="Times New Roman" w:eastAsia="宋体" w:cs="Times New Roman"/>
          <w:b/>
          <w:bCs/>
          <w:sz w:val="24"/>
          <w:szCs w:val="24"/>
          <w:highlight w:val="yellow"/>
        </w:rPr>
        <w:t>$EF_{CH4,w}$</w:t>
      </w:r>
      <w:r>
        <w:rPr>
          <w:rFonts w:ascii="Times New Roman" w:hAnsi="Times New Roman" w:eastAsia="宋体" w:cs="Times New Roman"/>
          <w:sz w:val="24"/>
          <w:szCs w:val="24"/>
          <w:highlight w:val="yellow"/>
        </w:rPr>
        <w:t xml:space="preserve">: 默认排放因子 (kg $CH_4$ ha⁻¹ yr⁻¹)，查 </w:t>
      </w:r>
      <w:r>
        <w:rPr>
          <w:rFonts w:ascii="Times New Roman" w:hAnsi="Times New Roman" w:eastAsia="宋体" w:cs="Times New Roman"/>
          <w:b/>
          <w:bCs/>
          <w:sz w:val="24"/>
          <w:szCs w:val="24"/>
          <w:highlight w:val="yellow"/>
        </w:rPr>
        <w:t>表 7.12</w:t>
      </w:r>
      <w:r>
        <w:rPr>
          <w:rFonts w:ascii="Times New Roman" w:hAnsi="Times New Roman" w:eastAsia="宋体" w:cs="Times New Roman"/>
          <w:sz w:val="24"/>
          <w:szCs w:val="24"/>
          <w:highlight w:val="yellow"/>
        </w:rPr>
        <w:t xml:space="preserve"> </w:t>
      </w:r>
      <w:r>
        <w:rPr>
          <w:rFonts w:ascii="Times New Roman" w:hAnsi="Times New Roman" w:eastAsia="宋体" w:cs="Times New Roman"/>
          <w:sz w:val="24"/>
          <w:szCs w:val="24"/>
          <w:highlight w:val="yellow"/>
          <w:vertAlign w:val="superscript"/>
        </w:rPr>
        <w:t>43</w:t>
      </w:r>
      <w:r>
        <w:rPr>
          <w:rFonts w:ascii="Times New Roman" w:hAnsi="Times New Roman" w:eastAsia="宋体" w:cs="Times New Roman"/>
          <w:sz w:val="24"/>
          <w:szCs w:val="24"/>
          <w:highlight w:val="yellow"/>
        </w:rPr>
        <w:t>。</w:t>
      </w:r>
    </w:p>
    <w:p w14:paraId="69B821F3">
      <w:pPr>
        <w:numPr>
          <w:ilvl w:val="2"/>
          <w:numId w:val="4"/>
        </w:numPr>
        <w:spacing w:line="360" w:lineRule="auto"/>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注意：Tier 1 的此类EF</w:t>
      </w:r>
      <w:r>
        <w:rPr>
          <w:rFonts w:ascii="Times New Roman" w:hAnsi="Times New Roman" w:eastAsia="宋体" w:cs="Times New Roman"/>
          <w:b/>
          <w:bCs/>
          <w:sz w:val="24"/>
          <w:szCs w:val="24"/>
          <w:highlight w:val="yellow"/>
        </w:rPr>
        <w:t>不区分气候区</w:t>
      </w:r>
      <w:r>
        <w:rPr>
          <w:rFonts w:ascii="Times New Roman" w:hAnsi="Times New Roman" w:eastAsia="宋体" w:cs="Times New Roman"/>
          <w:sz w:val="24"/>
          <w:szCs w:val="24"/>
          <w:highlight w:val="yellow"/>
        </w:rPr>
        <w:t xml:space="preserve"> </w:t>
      </w:r>
      <w:r>
        <w:rPr>
          <w:rFonts w:ascii="Times New Roman" w:hAnsi="Times New Roman" w:eastAsia="宋体" w:cs="Times New Roman"/>
          <w:sz w:val="24"/>
          <w:szCs w:val="24"/>
          <w:highlight w:val="yellow"/>
          <w:vertAlign w:val="superscript"/>
        </w:rPr>
        <w:t>44</w:t>
      </w:r>
      <w:r>
        <w:rPr>
          <w:rFonts w:ascii="Times New Roman" w:hAnsi="Times New Roman" w:eastAsia="宋体" w:cs="Times New Roman"/>
          <w:sz w:val="24"/>
          <w:szCs w:val="24"/>
          <w:highlight w:val="yellow"/>
        </w:rPr>
        <w:t>。</w:t>
      </w:r>
    </w:p>
    <w:p w14:paraId="57FB4742">
      <w:pPr>
        <w:numPr>
          <w:ilvl w:val="2"/>
          <w:numId w:val="4"/>
        </w:numPr>
        <w:spacing w:line="360" w:lineRule="auto"/>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 xml:space="preserve">Saline ponds (盐水池塘) = 30 </w:t>
      </w:r>
      <w:r>
        <w:rPr>
          <w:rFonts w:ascii="Times New Roman" w:hAnsi="Times New Roman" w:eastAsia="宋体" w:cs="Times New Roman"/>
          <w:sz w:val="24"/>
          <w:szCs w:val="24"/>
          <w:highlight w:val="yellow"/>
          <w:vertAlign w:val="superscript"/>
        </w:rPr>
        <w:t>45</w:t>
      </w:r>
    </w:p>
    <w:p w14:paraId="5DE9A2F7">
      <w:pPr>
        <w:numPr>
          <w:ilvl w:val="2"/>
          <w:numId w:val="4"/>
        </w:numPr>
        <w:spacing w:line="360" w:lineRule="auto"/>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 xml:space="preserve">Freshwater... ponds (淡水池塘) = 183 </w:t>
      </w:r>
      <w:r>
        <w:rPr>
          <w:rFonts w:ascii="Times New Roman" w:hAnsi="Times New Roman" w:eastAsia="宋体" w:cs="Times New Roman"/>
          <w:sz w:val="24"/>
          <w:szCs w:val="24"/>
          <w:highlight w:val="yellow"/>
          <w:vertAlign w:val="superscript"/>
        </w:rPr>
        <w:t>46</w:t>
      </w:r>
    </w:p>
    <w:p w14:paraId="671DBE76">
      <w:pPr>
        <w:numPr>
          <w:ilvl w:val="2"/>
          <w:numId w:val="4"/>
        </w:numPr>
        <w:spacing w:line="360" w:lineRule="auto"/>
        <w:rPr>
          <w:rFonts w:ascii="Times New Roman" w:hAnsi="Times New Roman" w:eastAsia="宋体" w:cs="Times New Roman"/>
          <w:sz w:val="24"/>
          <w:szCs w:val="24"/>
          <w:highlight w:val="yellow"/>
        </w:rPr>
      </w:pPr>
      <w:r>
        <w:rPr>
          <w:rFonts w:ascii="Times New Roman" w:hAnsi="Times New Roman" w:eastAsia="宋体" w:cs="Times New Roman"/>
          <w:sz w:val="24"/>
          <w:szCs w:val="24"/>
          <w:highlight w:val="yellow"/>
        </w:rPr>
        <w:t xml:space="preserve">Canals and ditches (运河与沟渠) = 416 </w:t>
      </w:r>
      <w:r>
        <w:rPr>
          <w:rFonts w:ascii="Times New Roman" w:hAnsi="Times New Roman" w:eastAsia="宋体" w:cs="Times New Roman"/>
          <w:sz w:val="24"/>
          <w:szCs w:val="24"/>
          <w:highlight w:val="yellow"/>
          <w:vertAlign w:val="superscript"/>
        </w:rPr>
        <w:t>47</w:t>
      </w:r>
    </w:p>
    <w:p w14:paraId="2E9E952F">
      <w:pPr>
        <w:spacing w:before="312" w:beforeLines="100" w:line="360" w:lineRule="auto"/>
        <w:rPr>
          <w:rFonts w:ascii="Times New Roman" w:hAnsi="Times New Roman" w:eastAsia="黑体" w:cs="Times New Roman"/>
          <w:sz w:val="28"/>
          <w:szCs w:val="28"/>
        </w:rPr>
      </w:pPr>
      <w:r>
        <w:rPr>
          <w:rFonts w:ascii="Times New Roman" w:hAnsi="Times New Roman" w:eastAsia="黑体" w:cs="Times New Roman"/>
          <w:sz w:val="28"/>
          <w:szCs w:val="28"/>
        </w:rPr>
        <w:t>7. 第一层级方法学（Tier 1）的不确定性分析</w:t>
      </w:r>
    </w:p>
    <w:p w14:paraId="013DEB6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不确定性评估是清单报告的重要组成部分。使用 Tier 1 方法时，必须认识到其高度的不确定性。</w:t>
      </w:r>
      <w:r>
        <w:rPr>
          <w:rFonts w:hint="eastAsia" w:ascii="Times New Roman" w:hAnsi="Times New Roman" w:eastAsia="宋体" w:cs="Times New Roman"/>
          <w:sz w:val="24"/>
          <w:szCs w:val="24"/>
          <w:lang w:val="en-US" w:eastAsia="zh-CN"/>
        </w:rPr>
        <w:t>Tier 1</w:t>
      </w:r>
      <w:r>
        <w:rPr>
          <w:rFonts w:ascii="Times New Roman" w:hAnsi="Times New Roman" w:eastAsia="宋体" w:cs="Times New Roman"/>
          <w:sz w:val="24"/>
          <w:szCs w:val="24"/>
        </w:rPr>
        <w:t>主要的不确定性来源包括：</w:t>
      </w:r>
    </w:p>
    <w:p w14:paraId="3F7B8430">
      <w:pPr>
        <w:numPr>
          <w:numId w:val="0"/>
        </w:numPr>
        <w:spacing w:line="360" w:lineRule="auto"/>
        <w:ind w:left="360" w:leftChars="0"/>
        <w:rPr>
          <w:rFonts w:ascii="Times New Roman" w:hAnsi="Times New Roman" w:eastAsia="宋体" w:cs="Times New Roman"/>
          <w:sz w:val="24"/>
          <w:szCs w:val="24"/>
        </w:rPr>
      </w:pPr>
      <w:r>
        <w:rPr>
          <w:rFonts w:hint="eastAsia" w:ascii="Times New Roman" w:hAnsi="Times New Roman" w:eastAsia="宋体" w:cs="Times New Roman"/>
          <w:b/>
          <w:bCs/>
          <w:sz w:val="24"/>
          <w:szCs w:val="24"/>
          <w:lang w:eastAsia="zh-CN"/>
        </w:rPr>
        <w:t>（</w:t>
      </w:r>
      <w:r>
        <w:rPr>
          <w:rFonts w:hint="eastAsia" w:ascii="Times New Roman" w:hAnsi="Times New Roman" w:eastAsia="宋体" w:cs="Times New Roman"/>
          <w:b/>
          <w:bCs/>
          <w:sz w:val="24"/>
          <w:szCs w:val="24"/>
          <w:lang w:val="en-US" w:eastAsia="zh-CN"/>
        </w:rPr>
        <w:t>1</w:t>
      </w:r>
      <w:r>
        <w:rPr>
          <w:rFonts w:hint="eastAsia" w:ascii="Times New Roman" w:hAnsi="Times New Roman" w:eastAsia="宋体" w:cs="Times New Roman"/>
          <w:b/>
          <w:bCs/>
          <w:sz w:val="24"/>
          <w:szCs w:val="24"/>
          <w:lang w:eastAsia="zh-CN"/>
        </w:rPr>
        <w:t>）</w:t>
      </w:r>
      <w:r>
        <w:rPr>
          <w:rFonts w:ascii="Times New Roman" w:hAnsi="Times New Roman" w:eastAsia="宋体" w:cs="Times New Roman"/>
          <w:b/>
          <w:bCs/>
          <w:sz w:val="24"/>
          <w:szCs w:val="24"/>
        </w:rPr>
        <w:t>活动数据</w:t>
      </w:r>
      <w:r>
        <w:rPr>
          <w:rFonts w:hint="eastAsia" w:ascii="Times New Roman" w:hAnsi="Times New Roman" w:eastAsia="宋体" w:cs="Times New Roman"/>
          <w:b/>
          <w:bCs/>
          <w:sz w:val="24"/>
          <w:szCs w:val="24"/>
          <w:lang w:eastAsia="zh-CN"/>
        </w:rPr>
        <w:t>（</w:t>
      </w:r>
      <w:r>
        <w:rPr>
          <w:rFonts w:hint="eastAsia" w:ascii="Times New Roman" w:hAnsi="Times New Roman" w:eastAsia="宋体" w:cs="Times New Roman"/>
          <w:b/>
          <w:bCs/>
          <w:sz w:val="24"/>
          <w:szCs w:val="24"/>
          <w:lang w:val="en-US" w:eastAsia="zh-CN"/>
        </w:rPr>
        <w:t>AD</w:t>
      </w:r>
      <w:r>
        <w:rPr>
          <w:rFonts w:hint="eastAsia" w:ascii="Times New Roman" w:hAnsi="Times New Roman" w:eastAsia="宋体" w:cs="Times New Roman"/>
          <w:b/>
          <w:bCs/>
          <w:sz w:val="24"/>
          <w:szCs w:val="24"/>
          <w:lang w:eastAsia="zh-CN"/>
        </w:rPr>
        <w:t>）</w:t>
      </w:r>
      <w:r>
        <w:rPr>
          <w:rFonts w:ascii="Times New Roman" w:hAnsi="Times New Roman" w:eastAsia="宋体" w:cs="Times New Roman"/>
          <w:b/>
          <w:bCs/>
          <w:sz w:val="24"/>
          <w:szCs w:val="24"/>
        </w:rPr>
        <w:t>的不确定性</w:t>
      </w:r>
    </w:p>
    <w:p w14:paraId="6E0314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虽然大坝（&gt;100 km²）的面积可能相对准确（误差10%以内），但对于小水库、农场池塘、沟渠等，面积数据可能非常不完整或不准确。在缺乏国家数据库的情况下，总面积的不确定性可能超过50%</w:t>
      </w:r>
      <w:r>
        <w:rPr>
          <w:rFonts w:ascii="Times New Roman" w:hAnsi="Times New Roman" w:eastAsia="宋体" w:cs="Times New Roman"/>
          <w:sz w:val="24"/>
          <w:szCs w:val="24"/>
        </w:rPr>
        <w:t xml:space="preserve"> 。这是最大的不确定性来源之一。</w:t>
      </w:r>
    </w:p>
    <w:p w14:paraId="0730AAB9">
      <w:pPr>
        <w:numPr>
          <w:numId w:val="0"/>
        </w:numPr>
        <w:spacing w:line="360" w:lineRule="auto"/>
        <w:ind w:left="360" w:leftChars="0"/>
        <w:rPr>
          <w:rFonts w:ascii="Times New Roman" w:hAnsi="Times New Roman" w:eastAsia="宋体" w:cs="Times New Roman"/>
          <w:sz w:val="24"/>
          <w:szCs w:val="24"/>
        </w:rPr>
      </w:pPr>
      <w:r>
        <w:rPr>
          <w:rFonts w:hint="eastAsia" w:ascii="Times New Roman" w:hAnsi="Times New Roman" w:eastAsia="宋体" w:cs="Times New Roman"/>
          <w:b/>
          <w:bCs/>
          <w:sz w:val="24"/>
          <w:szCs w:val="24"/>
          <w:lang w:eastAsia="zh-CN"/>
        </w:rPr>
        <w:t>（</w:t>
      </w:r>
      <w:r>
        <w:rPr>
          <w:rFonts w:hint="eastAsia" w:ascii="Times New Roman" w:hAnsi="Times New Roman" w:eastAsia="宋体" w:cs="Times New Roman"/>
          <w:b/>
          <w:bCs/>
          <w:sz w:val="24"/>
          <w:szCs w:val="24"/>
          <w:lang w:val="en-US" w:eastAsia="zh-CN"/>
        </w:rPr>
        <w:t>2</w:t>
      </w:r>
      <w:r>
        <w:rPr>
          <w:rFonts w:hint="eastAsia" w:ascii="Times New Roman" w:hAnsi="Times New Roman" w:eastAsia="宋体" w:cs="Times New Roman"/>
          <w:b/>
          <w:bCs/>
          <w:sz w:val="24"/>
          <w:szCs w:val="24"/>
          <w:lang w:eastAsia="zh-CN"/>
        </w:rPr>
        <w:t>）</w:t>
      </w:r>
      <w:r>
        <w:rPr>
          <w:rFonts w:ascii="Times New Roman" w:hAnsi="Times New Roman" w:eastAsia="宋体" w:cs="Times New Roman"/>
          <w:b/>
          <w:bCs/>
          <w:sz w:val="24"/>
          <w:szCs w:val="24"/>
        </w:rPr>
        <w:t>排放因子 (EF) 的不确定性</w:t>
      </w:r>
    </w:p>
    <w:p w14:paraId="6372EB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 xml:space="preserve">IPCC提供的默认因子是基于全球模型和数据得出的平均值。这些表格中的“95%置信区间”显示了高度的变异性。例如，热带湿润区 &gt; 20年水库的 </w:t>
      </w:r>
      <w:r>
        <w:rPr>
          <w:rFonts w:hint="eastAsia" w:ascii="Times New Roman" w:hAnsi="Times New Roman" w:eastAsia="宋体" w:cs="Times New Roman"/>
          <w:sz w:val="24"/>
          <w:szCs w:val="24"/>
          <w:lang w:val="en-US" w:eastAsia="zh-CN"/>
        </w:rPr>
        <w:t>CH4</w:t>
      </w:r>
      <w:r>
        <w:rPr>
          <w:rFonts w:ascii="Times New Roman" w:hAnsi="Times New Roman" w:eastAsia="宋体" w:cs="Times New Roman"/>
          <w:sz w:val="24"/>
          <w:szCs w:val="24"/>
        </w:rPr>
        <w:t>因子均值为 141.1，但置信区间为 131.1-152.7。这意味着使用 141.1 这个均值本身就存在不确定性。</w:t>
      </w:r>
    </w:p>
    <w:p w14:paraId="4ACC1120">
      <w:pPr>
        <w:numPr>
          <w:numId w:val="0"/>
        </w:numPr>
        <w:spacing w:line="360" w:lineRule="auto"/>
        <w:ind w:left="360" w:leftChars="0"/>
        <w:rPr>
          <w:rFonts w:ascii="Times New Roman" w:hAnsi="Times New Roman" w:eastAsia="宋体" w:cs="Times New Roman"/>
          <w:sz w:val="24"/>
          <w:szCs w:val="24"/>
        </w:rPr>
      </w:pPr>
      <w:r>
        <w:rPr>
          <w:rFonts w:hint="eastAsia" w:ascii="Times New Roman" w:hAnsi="Times New Roman" w:eastAsia="宋体" w:cs="Times New Roman"/>
          <w:b/>
          <w:bCs/>
          <w:sz w:val="24"/>
          <w:szCs w:val="24"/>
          <w:lang w:eastAsia="zh-CN"/>
        </w:rPr>
        <w:t>（</w:t>
      </w:r>
      <w:r>
        <w:rPr>
          <w:rFonts w:hint="eastAsia" w:ascii="Times New Roman" w:hAnsi="Times New Roman" w:eastAsia="宋体" w:cs="Times New Roman"/>
          <w:b/>
          <w:bCs/>
          <w:sz w:val="24"/>
          <w:szCs w:val="24"/>
          <w:lang w:val="en-US" w:eastAsia="zh-CN"/>
        </w:rPr>
        <w:t>3</w:t>
      </w:r>
      <w:r>
        <w:rPr>
          <w:rFonts w:hint="eastAsia" w:ascii="Times New Roman" w:hAnsi="Times New Roman" w:eastAsia="宋体" w:cs="Times New Roman"/>
          <w:b/>
          <w:bCs/>
          <w:sz w:val="24"/>
          <w:szCs w:val="24"/>
          <w:lang w:eastAsia="zh-CN"/>
        </w:rPr>
        <w:t>）</w:t>
      </w:r>
      <w:r>
        <w:rPr>
          <w:rFonts w:ascii="Times New Roman" w:hAnsi="Times New Roman" w:eastAsia="宋体" w:cs="Times New Roman"/>
          <w:b/>
          <w:bCs/>
          <w:sz w:val="24"/>
          <w:szCs w:val="24"/>
        </w:rPr>
        <w:t>下游排放Rd 的不确定性</w:t>
      </w:r>
    </w:p>
    <w:p w14:paraId="22A07B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Tier 1 假设 Rd 为 0.09 。但实际的下游排放与水库是否热分层、取水深度（是取表层富氧水还是底层缺氧富甲烷水）密切相关。在某些情况下，下游排放可能微不足道，而在另一些情况下，它甚至可能超过水面排放。使用单一的0.09值会带来很大不确定性。</w:t>
      </w:r>
    </w:p>
    <w:p w14:paraId="117C34CB">
      <w:pPr>
        <w:spacing w:before="312" w:beforeLines="100" w:line="360" w:lineRule="auto"/>
        <w:rPr>
          <w:rFonts w:ascii="Times New Roman" w:hAnsi="Times New Roman" w:eastAsia="黑体" w:cs="Times New Roman"/>
          <w:sz w:val="28"/>
          <w:szCs w:val="28"/>
        </w:rPr>
      </w:pPr>
      <w:r>
        <w:rPr>
          <w:rFonts w:ascii="Times New Roman" w:hAnsi="Times New Roman" w:eastAsia="黑体" w:cs="Times New Roman"/>
          <w:sz w:val="28"/>
          <w:szCs w:val="28"/>
        </w:rPr>
        <w:t>8. 第一层层级方法学（Tier 1）输出结果解读</w:t>
      </w:r>
    </w:p>
    <w:p w14:paraId="71216EC6">
      <w:pPr>
        <w:spacing w:line="360" w:lineRule="auto"/>
        <w:rPr>
          <w:rFonts w:ascii="Times New Roman" w:hAnsi="Times New Roman" w:eastAsia="宋体" w:cs="Times New Roman"/>
          <w:sz w:val="24"/>
          <w:szCs w:val="24"/>
        </w:rPr>
      </w:pPr>
    </w:p>
    <w:p w14:paraId="14CC5D1E">
      <w:pPr>
        <w:spacing w:line="360" w:lineRule="auto"/>
        <w:rPr>
          <w:rFonts w:ascii="Times New Roman" w:hAnsi="Times New Roman" w:eastAsia="宋体" w:cs="Times New Roman"/>
          <w:sz w:val="24"/>
          <w:szCs w:val="24"/>
        </w:rPr>
      </w:pPr>
    </w:p>
    <w:p w14:paraId="63675A79">
      <w:pPr>
        <w:spacing w:line="360" w:lineRule="auto"/>
        <w:rPr>
          <w:rFonts w:ascii="Times New Roman" w:hAnsi="Times New Roman" w:eastAsia="宋体" w:cs="Times New Roman"/>
          <w:sz w:val="24"/>
          <w:szCs w:val="24"/>
        </w:rPr>
      </w:pPr>
    </w:p>
    <w:p w14:paraId="0FF84942">
      <w:pPr>
        <w:spacing w:line="360" w:lineRule="auto"/>
        <w:rPr>
          <w:rFonts w:ascii="Times New Roman" w:hAnsi="Times New Roman" w:eastAsia="宋体" w:cs="Times New Roman"/>
          <w:sz w:val="24"/>
          <w:szCs w:val="24"/>
        </w:rPr>
      </w:pPr>
    </w:p>
    <w:p w14:paraId="6FC11EB3">
      <w:pPr>
        <w:spacing w:line="360" w:lineRule="auto"/>
        <w:rPr>
          <w:rFonts w:ascii="Times New Roman" w:hAnsi="Times New Roman" w:eastAsia="宋体" w:cs="Times New Roman"/>
          <w:sz w:val="24"/>
          <w:szCs w:val="24"/>
        </w:rPr>
      </w:pPr>
    </w:p>
    <w:p w14:paraId="13DFB29E">
      <w:pPr>
        <w:spacing w:line="360" w:lineRule="auto"/>
        <w:rPr>
          <w:rFonts w:ascii="Times New Roman" w:hAnsi="Times New Roman" w:eastAsia="宋体" w:cs="Times New Roman"/>
          <w:sz w:val="24"/>
          <w:szCs w:val="24"/>
        </w:rPr>
      </w:pPr>
    </w:p>
    <w:p w14:paraId="6D83DB9B">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免责声明：本内容是基于IPCC 2019修订版第7章（湿地）文件所做的总结。所有信息和数据均严格来源于</w:t>
      </w:r>
      <w:r>
        <w:rPr>
          <w:rFonts w:hint="eastAsia" w:ascii="Times New Roman" w:hAnsi="Times New Roman" w:eastAsia="宋体" w:cs="Times New Roman"/>
          <w:sz w:val="24"/>
          <w:szCs w:val="24"/>
          <w:lang w:val="en-US" w:eastAsia="zh-CN"/>
        </w:rPr>
        <w:t>IPCC</w:t>
      </w:r>
      <w:r>
        <w:rPr>
          <w:rFonts w:hint="eastAsia" w:ascii="Times New Roman" w:hAnsi="Times New Roman" w:eastAsia="宋体" w:cs="Times New Roman"/>
          <w:sz w:val="24"/>
          <w:szCs w:val="24"/>
        </w:rPr>
        <w:t>所提供文件。在实际的国家温室气体清单编制工作中，应始终参考最新的IPCC官方指南原文。</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EB762F"/>
    <w:multiLevelType w:val="multilevel"/>
    <w:tmpl w:val="0EEB76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77B7109"/>
    <w:multiLevelType w:val="multilevel"/>
    <w:tmpl w:val="177B71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4917E26"/>
    <w:multiLevelType w:val="multilevel"/>
    <w:tmpl w:val="24917E2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6A4058D0"/>
    <w:multiLevelType w:val="multilevel"/>
    <w:tmpl w:val="6A4058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BAA"/>
    <w:rsid w:val="00082D07"/>
    <w:rsid w:val="000B7522"/>
    <w:rsid w:val="000C66CA"/>
    <w:rsid w:val="001432EA"/>
    <w:rsid w:val="00186252"/>
    <w:rsid w:val="001A0E8A"/>
    <w:rsid w:val="001A1ADF"/>
    <w:rsid w:val="001C5EB9"/>
    <w:rsid w:val="00392586"/>
    <w:rsid w:val="003C1F5B"/>
    <w:rsid w:val="00414979"/>
    <w:rsid w:val="00466F70"/>
    <w:rsid w:val="004B27AE"/>
    <w:rsid w:val="004B463D"/>
    <w:rsid w:val="0050014E"/>
    <w:rsid w:val="0056301C"/>
    <w:rsid w:val="00652899"/>
    <w:rsid w:val="006D07EC"/>
    <w:rsid w:val="007B0F72"/>
    <w:rsid w:val="007C1302"/>
    <w:rsid w:val="007C3134"/>
    <w:rsid w:val="007C3B00"/>
    <w:rsid w:val="007C5947"/>
    <w:rsid w:val="00802EA8"/>
    <w:rsid w:val="008A42E0"/>
    <w:rsid w:val="008E2E6A"/>
    <w:rsid w:val="008F0741"/>
    <w:rsid w:val="00991BAA"/>
    <w:rsid w:val="009B7C21"/>
    <w:rsid w:val="00AC5B9A"/>
    <w:rsid w:val="00B7396C"/>
    <w:rsid w:val="00BA1054"/>
    <w:rsid w:val="00C71C0C"/>
    <w:rsid w:val="00C74715"/>
    <w:rsid w:val="00CE43DD"/>
    <w:rsid w:val="00D741AA"/>
    <w:rsid w:val="00DC3E49"/>
    <w:rsid w:val="00EA651C"/>
    <w:rsid w:val="00EC55CD"/>
    <w:rsid w:val="00F0014C"/>
    <w:rsid w:val="00F825BD"/>
    <w:rsid w:val="01B82438"/>
    <w:rsid w:val="0ED65A91"/>
    <w:rsid w:val="1B2A18D8"/>
    <w:rsid w:val="21CD2F3E"/>
    <w:rsid w:val="5A3B2434"/>
    <w:rsid w:val="640E3052"/>
    <w:rsid w:val="645A5B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4"/>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5"/>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9"/>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footnote text"/>
    <w:basedOn w:val="1"/>
    <w:link w:val="37"/>
    <w:semiHidden/>
    <w:unhideWhenUsed/>
    <w:qFormat/>
    <w:uiPriority w:val="99"/>
    <w:pPr>
      <w:snapToGrid w:val="0"/>
      <w:jc w:val="left"/>
    </w:pPr>
    <w:rPr>
      <w:sz w:val="18"/>
      <w:szCs w:val="18"/>
    </w:rPr>
  </w:style>
  <w:style w:type="paragraph" w:styleId="13">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4">
    <w:name w:val="Title"/>
    <w:basedOn w:val="1"/>
    <w:next w:val="1"/>
    <w:link w:val="28"/>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7">
    <w:name w:val="Strong"/>
    <w:basedOn w:val="16"/>
    <w:qFormat/>
    <w:uiPriority w:val="22"/>
    <w:rPr>
      <w:b/>
    </w:rPr>
  </w:style>
  <w:style w:type="character" w:styleId="18">
    <w:name w:val="footnote reference"/>
    <w:basedOn w:val="16"/>
    <w:semiHidden/>
    <w:unhideWhenUsed/>
    <w:uiPriority w:val="99"/>
    <w:rPr>
      <w:vertAlign w:val="superscript"/>
    </w:rPr>
  </w:style>
  <w:style w:type="character" w:customStyle="1" w:styleId="19">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20">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1">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6"/>
    <w:link w:val="5"/>
    <w:semiHidden/>
    <w:qFormat/>
    <w:uiPriority w:val="9"/>
    <w:rPr>
      <w:rFonts w:cstheme="majorBidi"/>
      <w:color w:val="104862" w:themeColor="accent1" w:themeShade="BF"/>
      <w:sz w:val="28"/>
      <w:szCs w:val="28"/>
    </w:rPr>
  </w:style>
  <w:style w:type="character" w:customStyle="1" w:styleId="23">
    <w:name w:val="标题 5 字符"/>
    <w:basedOn w:val="16"/>
    <w:link w:val="6"/>
    <w:semiHidden/>
    <w:qFormat/>
    <w:uiPriority w:val="9"/>
    <w:rPr>
      <w:rFonts w:cstheme="majorBidi"/>
      <w:color w:val="104862" w:themeColor="accent1" w:themeShade="BF"/>
      <w:sz w:val="24"/>
      <w:szCs w:val="24"/>
    </w:rPr>
  </w:style>
  <w:style w:type="character" w:customStyle="1" w:styleId="24">
    <w:name w:val="标题 6 字符"/>
    <w:basedOn w:val="16"/>
    <w:link w:val="7"/>
    <w:semiHidden/>
    <w:qFormat/>
    <w:uiPriority w:val="9"/>
    <w:rPr>
      <w:rFonts w:cstheme="majorBidi"/>
      <w:b/>
      <w:bCs/>
      <w:color w:val="104862" w:themeColor="accent1" w:themeShade="BF"/>
    </w:rPr>
  </w:style>
  <w:style w:type="character" w:customStyle="1" w:styleId="25">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6"/>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6"/>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6"/>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6"/>
    <w:link w:val="34"/>
    <w:qFormat/>
    <w:uiPriority w:val="30"/>
    <w:rPr>
      <w:i/>
      <w:iCs/>
      <w:color w:val="104862" w:themeColor="accent1" w:themeShade="BF"/>
    </w:rPr>
  </w:style>
  <w:style w:type="character" w:customStyle="1" w:styleId="36">
    <w:name w:val="Intense Reference"/>
    <w:basedOn w:val="16"/>
    <w:qFormat/>
    <w:uiPriority w:val="32"/>
    <w:rPr>
      <w:b/>
      <w:bCs/>
      <w:smallCaps/>
      <w:color w:val="104862" w:themeColor="accent1" w:themeShade="BF"/>
      <w:spacing w:val="5"/>
    </w:rPr>
  </w:style>
  <w:style w:type="character" w:customStyle="1" w:styleId="37">
    <w:name w:val="脚注文本 字符"/>
    <w:basedOn w:val="16"/>
    <w:link w:val="12"/>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37712-FB29-454B-9847-100661AF7AA2}">
  <ds:schemaRefs/>
</ds:datastoreItem>
</file>

<file path=docProps/app.xml><?xml version="1.0" encoding="utf-8"?>
<Properties xmlns="http://schemas.openxmlformats.org/officeDocument/2006/extended-properties" xmlns:vt="http://schemas.openxmlformats.org/officeDocument/2006/docPropsVTypes">
  <Template>Normal</Template>
  <Pages>9</Pages>
  <Words>5011</Words>
  <Characters>6714</Characters>
  <Lines>51</Lines>
  <Paragraphs>14</Paragraphs>
  <TotalTime>4</TotalTime>
  <ScaleCrop>false</ScaleCrop>
  <LinksUpToDate>false</LinksUpToDate>
  <CharactersWithSpaces>7100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2025-11-03T03:05:00Z</dcterms:created>
  <dc:creator>Zhe Li</dc:creator>
  <cp:lastModifiedBy>李哲</cp:lastModifiedBy>
  <dcterms:modified xsi:type="dcterms:W3CDTF">2025-11-08T09:14:02Z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eyJoZGlkIjoiMzEwNTM5NzYwMDRjMzkwZTVkZjY2ODkwMGIxNGU0OTUiLCJ1c2VySWQiOiI0NzgyMTIyODIifQ==</vt:lpwstr>
  </property>
  <property fmtid="{D5CDD505-2E9C-101B-9397-08002B2CF9AE}" pid="3" name="KSOProductBuildVer">
    <vt:lpwstr>2052-12.1.0.23542</vt:lpwstr>
  </property>
  <property fmtid="{D5CDD505-2E9C-101B-9397-08002B2CF9AE}" pid="4" name="ICV">
    <vt:lpwstr>8FEDFC8F42B74494BA63B85481826EE5_12</vt:lpwstr>
  </property>
</Properties>
</file>