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B67528">
      <w:pPr>
        <w:spacing w:before="2800"/>
      </w:pPr>
    </w:p>
    <w:p w14:paraId="1B75EC4B">
      <w:pPr>
        <w:spacing w:after="360"/>
        <w:jc w:val="center"/>
      </w:pPr>
      <w:r>
        <w:rPr>
          <w:rFonts w:ascii="Times New Roman" w:hAnsi="Times New Roman" w:eastAsia="黑体"/>
          <w:b/>
          <w:bCs/>
          <w:sz w:val="48"/>
          <w:szCs w:val="48"/>
        </w:rPr>
        <w:t>MicroEco-KG</w:t>
      </w:r>
    </w:p>
    <w:p w14:paraId="087E2779">
      <w:pPr>
        <w:spacing w:after="100"/>
        <w:jc w:val="center"/>
      </w:pPr>
      <w:r>
        <w:rPr>
          <w:rFonts w:ascii="Times New Roman" w:hAnsi="Times New Roman" w:eastAsia="黑体"/>
          <w:b/>
          <w:bCs/>
          <w:sz w:val="36"/>
          <w:szCs w:val="36"/>
        </w:rPr>
        <w:t>面向淡水系统微生物相互作用的</w:t>
      </w:r>
    </w:p>
    <w:p w14:paraId="41D0D5C6">
      <w:pPr>
        <w:spacing w:after="720"/>
        <w:jc w:val="center"/>
      </w:pPr>
      <w:r>
        <w:rPr>
          <w:rFonts w:ascii="Times New Roman" w:hAnsi="Times New Roman" w:eastAsia="黑体"/>
          <w:b/>
          <w:bCs/>
          <w:sz w:val="36"/>
          <w:szCs w:val="36"/>
        </w:rPr>
        <w:t>多模态对齐知识图谱</w:t>
      </w:r>
    </w:p>
    <w:p w14:paraId="159137F9">
      <w:pPr>
        <w:spacing w:after="2400"/>
        <w:jc w:val="center"/>
      </w:pPr>
      <w:r>
        <w:rPr>
          <w:rFonts w:ascii="Times New Roman" w:hAnsi="Times New Roman" w:eastAsia="黑体"/>
          <w:b/>
          <w:bCs/>
          <w:sz w:val="36"/>
          <w:szCs w:val="36"/>
        </w:rPr>
        <w:t>技术报告</w:t>
      </w:r>
    </w:p>
    <w:p w14:paraId="4BC618D3">
      <w:pPr>
        <w:spacing w:line="360" w:lineRule="auto"/>
        <w:jc w:val="center"/>
      </w:pPr>
      <w:r>
        <w:rPr>
          <w:rFonts w:ascii="Times New Roman" w:hAnsi="Times New Roman" w:eastAsia="宋体"/>
          <w:sz w:val="24"/>
          <w:szCs w:val="24"/>
        </w:rPr>
        <w:t>作品名称        MicroEco-KG (v0.1)</w:t>
      </w:r>
    </w:p>
    <w:p w14:paraId="75F8816D">
      <w:pPr>
        <w:spacing w:line="360" w:lineRule="auto"/>
        <w:jc w:val="center"/>
      </w:pPr>
      <w:r>
        <w:rPr>
          <w:rFonts w:ascii="Times New Roman" w:hAnsi="Times New Roman" w:eastAsia="宋体"/>
          <w:sz w:val="24"/>
          <w:szCs w:val="24"/>
        </w:rPr>
        <w:t>所属赛道        赛道一 — Sci-Align 科学对齐数据</w:t>
      </w:r>
    </w:p>
    <w:p w14:paraId="51C20789">
      <w:pPr>
        <w:spacing w:line="360" w:lineRule="auto"/>
        <w:jc w:val="center"/>
      </w:pPr>
      <w:r>
        <w:rPr>
          <w:rFonts w:ascii="Times New Roman" w:hAnsi="Times New Roman" w:eastAsia="宋体"/>
          <w:sz w:val="24"/>
          <w:szCs w:val="24"/>
        </w:rPr>
        <w:t>学科领域        淡水系统微生物相互作用</w:t>
      </w:r>
    </w:p>
    <w:p w14:paraId="506CD0EB">
      <w:pPr>
        <w:spacing w:line="360" w:lineRule="auto"/>
        <w:jc w:val="center"/>
      </w:pPr>
      <w:r>
        <w:rPr>
          <w:rFonts w:ascii="Times New Roman" w:hAnsi="Times New Roman" w:eastAsia="宋体"/>
          <w:sz w:val="24"/>
          <w:szCs w:val="24"/>
        </w:rPr>
        <w:t>MinerU 工具链   MinerU 开源项目 (PDF 版面解析)</w:t>
      </w:r>
    </w:p>
    <w:p w14:paraId="5A9961A9">
      <w:pPr>
        <w:spacing w:line="360" w:lineRule="auto"/>
        <w:jc w:val="center"/>
      </w:pPr>
      <w:r>
        <w:rPr>
          <w:rFonts w:ascii="Times New Roman" w:hAnsi="Times New Roman" w:eastAsia="宋体"/>
          <w:sz w:val="24"/>
          <w:szCs w:val="24"/>
        </w:rPr>
        <w:t>开源协议        数据 CC-BY-4.0  /  代码 Apache 2.0</w:t>
      </w:r>
    </w:p>
    <w:p w14:paraId="3452B215">
      <w:pPr>
        <w:spacing w:line="360" w:lineRule="auto"/>
        <w:jc w:val="center"/>
      </w:pPr>
      <w:r>
        <w:rPr>
          <w:rFonts w:ascii="Times New Roman" w:hAnsi="Times New Roman" w:eastAsia="宋体"/>
          <w:sz w:val="24"/>
          <w:szCs w:val="24"/>
        </w:rPr>
        <w:t>日  期         2026 年 5 月</w:t>
      </w:r>
    </w:p>
    <w:p w14:paraId="6B682553">
      <w:r>
        <w:br w:type="page"/>
      </w:r>
    </w:p>
    <w:p w14:paraId="65A89900">
      <w:pPr>
        <w:pStyle w:val="2"/>
        <w:spacing w:before="480" w:after="240"/>
      </w:pPr>
      <w:r>
        <w:rPr>
          <w:rFonts w:ascii="Times New Roman" w:hAnsi="Times New Roman" w:eastAsia="黑体"/>
          <w:b/>
          <w:bCs/>
          <w:sz w:val="32"/>
          <w:szCs w:val="32"/>
        </w:rPr>
        <w:t>目录</w:t>
      </w:r>
    </w:p>
    <w:p w14:paraId="19147B3F">
      <w:pPr>
        <w:tabs>
          <w:tab w:val="right" w:leader="dot" w:pos="9000"/>
        </w:tabs>
        <w:spacing w:before="80" w:after="0" w:line="360" w:lineRule="auto"/>
        <w:ind w:left="0"/>
      </w:pPr>
      <w:r>
        <w:rPr>
          <w:rFonts w:ascii="Times New Roman" w:hAnsi="Times New Roman" w:eastAsia="黑体"/>
          <w:b/>
          <w:bCs/>
          <w:sz w:val="24"/>
          <w:szCs w:val="24"/>
        </w:rPr>
        <w:t>摘要</w:t>
      </w:r>
      <w:r>
        <w:rPr>
          <w:rFonts w:ascii="Times New Roman" w:hAnsi="Times New Roman" w:eastAsia="宋体"/>
          <w:b/>
          <w:bCs/>
          <w:sz w:val="24"/>
          <w:szCs w:val="24"/>
        </w:rPr>
        <w:tab/>
        <w:t>5</w:t>
      </w:r>
    </w:p>
    <w:p w14:paraId="2E378B94">
      <w:pPr>
        <w:tabs>
          <w:tab w:val="right" w:leader="dot" w:pos="9000"/>
        </w:tabs>
        <w:spacing w:before="80" w:after="0" w:line="360" w:lineRule="auto"/>
        <w:ind w:left="0"/>
      </w:pPr>
      <w:r>
        <w:rPr>
          <w:rFonts w:ascii="Times New Roman" w:hAnsi="Times New Roman" w:eastAsia="黑体"/>
          <w:b/>
          <w:bCs/>
          <w:sz w:val="24"/>
          <w:szCs w:val="24"/>
        </w:rPr>
        <w:t>第一章 研究背景与数据集定位</w:t>
      </w:r>
      <w:r>
        <w:rPr>
          <w:rFonts w:ascii="Times New Roman" w:hAnsi="Times New Roman" w:eastAsia="宋体"/>
          <w:b/>
          <w:bCs/>
          <w:sz w:val="24"/>
          <w:szCs w:val="24"/>
        </w:rPr>
        <w:tab/>
        <w:t>6</w:t>
      </w:r>
    </w:p>
    <w:p w14:paraId="1CBBB316">
      <w:pPr>
        <w:tabs>
          <w:tab w:val="right" w:leader="dot" w:pos="9000"/>
        </w:tabs>
        <w:spacing w:before="0" w:after="0" w:line="360" w:lineRule="auto"/>
        <w:ind w:left="480"/>
      </w:pPr>
      <w:r>
        <w:rPr>
          <w:rFonts w:ascii="Times New Roman" w:hAnsi="Times New Roman" w:eastAsia="宋体"/>
          <w:b w:val="0"/>
          <w:bCs w:val="0"/>
          <w:sz w:val="22"/>
          <w:szCs w:val="22"/>
        </w:rPr>
        <w:t>1.1 为什么要做这件事</w:t>
      </w:r>
      <w:r>
        <w:rPr>
          <w:rFonts w:ascii="Times New Roman" w:hAnsi="Times New Roman" w:eastAsia="宋体"/>
          <w:b w:val="0"/>
          <w:bCs w:val="0"/>
          <w:sz w:val="22"/>
          <w:szCs w:val="22"/>
        </w:rPr>
        <w:tab/>
        <w:t>6</w:t>
      </w:r>
    </w:p>
    <w:p w14:paraId="564591AE">
      <w:pPr>
        <w:tabs>
          <w:tab w:val="right" w:leader="dot" w:pos="9000"/>
        </w:tabs>
        <w:spacing w:before="0" w:after="0" w:line="360" w:lineRule="auto"/>
        <w:ind w:left="480"/>
      </w:pPr>
      <w:r>
        <w:rPr>
          <w:rFonts w:ascii="Times New Roman" w:hAnsi="Times New Roman" w:eastAsia="宋体"/>
          <w:b w:val="0"/>
          <w:bCs w:val="0"/>
          <w:sz w:val="22"/>
          <w:szCs w:val="22"/>
        </w:rPr>
        <w:t>1.2 数据集的范式归属</w:t>
      </w:r>
      <w:r>
        <w:rPr>
          <w:rFonts w:ascii="Times New Roman" w:hAnsi="Times New Roman" w:eastAsia="宋体"/>
          <w:b w:val="0"/>
          <w:bCs w:val="0"/>
          <w:sz w:val="22"/>
          <w:szCs w:val="22"/>
        </w:rPr>
        <w:tab/>
        <w:t>6</w:t>
      </w:r>
    </w:p>
    <w:p w14:paraId="57D5E283">
      <w:pPr>
        <w:tabs>
          <w:tab w:val="right" w:leader="dot" w:pos="9000"/>
        </w:tabs>
        <w:spacing w:before="0" w:after="0" w:line="360" w:lineRule="auto"/>
        <w:ind w:left="480"/>
      </w:pPr>
      <w:r>
        <w:rPr>
          <w:rFonts w:ascii="Times New Roman" w:hAnsi="Times New Roman" w:eastAsia="宋体"/>
          <w:b w:val="0"/>
          <w:bCs w:val="0"/>
          <w:sz w:val="22"/>
          <w:szCs w:val="22"/>
        </w:rPr>
        <w:t>1.3 v0.1 在整个项目中的位置</w:t>
      </w:r>
      <w:r>
        <w:rPr>
          <w:rFonts w:ascii="Times New Roman" w:hAnsi="Times New Roman" w:eastAsia="宋体"/>
          <w:b w:val="0"/>
          <w:bCs w:val="0"/>
          <w:sz w:val="22"/>
          <w:szCs w:val="22"/>
        </w:rPr>
        <w:tab/>
        <w:t>7</w:t>
      </w:r>
    </w:p>
    <w:p w14:paraId="51C3CF37">
      <w:pPr>
        <w:tabs>
          <w:tab w:val="right" w:leader="dot" w:pos="9000"/>
        </w:tabs>
        <w:spacing w:before="80" w:after="0" w:line="360" w:lineRule="auto"/>
        <w:ind w:left="0"/>
      </w:pPr>
      <w:r>
        <w:rPr>
          <w:rFonts w:ascii="Times New Roman" w:hAnsi="Times New Roman" w:eastAsia="黑体"/>
          <w:b/>
          <w:bCs/>
          <w:sz w:val="24"/>
          <w:szCs w:val="24"/>
        </w:rPr>
        <w:t>第二章 本体设计</w:t>
      </w:r>
      <w:r>
        <w:rPr>
          <w:rFonts w:ascii="Times New Roman" w:hAnsi="Times New Roman" w:eastAsia="宋体"/>
          <w:b/>
          <w:bCs/>
          <w:sz w:val="24"/>
          <w:szCs w:val="24"/>
        </w:rPr>
        <w:tab/>
        <w:t>8</w:t>
      </w:r>
    </w:p>
    <w:p w14:paraId="2B86A803">
      <w:pPr>
        <w:tabs>
          <w:tab w:val="right" w:leader="dot" w:pos="9000"/>
        </w:tabs>
        <w:spacing w:before="0" w:after="0" w:line="360" w:lineRule="auto"/>
        <w:ind w:left="480"/>
      </w:pPr>
      <w:r>
        <w:rPr>
          <w:rFonts w:ascii="Times New Roman" w:hAnsi="Times New Roman" w:eastAsia="宋体"/>
          <w:b w:val="0"/>
          <w:bCs w:val="0"/>
          <w:sz w:val="22"/>
          <w:szCs w:val="22"/>
        </w:rPr>
        <w:t>2.1 TRAES 五元组</w:t>
      </w:r>
      <w:r>
        <w:rPr>
          <w:rFonts w:ascii="Times New Roman" w:hAnsi="Times New Roman" w:eastAsia="宋体"/>
          <w:b w:val="0"/>
          <w:bCs w:val="0"/>
          <w:sz w:val="22"/>
          <w:szCs w:val="22"/>
        </w:rPr>
        <w:tab/>
        <w:t>8</w:t>
      </w:r>
    </w:p>
    <w:p w14:paraId="2538C5AA">
      <w:pPr>
        <w:tabs>
          <w:tab w:val="right" w:leader="dot" w:pos="9000"/>
        </w:tabs>
        <w:spacing w:before="0" w:after="0" w:line="360" w:lineRule="auto"/>
        <w:ind w:left="480"/>
      </w:pPr>
      <w:r>
        <w:rPr>
          <w:rFonts w:ascii="Times New Roman" w:hAnsi="Times New Roman" w:eastAsia="宋体"/>
          <w:b w:val="0"/>
          <w:bCs w:val="0"/>
          <w:sz w:val="22"/>
          <w:szCs w:val="22"/>
        </w:rPr>
        <w:t>2.2 事件中心型(Event-Centric)拓扑</w:t>
      </w:r>
      <w:r>
        <w:rPr>
          <w:rFonts w:ascii="Times New Roman" w:hAnsi="Times New Roman" w:eastAsia="宋体"/>
          <w:b w:val="0"/>
          <w:bCs w:val="0"/>
          <w:sz w:val="22"/>
          <w:szCs w:val="22"/>
        </w:rPr>
        <w:tab/>
        <w:t>9</w:t>
      </w:r>
    </w:p>
    <w:p w14:paraId="3396BD65">
      <w:pPr>
        <w:tabs>
          <w:tab w:val="right" w:leader="dot" w:pos="9000"/>
        </w:tabs>
        <w:spacing w:before="0" w:after="0" w:line="360" w:lineRule="auto"/>
        <w:ind w:left="480"/>
      </w:pPr>
      <w:r>
        <w:rPr>
          <w:rFonts w:ascii="Times New Roman" w:hAnsi="Times New Roman" w:eastAsia="宋体"/>
          <w:b w:val="0"/>
          <w:bCs w:val="0"/>
          <w:sz w:val="22"/>
          <w:szCs w:val="22"/>
        </w:rPr>
        <w:t>2.3 事件标识与跨文献去重</w:t>
      </w:r>
      <w:r>
        <w:rPr>
          <w:rFonts w:ascii="Times New Roman" w:hAnsi="Times New Roman" w:eastAsia="宋体"/>
          <w:b w:val="0"/>
          <w:bCs w:val="0"/>
          <w:sz w:val="22"/>
          <w:szCs w:val="22"/>
        </w:rPr>
        <w:tab/>
        <w:t>9</w:t>
      </w:r>
    </w:p>
    <w:p w14:paraId="11256F9D">
      <w:pPr>
        <w:tabs>
          <w:tab w:val="right" w:leader="dot" w:pos="9000"/>
        </w:tabs>
        <w:spacing w:before="80" w:after="0" w:line="360" w:lineRule="auto"/>
        <w:ind w:left="0"/>
      </w:pPr>
      <w:r>
        <w:rPr>
          <w:rFonts w:ascii="Times New Roman" w:hAnsi="Times New Roman" w:eastAsia="黑体"/>
          <w:b/>
          <w:bCs/>
          <w:sz w:val="24"/>
          <w:szCs w:val="24"/>
        </w:rPr>
        <w:t>第三章 数据构建流水线</w:t>
      </w:r>
      <w:r>
        <w:rPr>
          <w:rFonts w:ascii="Times New Roman" w:hAnsi="Times New Roman" w:eastAsia="宋体"/>
          <w:b/>
          <w:bCs/>
          <w:sz w:val="24"/>
          <w:szCs w:val="24"/>
        </w:rPr>
        <w:tab/>
        <w:t>11</w:t>
      </w:r>
    </w:p>
    <w:p w14:paraId="7DD573E4">
      <w:pPr>
        <w:tabs>
          <w:tab w:val="right" w:leader="dot" w:pos="9000"/>
        </w:tabs>
        <w:spacing w:before="0" w:after="0" w:line="360" w:lineRule="auto"/>
        <w:ind w:left="480"/>
      </w:pPr>
      <w:r>
        <w:rPr>
          <w:rFonts w:ascii="Times New Roman" w:hAnsi="Times New Roman" w:eastAsia="宋体"/>
          <w:b w:val="0"/>
          <w:bCs w:val="0"/>
          <w:sz w:val="22"/>
          <w:szCs w:val="22"/>
        </w:rPr>
        <w:t>3.1 总体设计</w:t>
      </w:r>
      <w:r>
        <w:rPr>
          <w:rFonts w:ascii="Times New Roman" w:hAnsi="Times New Roman" w:eastAsia="宋体"/>
          <w:b w:val="0"/>
          <w:bCs w:val="0"/>
          <w:sz w:val="22"/>
          <w:szCs w:val="22"/>
        </w:rPr>
        <w:tab/>
        <w:t>11</w:t>
      </w:r>
    </w:p>
    <w:p w14:paraId="2D36F17A">
      <w:pPr>
        <w:tabs>
          <w:tab w:val="right" w:leader="dot" w:pos="9000"/>
        </w:tabs>
        <w:spacing w:before="0" w:after="0" w:line="360" w:lineRule="auto"/>
        <w:ind w:left="480"/>
      </w:pPr>
      <w:r>
        <w:rPr>
          <w:rFonts w:ascii="Times New Roman" w:hAnsi="Times New Roman" w:eastAsia="宋体"/>
          <w:b w:val="0"/>
          <w:bCs w:val="0"/>
          <w:sz w:val="22"/>
          <w:szCs w:val="22"/>
        </w:rPr>
        <w:t>3.2 文献获取</w:t>
      </w:r>
      <w:r>
        <w:rPr>
          <w:rFonts w:ascii="Times New Roman" w:hAnsi="Times New Roman" w:eastAsia="宋体"/>
          <w:b w:val="0"/>
          <w:bCs w:val="0"/>
          <w:sz w:val="22"/>
          <w:szCs w:val="22"/>
        </w:rPr>
        <w:tab/>
        <w:t>11</w:t>
      </w:r>
    </w:p>
    <w:p w14:paraId="33272791">
      <w:pPr>
        <w:tabs>
          <w:tab w:val="right" w:leader="dot" w:pos="9000"/>
        </w:tabs>
        <w:spacing w:before="0" w:after="0" w:line="360" w:lineRule="auto"/>
        <w:ind w:left="480"/>
      </w:pPr>
      <w:r>
        <w:rPr>
          <w:rFonts w:ascii="Times New Roman" w:hAnsi="Times New Roman" w:eastAsia="宋体"/>
          <w:b w:val="0"/>
          <w:bCs w:val="0"/>
          <w:sz w:val="22"/>
          <w:szCs w:val="22"/>
        </w:rPr>
        <w:t>3.3 版面解析</w:t>
      </w:r>
      <w:r>
        <w:rPr>
          <w:rFonts w:ascii="Times New Roman" w:hAnsi="Times New Roman" w:eastAsia="宋体"/>
          <w:b w:val="0"/>
          <w:bCs w:val="0"/>
          <w:sz w:val="22"/>
          <w:szCs w:val="22"/>
        </w:rPr>
        <w:tab/>
        <w:t>11</w:t>
      </w:r>
    </w:p>
    <w:p w14:paraId="21E77DA8">
      <w:pPr>
        <w:tabs>
          <w:tab w:val="right" w:leader="dot" w:pos="9000"/>
        </w:tabs>
        <w:spacing w:before="0" w:after="0" w:line="360" w:lineRule="auto"/>
        <w:ind w:left="480"/>
      </w:pPr>
      <w:r>
        <w:rPr>
          <w:rFonts w:ascii="Times New Roman" w:hAnsi="Times New Roman" w:eastAsia="宋体"/>
          <w:b w:val="0"/>
          <w:bCs w:val="0"/>
          <w:sz w:val="22"/>
          <w:szCs w:val="22"/>
        </w:rPr>
        <w:t>3.4 图像语义理解</w:t>
      </w:r>
      <w:r>
        <w:rPr>
          <w:rFonts w:ascii="Times New Roman" w:hAnsi="Times New Roman" w:eastAsia="宋体"/>
          <w:b w:val="0"/>
          <w:bCs w:val="0"/>
          <w:sz w:val="22"/>
          <w:szCs w:val="22"/>
        </w:rPr>
        <w:tab/>
        <w:t>12</w:t>
      </w:r>
    </w:p>
    <w:p w14:paraId="49BBDBDE">
      <w:pPr>
        <w:tabs>
          <w:tab w:val="right" w:leader="dot" w:pos="9000"/>
        </w:tabs>
        <w:spacing w:before="0" w:after="0" w:line="360" w:lineRule="auto"/>
        <w:ind w:left="480"/>
      </w:pPr>
      <w:r>
        <w:rPr>
          <w:rFonts w:ascii="Times New Roman" w:hAnsi="Times New Roman" w:eastAsia="宋体"/>
          <w:b w:val="0"/>
          <w:bCs w:val="0"/>
          <w:sz w:val="22"/>
          <w:szCs w:val="22"/>
        </w:rPr>
        <w:t>3.5 自适应分块</w:t>
      </w:r>
      <w:r>
        <w:rPr>
          <w:rFonts w:ascii="Times New Roman" w:hAnsi="Times New Roman" w:eastAsia="宋体"/>
          <w:b w:val="0"/>
          <w:bCs w:val="0"/>
          <w:sz w:val="22"/>
          <w:szCs w:val="22"/>
        </w:rPr>
        <w:tab/>
        <w:t>12</w:t>
      </w:r>
    </w:p>
    <w:p w14:paraId="24E4EE16">
      <w:pPr>
        <w:tabs>
          <w:tab w:val="right" w:leader="dot" w:pos="9000"/>
        </w:tabs>
        <w:spacing w:before="0" w:after="0" w:line="360" w:lineRule="auto"/>
        <w:ind w:left="480"/>
      </w:pPr>
      <w:r>
        <w:rPr>
          <w:rFonts w:ascii="Times New Roman" w:hAnsi="Times New Roman" w:eastAsia="宋体"/>
          <w:b w:val="0"/>
          <w:bCs w:val="0"/>
          <w:sz w:val="22"/>
          <w:szCs w:val="22"/>
        </w:rPr>
        <w:t>3.6 事件抽取</w:t>
      </w:r>
      <w:r>
        <w:rPr>
          <w:rFonts w:ascii="Times New Roman" w:hAnsi="Times New Roman" w:eastAsia="宋体"/>
          <w:b w:val="0"/>
          <w:bCs w:val="0"/>
          <w:sz w:val="22"/>
          <w:szCs w:val="22"/>
        </w:rPr>
        <w:tab/>
        <w:t>13</w:t>
      </w:r>
    </w:p>
    <w:p w14:paraId="28742A89">
      <w:pPr>
        <w:tabs>
          <w:tab w:val="right" w:leader="dot" w:pos="9000"/>
        </w:tabs>
        <w:spacing w:before="0" w:after="0" w:line="360" w:lineRule="auto"/>
        <w:ind w:left="480"/>
      </w:pPr>
      <w:r>
        <w:rPr>
          <w:rFonts w:ascii="Times New Roman" w:hAnsi="Times New Roman" w:eastAsia="宋体"/>
          <w:b w:val="0"/>
          <w:bCs w:val="0"/>
          <w:sz w:val="22"/>
          <w:szCs w:val="22"/>
        </w:rPr>
        <w:t>3.7 全局去重</w:t>
      </w:r>
      <w:r>
        <w:rPr>
          <w:rFonts w:ascii="Times New Roman" w:hAnsi="Times New Roman" w:eastAsia="宋体"/>
          <w:b w:val="0"/>
          <w:bCs w:val="0"/>
          <w:sz w:val="22"/>
          <w:szCs w:val="22"/>
        </w:rPr>
        <w:tab/>
        <w:t>14</w:t>
      </w:r>
    </w:p>
    <w:p w14:paraId="0FA4876B">
      <w:pPr>
        <w:tabs>
          <w:tab w:val="right" w:leader="dot" w:pos="9000"/>
        </w:tabs>
        <w:spacing w:before="0" w:after="0" w:line="360" w:lineRule="auto"/>
        <w:ind w:left="480"/>
      </w:pPr>
      <w:r>
        <w:rPr>
          <w:rFonts w:ascii="Times New Roman" w:hAnsi="Times New Roman" w:eastAsia="宋体"/>
          <w:b w:val="0"/>
          <w:bCs w:val="0"/>
          <w:sz w:val="22"/>
          <w:szCs w:val="22"/>
        </w:rPr>
        <w:t>3.8 双轨入库</w:t>
      </w:r>
      <w:r>
        <w:rPr>
          <w:rFonts w:ascii="Times New Roman" w:hAnsi="Times New Roman" w:eastAsia="宋体"/>
          <w:b w:val="0"/>
          <w:bCs w:val="0"/>
          <w:sz w:val="22"/>
          <w:szCs w:val="22"/>
        </w:rPr>
        <w:tab/>
        <w:t>14</w:t>
      </w:r>
    </w:p>
    <w:p w14:paraId="0BF62869">
      <w:pPr>
        <w:tabs>
          <w:tab w:val="right" w:leader="dot" w:pos="9000"/>
        </w:tabs>
        <w:spacing w:before="80" w:after="0" w:line="360" w:lineRule="auto"/>
        <w:ind w:left="0"/>
      </w:pPr>
      <w:r>
        <w:rPr>
          <w:rFonts w:ascii="Times New Roman" w:hAnsi="Times New Roman" w:eastAsia="黑体"/>
          <w:b/>
          <w:bCs/>
          <w:sz w:val="24"/>
          <w:szCs w:val="24"/>
        </w:rPr>
        <w:t>第四章 MinerU 工具链使用说明</w:t>
      </w:r>
      <w:r>
        <w:rPr>
          <w:rFonts w:ascii="Times New Roman" w:hAnsi="Times New Roman" w:eastAsia="宋体"/>
          <w:b/>
          <w:bCs/>
          <w:sz w:val="24"/>
          <w:szCs w:val="24"/>
        </w:rPr>
        <w:tab/>
        <w:t>15</w:t>
      </w:r>
    </w:p>
    <w:p w14:paraId="2E093176">
      <w:pPr>
        <w:tabs>
          <w:tab w:val="right" w:leader="dot" w:pos="9000"/>
        </w:tabs>
        <w:spacing w:before="0" w:after="0" w:line="360" w:lineRule="auto"/>
        <w:ind w:left="480"/>
      </w:pPr>
      <w:r>
        <w:rPr>
          <w:rFonts w:ascii="Times New Roman" w:hAnsi="Times New Roman" w:eastAsia="宋体"/>
          <w:b w:val="0"/>
          <w:bCs w:val="0"/>
          <w:sz w:val="22"/>
          <w:szCs w:val="22"/>
        </w:rPr>
        <w:t>4.1 使用的工具与部署方式</w:t>
      </w:r>
      <w:r>
        <w:rPr>
          <w:rFonts w:ascii="Times New Roman" w:hAnsi="Times New Roman" w:eastAsia="宋体"/>
          <w:b w:val="0"/>
          <w:bCs w:val="0"/>
          <w:sz w:val="22"/>
          <w:szCs w:val="22"/>
        </w:rPr>
        <w:tab/>
        <w:t>15</w:t>
      </w:r>
    </w:p>
    <w:p w14:paraId="38518EE9">
      <w:pPr>
        <w:tabs>
          <w:tab w:val="right" w:leader="dot" w:pos="9000"/>
        </w:tabs>
        <w:spacing w:before="0" w:after="0" w:line="360" w:lineRule="auto"/>
        <w:ind w:left="480"/>
      </w:pPr>
      <w:r>
        <w:rPr>
          <w:rFonts w:ascii="Times New Roman" w:hAnsi="Times New Roman" w:eastAsia="宋体"/>
          <w:b w:val="0"/>
          <w:bCs w:val="0"/>
          <w:sz w:val="22"/>
          <w:szCs w:val="22"/>
        </w:rPr>
        <w:t>4.2 输出物的具体形态</w:t>
      </w:r>
      <w:r>
        <w:rPr>
          <w:rFonts w:ascii="Times New Roman" w:hAnsi="Times New Roman" w:eastAsia="宋体"/>
          <w:b w:val="0"/>
          <w:bCs w:val="0"/>
          <w:sz w:val="22"/>
          <w:szCs w:val="22"/>
        </w:rPr>
        <w:tab/>
        <w:t>15</w:t>
      </w:r>
    </w:p>
    <w:p w14:paraId="0718E83D">
      <w:pPr>
        <w:tabs>
          <w:tab w:val="right" w:leader="dot" w:pos="9000"/>
        </w:tabs>
        <w:spacing w:before="0" w:after="0" w:line="360" w:lineRule="auto"/>
        <w:ind w:left="480"/>
      </w:pPr>
      <w:r>
        <w:rPr>
          <w:rFonts w:ascii="Times New Roman" w:hAnsi="Times New Roman" w:eastAsia="宋体"/>
          <w:b w:val="0"/>
          <w:bCs w:val="0"/>
          <w:sz w:val="22"/>
          <w:szCs w:val="22"/>
        </w:rPr>
        <w:t>4.3 MinerU 能力边界的诚实交代</w:t>
      </w:r>
      <w:r>
        <w:rPr>
          <w:rFonts w:ascii="Times New Roman" w:hAnsi="Times New Roman" w:eastAsia="宋体"/>
          <w:b w:val="0"/>
          <w:bCs w:val="0"/>
          <w:sz w:val="22"/>
          <w:szCs w:val="22"/>
        </w:rPr>
        <w:tab/>
        <w:t>15</w:t>
      </w:r>
    </w:p>
    <w:p w14:paraId="221A718D">
      <w:pPr>
        <w:tabs>
          <w:tab w:val="right" w:leader="dot" w:pos="9000"/>
        </w:tabs>
        <w:spacing w:before="0" w:after="0" w:line="360" w:lineRule="auto"/>
        <w:ind w:left="480"/>
      </w:pPr>
      <w:r>
        <w:rPr>
          <w:rFonts w:ascii="Times New Roman" w:hAnsi="Times New Roman" w:eastAsia="宋体"/>
          <w:b w:val="0"/>
          <w:bCs w:val="0"/>
          <w:sz w:val="22"/>
          <w:szCs w:val="22"/>
        </w:rPr>
        <w:t>4.4 MinerU 在多模态对齐中的不可替代位置</w:t>
      </w:r>
      <w:r>
        <w:rPr>
          <w:rFonts w:ascii="Times New Roman" w:hAnsi="Times New Roman" w:eastAsia="宋体"/>
          <w:b w:val="0"/>
          <w:bCs w:val="0"/>
          <w:sz w:val="22"/>
          <w:szCs w:val="22"/>
        </w:rPr>
        <w:tab/>
        <w:t>16</w:t>
      </w:r>
    </w:p>
    <w:p w14:paraId="0D55AA5E">
      <w:pPr>
        <w:tabs>
          <w:tab w:val="right" w:leader="dot" w:pos="9000"/>
        </w:tabs>
        <w:spacing w:before="80" w:after="0" w:line="360" w:lineRule="auto"/>
        <w:ind w:left="0"/>
      </w:pPr>
      <w:r>
        <w:rPr>
          <w:rFonts w:ascii="Times New Roman" w:hAnsi="Times New Roman" w:eastAsia="黑体"/>
          <w:b/>
          <w:bCs/>
          <w:sz w:val="24"/>
          <w:szCs w:val="24"/>
        </w:rPr>
        <w:t>第五章 数据结构、字段定义与样例</w:t>
      </w:r>
      <w:r>
        <w:rPr>
          <w:rFonts w:ascii="Times New Roman" w:hAnsi="Times New Roman" w:eastAsia="宋体"/>
          <w:b/>
          <w:bCs/>
          <w:sz w:val="24"/>
          <w:szCs w:val="24"/>
        </w:rPr>
        <w:tab/>
        <w:t>17</w:t>
      </w:r>
    </w:p>
    <w:p w14:paraId="05818D2B">
      <w:pPr>
        <w:tabs>
          <w:tab w:val="right" w:leader="dot" w:pos="9000"/>
        </w:tabs>
        <w:spacing w:before="0" w:after="0" w:line="360" w:lineRule="auto"/>
        <w:ind w:left="480"/>
      </w:pPr>
      <w:r>
        <w:rPr>
          <w:rFonts w:ascii="Times New Roman" w:hAnsi="Times New Roman" w:eastAsia="宋体"/>
          <w:b w:val="0"/>
          <w:bCs w:val="0"/>
          <w:sz w:val="22"/>
          <w:szCs w:val="22"/>
        </w:rPr>
        <w:t>5.1 数据集分发格式</w:t>
      </w:r>
      <w:r>
        <w:rPr>
          <w:rFonts w:ascii="Times New Roman" w:hAnsi="Times New Roman" w:eastAsia="宋体"/>
          <w:b w:val="0"/>
          <w:bCs w:val="0"/>
          <w:sz w:val="22"/>
          <w:szCs w:val="22"/>
        </w:rPr>
        <w:tab/>
        <w:t>17</w:t>
      </w:r>
    </w:p>
    <w:p w14:paraId="138E7DCF">
      <w:pPr>
        <w:tabs>
          <w:tab w:val="right" w:leader="dot" w:pos="9000"/>
        </w:tabs>
        <w:spacing w:before="0" w:after="0" w:line="360" w:lineRule="auto"/>
        <w:ind w:left="480"/>
      </w:pPr>
      <w:r>
        <w:rPr>
          <w:rFonts w:ascii="Times New Roman" w:hAnsi="Times New Roman" w:eastAsia="宋体"/>
          <w:b w:val="0"/>
          <w:bCs w:val="0"/>
          <w:sz w:val="22"/>
          <w:szCs w:val="22"/>
        </w:rPr>
        <w:t>5.2 字段规范</w:t>
      </w:r>
      <w:r>
        <w:rPr>
          <w:rFonts w:ascii="Times New Roman" w:hAnsi="Times New Roman" w:eastAsia="宋体"/>
          <w:b w:val="0"/>
          <w:bCs w:val="0"/>
          <w:sz w:val="22"/>
          <w:szCs w:val="22"/>
        </w:rPr>
        <w:tab/>
        <w:t>17</w:t>
      </w:r>
    </w:p>
    <w:p w14:paraId="42B9FF8B">
      <w:pPr>
        <w:tabs>
          <w:tab w:val="right" w:leader="dot" w:pos="9000"/>
        </w:tabs>
        <w:spacing w:before="0" w:after="0" w:line="360" w:lineRule="auto"/>
        <w:ind w:left="480"/>
      </w:pPr>
      <w:r>
        <w:rPr>
          <w:rFonts w:ascii="Times New Roman" w:hAnsi="Times New Roman" w:eastAsia="宋体"/>
          <w:b w:val="0"/>
          <w:bCs w:val="0"/>
          <w:sz w:val="22"/>
          <w:szCs w:val="22"/>
        </w:rPr>
        <w:t>5.3 真实数据样例</w:t>
      </w:r>
      <w:r>
        <w:rPr>
          <w:rFonts w:ascii="Times New Roman" w:hAnsi="Times New Roman" w:eastAsia="宋体"/>
          <w:b w:val="0"/>
          <w:bCs w:val="0"/>
          <w:sz w:val="22"/>
          <w:szCs w:val="22"/>
        </w:rPr>
        <w:tab/>
        <w:t>17</w:t>
      </w:r>
    </w:p>
    <w:p w14:paraId="6A9AE4C2">
      <w:pPr>
        <w:tabs>
          <w:tab w:val="right" w:leader="dot" w:pos="9000"/>
        </w:tabs>
        <w:spacing w:before="0" w:after="0" w:line="360" w:lineRule="auto"/>
        <w:ind w:left="480"/>
      </w:pPr>
      <w:r>
        <w:rPr>
          <w:rFonts w:ascii="Times New Roman" w:hAnsi="Times New Roman" w:eastAsia="宋体"/>
          <w:b w:val="0"/>
          <w:bCs w:val="0"/>
          <w:sz w:val="22"/>
          <w:szCs w:val="22"/>
        </w:rPr>
        <w:t>5.4 多模态对齐字段的当前进展</w:t>
      </w:r>
      <w:r>
        <w:rPr>
          <w:rFonts w:ascii="Times New Roman" w:hAnsi="Times New Roman" w:eastAsia="宋体"/>
          <w:b w:val="0"/>
          <w:bCs w:val="0"/>
          <w:sz w:val="22"/>
          <w:szCs w:val="22"/>
        </w:rPr>
        <w:tab/>
        <w:t>20</w:t>
      </w:r>
    </w:p>
    <w:p w14:paraId="54E8AB95">
      <w:pPr>
        <w:tabs>
          <w:tab w:val="right" w:leader="dot" w:pos="9000"/>
        </w:tabs>
        <w:spacing w:before="80" w:after="0" w:line="360" w:lineRule="auto"/>
        <w:ind w:left="0"/>
      </w:pPr>
      <w:r>
        <w:rPr>
          <w:rFonts w:ascii="Times New Roman" w:hAnsi="Times New Roman" w:eastAsia="黑体"/>
          <w:b/>
          <w:bCs/>
          <w:sz w:val="24"/>
          <w:szCs w:val="24"/>
        </w:rPr>
        <w:t>第六章 数据集统计与已知偏倚</w:t>
      </w:r>
      <w:r>
        <w:rPr>
          <w:rFonts w:ascii="Times New Roman" w:hAnsi="Times New Roman" w:eastAsia="宋体"/>
          <w:b/>
          <w:bCs/>
          <w:sz w:val="24"/>
          <w:szCs w:val="24"/>
        </w:rPr>
        <w:tab/>
        <w:t>21</w:t>
      </w:r>
    </w:p>
    <w:p w14:paraId="4B9D0521">
      <w:pPr>
        <w:tabs>
          <w:tab w:val="right" w:leader="dot" w:pos="9000"/>
        </w:tabs>
        <w:spacing w:before="0" w:after="0" w:line="360" w:lineRule="auto"/>
        <w:ind w:left="480"/>
      </w:pPr>
      <w:r>
        <w:rPr>
          <w:rFonts w:ascii="Times New Roman" w:hAnsi="Times New Roman" w:eastAsia="宋体"/>
          <w:b w:val="0"/>
          <w:bCs w:val="0"/>
          <w:sz w:val="22"/>
          <w:szCs w:val="22"/>
        </w:rPr>
        <w:t>6.1 整体规模</w:t>
      </w:r>
      <w:r>
        <w:rPr>
          <w:rFonts w:ascii="Times New Roman" w:hAnsi="Times New Roman" w:eastAsia="宋体"/>
          <w:b w:val="0"/>
          <w:bCs w:val="0"/>
          <w:sz w:val="22"/>
          <w:szCs w:val="22"/>
        </w:rPr>
        <w:tab/>
        <w:t>21</w:t>
      </w:r>
    </w:p>
    <w:p w14:paraId="1E0BDBF5">
      <w:pPr>
        <w:tabs>
          <w:tab w:val="right" w:leader="dot" w:pos="9000"/>
        </w:tabs>
        <w:spacing w:before="0" w:after="0" w:line="360" w:lineRule="auto"/>
        <w:ind w:left="480"/>
      </w:pPr>
      <w:r>
        <w:rPr>
          <w:rFonts w:ascii="Times New Roman" w:hAnsi="Times New Roman" w:eastAsia="宋体"/>
          <w:b w:val="0"/>
          <w:bCs w:val="0"/>
          <w:sz w:val="22"/>
          <w:szCs w:val="22"/>
        </w:rPr>
        <w:t>6.2 关系类型分布</w:t>
      </w:r>
      <w:r>
        <w:rPr>
          <w:rFonts w:ascii="Times New Roman" w:hAnsi="Times New Roman" w:eastAsia="宋体"/>
          <w:b w:val="0"/>
          <w:bCs w:val="0"/>
          <w:sz w:val="22"/>
          <w:szCs w:val="22"/>
        </w:rPr>
        <w:tab/>
        <w:t>21</w:t>
      </w:r>
    </w:p>
    <w:p w14:paraId="39B67DBD">
      <w:pPr>
        <w:tabs>
          <w:tab w:val="right" w:leader="dot" w:pos="9000"/>
        </w:tabs>
        <w:spacing w:before="0" w:after="0" w:line="360" w:lineRule="auto"/>
        <w:ind w:left="480"/>
      </w:pPr>
      <w:r>
        <w:rPr>
          <w:rFonts w:ascii="Times New Roman" w:hAnsi="Times New Roman" w:eastAsia="宋体"/>
          <w:b w:val="0"/>
          <w:bCs w:val="0"/>
          <w:sz w:val="22"/>
          <w:szCs w:val="22"/>
        </w:rPr>
        <w:t>6.3 已识别的偏倚与对应纠正策略</w:t>
      </w:r>
      <w:r>
        <w:rPr>
          <w:rFonts w:ascii="Times New Roman" w:hAnsi="Times New Roman" w:eastAsia="宋体"/>
          <w:b w:val="0"/>
          <w:bCs w:val="0"/>
          <w:sz w:val="22"/>
          <w:szCs w:val="22"/>
        </w:rPr>
        <w:tab/>
        <w:t>21</w:t>
      </w:r>
    </w:p>
    <w:p w14:paraId="2A2BA3F0">
      <w:pPr>
        <w:tabs>
          <w:tab w:val="right" w:leader="dot" w:pos="9000"/>
        </w:tabs>
        <w:spacing w:before="0" w:after="0" w:line="360" w:lineRule="auto"/>
        <w:ind w:left="480"/>
      </w:pPr>
      <w:r>
        <w:rPr>
          <w:rFonts w:ascii="Times New Roman" w:hAnsi="Times New Roman" w:eastAsia="宋体"/>
          <w:b w:val="0"/>
          <w:bCs w:val="0"/>
          <w:sz w:val="22"/>
          <w:szCs w:val="22"/>
        </w:rPr>
        <w:t>6.4 物种与环境节点的初步分析</w:t>
      </w:r>
      <w:r>
        <w:rPr>
          <w:rFonts w:ascii="Times New Roman" w:hAnsi="Times New Roman" w:eastAsia="宋体"/>
          <w:b w:val="0"/>
          <w:bCs w:val="0"/>
          <w:sz w:val="22"/>
          <w:szCs w:val="22"/>
        </w:rPr>
        <w:tab/>
        <w:t>22</w:t>
      </w:r>
    </w:p>
    <w:p w14:paraId="326E3D47">
      <w:pPr>
        <w:tabs>
          <w:tab w:val="right" w:leader="dot" w:pos="9000"/>
        </w:tabs>
        <w:spacing w:before="80" w:after="0" w:line="360" w:lineRule="auto"/>
        <w:ind w:left="0"/>
      </w:pPr>
      <w:r>
        <w:rPr>
          <w:rFonts w:ascii="Times New Roman" w:hAnsi="Times New Roman" w:eastAsia="黑体"/>
          <w:b/>
          <w:bCs/>
          <w:sz w:val="24"/>
          <w:szCs w:val="24"/>
        </w:rPr>
        <w:t>第七章 质量评估方法与当前进展</w:t>
      </w:r>
      <w:r>
        <w:rPr>
          <w:rFonts w:ascii="Times New Roman" w:hAnsi="Times New Roman" w:eastAsia="宋体"/>
          <w:b/>
          <w:bCs/>
          <w:sz w:val="24"/>
          <w:szCs w:val="24"/>
        </w:rPr>
        <w:tab/>
        <w:t>23</w:t>
      </w:r>
    </w:p>
    <w:p w14:paraId="5EF87B1B">
      <w:pPr>
        <w:tabs>
          <w:tab w:val="right" w:leader="dot" w:pos="9000"/>
        </w:tabs>
        <w:spacing w:before="0" w:after="0" w:line="360" w:lineRule="auto"/>
        <w:ind w:left="480"/>
      </w:pPr>
      <w:r>
        <w:rPr>
          <w:rFonts w:ascii="Times New Roman" w:hAnsi="Times New Roman" w:eastAsia="宋体"/>
          <w:b w:val="0"/>
          <w:bCs w:val="0"/>
          <w:sz w:val="22"/>
          <w:szCs w:val="22"/>
        </w:rPr>
        <w:t>7.1 评估难点</w:t>
      </w:r>
      <w:r>
        <w:rPr>
          <w:rFonts w:ascii="Times New Roman" w:hAnsi="Times New Roman" w:eastAsia="宋体"/>
          <w:b w:val="0"/>
          <w:bCs w:val="0"/>
          <w:sz w:val="22"/>
          <w:szCs w:val="22"/>
        </w:rPr>
        <w:tab/>
        <w:t>23</w:t>
      </w:r>
    </w:p>
    <w:p w14:paraId="2DAAABC8">
      <w:pPr>
        <w:tabs>
          <w:tab w:val="right" w:leader="dot" w:pos="9000"/>
        </w:tabs>
        <w:spacing w:before="0" w:after="0" w:line="360" w:lineRule="auto"/>
        <w:ind w:left="480"/>
      </w:pPr>
      <w:r>
        <w:rPr>
          <w:rFonts w:ascii="Times New Roman" w:hAnsi="Times New Roman" w:eastAsia="宋体"/>
          <w:b w:val="0"/>
          <w:bCs w:val="0"/>
          <w:sz w:val="22"/>
          <w:szCs w:val="22"/>
        </w:rPr>
        <w:t>7.2 五维指标的设计</w:t>
      </w:r>
      <w:r>
        <w:rPr>
          <w:rFonts w:ascii="Times New Roman" w:hAnsi="Times New Roman" w:eastAsia="宋体"/>
          <w:b w:val="0"/>
          <w:bCs w:val="0"/>
          <w:sz w:val="22"/>
          <w:szCs w:val="22"/>
        </w:rPr>
        <w:tab/>
        <w:t>23</w:t>
      </w:r>
    </w:p>
    <w:p w14:paraId="11789FBD">
      <w:pPr>
        <w:tabs>
          <w:tab w:val="right" w:leader="dot" w:pos="9000"/>
        </w:tabs>
        <w:spacing w:before="0" w:after="0" w:line="360" w:lineRule="auto"/>
        <w:ind w:left="480"/>
      </w:pPr>
      <w:r>
        <w:rPr>
          <w:rFonts w:ascii="Times New Roman" w:hAnsi="Times New Roman" w:eastAsia="宋体"/>
          <w:b w:val="0"/>
          <w:bCs w:val="0"/>
          <w:sz w:val="22"/>
          <w:szCs w:val="22"/>
        </w:rPr>
        <w:t>7.3 评估流程中的鲁棒性设计</w:t>
      </w:r>
      <w:r>
        <w:rPr>
          <w:rFonts w:ascii="Times New Roman" w:hAnsi="Times New Roman" w:eastAsia="宋体"/>
          <w:b w:val="0"/>
          <w:bCs w:val="0"/>
          <w:sz w:val="22"/>
          <w:szCs w:val="22"/>
        </w:rPr>
        <w:tab/>
        <w:t>23</w:t>
      </w:r>
    </w:p>
    <w:p w14:paraId="33275327">
      <w:pPr>
        <w:tabs>
          <w:tab w:val="right" w:leader="dot" w:pos="9000"/>
        </w:tabs>
        <w:spacing w:before="0" w:after="0" w:line="360" w:lineRule="auto"/>
        <w:ind w:left="480"/>
      </w:pPr>
      <w:r>
        <w:rPr>
          <w:rFonts w:ascii="Times New Roman" w:hAnsi="Times New Roman" w:eastAsia="宋体"/>
          <w:b w:val="0"/>
          <w:bCs w:val="0"/>
          <w:sz w:val="22"/>
          <w:szCs w:val="22"/>
        </w:rPr>
        <w:t>7.4 六模型横向 benchmark 评测结果</w:t>
      </w:r>
      <w:r>
        <w:rPr>
          <w:rFonts w:ascii="Times New Roman" w:hAnsi="Times New Roman" w:eastAsia="宋体"/>
          <w:b w:val="0"/>
          <w:bCs w:val="0"/>
          <w:sz w:val="22"/>
          <w:szCs w:val="22"/>
        </w:rPr>
        <w:tab/>
        <w:t>24</w:t>
      </w:r>
    </w:p>
    <w:p w14:paraId="240B908E">
      <w:pPr>
        <w:tabs>
          <w:tab w:val="right" w:leader="dot" w:pos="9000"/>
        </w:tabs>
        <w:spacing w:before="0" w:after="0" w:line="360" w:lineRule="auto"/>
        <w:ind w:left="480"/>
      </w:pPr>
      <w:r>
        <w:rPr>
          <w:rFonts w:ascii="Times New Roman" w:hAnsi="Times New Roman" w:eastAsia="宋体"/>
          <w:b w:val="0"/>
          <w:bCs w:val="0"/>
          <w:sz w:val="22"/>
          <w:szCs w:val="22"/>
        </w:rPr>
        <w:t>7.5 评测发现与分析</w:t>
      </w:r>
      <w:r>
        <w:rPr>
          <w:rFonts w:ascii="Times New Roman" w:hAnsi="Times New Roman" w:eastAsia="宋体"/>
          <w:b w:val="0"/>
          <w:bCs w:val="0"/>
          <w:sz w:val="22"/>
          <w:szCs w:val="22"/>
        </w:rPr>
        <w:tab/>
        <w:t>25</w:t>
      </w:r>
    </w:p>
    <w:p w14:paraId="3437A828">
      <w:pPr>
        <w:tabs>
          <w:tab w:val="right" w:leader="dot" w:pos="9000"/>
        </w:tabs>
        <w:spacing w:before="80" w:after="0" w:line="360" w:lineRule="auto"/>
        <w:ind w:left="0"/>
      </w:pPr>
      <w:r>
        <w:rPr>
          <w:rFonts w:ascii="Times New Roman" w:hAnsi="Times New Roman" w:eastAsia="黑体"/>
          <w:b/>
          <w:bCs/>
          <w:sz w:val="24"/>
          <w:szCs w:val="24"/>
        </w:rPr>
        <w:t>第八章 应用场景与下游使用</w:t>
      </w:r>
      <w:r>
        <w:rPr>
          <w:rFonts w:ascii="Times New Roman" w:hAnsi="Times New Roman" w:eastAsia="宋体"/>
          <w:b/>
          <w:bCs/>
          <w:sz w:val="24"/>
          <w:szCs w:val="24"/>
        </w:rPr>
        <w:tab/>
        <w:t>26</w:t>
      </w:r>
    </w:p>
    <w:p w14:paraId="0109695A">
      <w:pPr>
        <w:tabs>
          <w:tab w:val="right" w:leader="dot" w:pos="9000"/>
        </w:tabs>
        <w:spacing w:before="0" w:after="0" w:line="360" w:lineRule="auto"/>
        <w:ind w:left="480"/>
      </w:pPr>
      <w:r>
        <w:rPr>
          <w:rFonts w:ascii="Times New Roman" w:hAnsi="Times New Roman" w:eastAsia="宋体"/>
          <w:b w:val="0"/>
          <w:bCs w:val="0"/>
          <w:sz w:val="22"/>
          <w:szCs w:val="22"/>
        </w:rPr>
        <w:t>8.1 跨模态科学知识检索</w:t>
      </w:r>
      <w:r>
        <w:rPr>
          <w:rFonts w:ascii="Times New Roman" w:hAnsi="Times New Roman" w:eastAsia="宋体"/>
          <w:b w:val="0"/>
          <w:bCs w:val="0"/>
          <w:sz w:val="22"/>
          <w:szCs w:val="22"/>
        </w:rPr>
        <w:tab/>
        <w:t>26</w:t>
      </w:r>
    </w:p>
    <w:p w14:paraId="173AE298">
      <w:pPr>
        <w:tabs>
          <w:tab w:val="right" w:leader="dot" w:pos="9000"/>
        </w:tabs>
        <w:spacing w:before="0" w:after="0" w:line="360" w:lineRule="auto"/>
        <w:ind w:left="480"/>
      </w:pPr>
      <w:r>
        <w:rPr>
          <w:rFonts w:ascii="Times New Roman" w:hAnsi="Times New Roman" w:eastAsia="宋体"/>
          <w:b w:val="0"/>
          <w:bCs w:val="0"/>
          <w:sz w:val="22"/>
          <w:szCs w:val="22"/>
        </w:rPr>
        <w:t>8.2 物种互作关系预测模型的训练数据</w:t>
      </w:r>
      <w:r>
        <w:rPr>
          <w:rFonts w:ascii="Times New Roman" w:hAnsi="Times New Roman" w:eastAsia="宋体"/>
          <w:b w:val="0"/>
          <w:bCs w:val="0"/>
          <w:sz w:val="22"/>
          <w:szCs w:val="22"/>
        </w:rPr>
        <w:tab/>
        <w:t>26</w:t>
      </w:r>
    </w:p>
    <w:p w14:paraId="5B0F2FBF">
      <w:pPr>
        <w:tabs>
          <w:tab w:val="right" w:leader="dot" w:pos="9000"/>
        </w:tabs>
        <w:spacing w:before="0" w:after="0" w:line="360" w:lineRule="auto"/>
        <w:ind w:left="480"/>
      </w:pPr>
      <w:r>
        <w:rPr>
          <w:rFonts w:ascii="Times New Roman" w:hAnsi="Times New Roman" w:eastAsia="宋体"/>
          <w:b w:val="0"/>
          <w:bCs w:val="0"/>
          <w:sz w:val="22"/>
          <w:szCs w:val="22"/>
        </w:rPr>
        <w:t>8.3 生态学领域大模型微调与评测基准</w:t>
      </w:r>
      <w:r>
        <w:rPr>
          <w:rFonts w:ascii="Times New Roman" w:hAnsi="Times New Roman" w:eastAsia="宋体"/>
          <w:b w:val="0"/>
          <w:bCs w:val="0"/>
          <w:sz w:val="22"/>
          <w:szCs w:val="22"/>
        </w:rPr>
        <w:tab/>
        <w:t>27</w:t>
      </w:r>
    </w:p>
    <w:p w14:paraId="61C499C4">
      <w:pPr>
        <w:tabs>
          <w:tab w:val="right" w:leader="dot" w:pos="9000"/>
        </w:tabs>
        <w:spacing w:before="0" w:after="0" w:line="360" w:lineRule="auto"/>
        <w:ind w:left="480"/>
      </w:pPr>
      <w:r>
        <w:rPr>
          <w:rFonts w:ascii="Times New Roman" w:hAnsi="Times New Roman" w:eastAsia="宋体"/>
          <w:b w:val="0"/>
          <w:bCs w:val="0"/>
          <w:sz w:val="22"/>
          <w:szCs w:val="22"/>
        </w:rPr>
        <w:t>8.4 与已有数据库的互补关系</w:t>
      </w:r>
      <w:r>
        <w:rPr>
          <w:rFonts w:ascii="Times New Roman" w:hAnsi="Times New Roman" w:eastAsia="宋体"/>
          <w:b w:val="0"/>
          <w:bCs w:val="0"/>
          <w:sz w:val="22"/>
          <w:szCs w:val="22"/>
        </w:rPr>
        <w:tab/>
        <w:t>27</w:t>
      </w:r>
    </w:p>
    <w:p w14:paraId="6F3FBCA2">
      <w:pPr>
        <w:tabs>
          <w:tab w:val="right" w:leader="dot" w:pos="9000"/>
        </w:tabs>
        <w:spacing w:before="80" w:after="0" w:line="360" w:lineRule="auto"/>
        <w:ind w:left="0"/>
      </w:pPr>
      <w:r>
        <w:rPr>
          <w:rFonts w:ascii="Times New Roman" w:hAnsi="Times New Roman" w:eastAsia="黑体"/>
          <w:b/>
          <w:bCs/>
          <w:sz w:val="24"/>
          <w:szCs w:val="24"/>
        </w:rPr>
        <w:t>第九章 局限性与扩展路线图</w:t>
      </w:r>
      <w:r>
        <w:rPr>
          <w:rFonts w:ascii="Times New Roman" w:hAnsi="Times New Roman" w:eastAsia="宋体"/>
          <w:b/>
          <w:bCs/>
          <w:sz w:val="24"/>
          <w:szCs w:val="24"/>
        </w:rPr>
        <w:tab/>
        <w:t>28</w:t>
      </w:r>
    </w:p>
    <w:p w14:paraId="176226F8">
      <w:pPr>
        <w:tabs>
          <w:tab w:val="right" w:leader="dot" w:pos="9000"/>
        </w:tabs>
        <w:spacing w:before="80" w:after="0" w:line="360" w:lineRule="auto"/>
        <w:ind w:left="0"/>
      </w:pPr>
      <w:r>
        <w:rPr>
          <w:rFonts w:ascii="Times New Roman" w:hAnsi="Times New Roman" w:eastAsia="黑体"/>
          <w:b/>
          <w:bCs/>
          <w:sz w:val="24"/>
          <w:szCs w:val="24"/>
        </w:rPr>
        <w:t>第十章 依赖项、开源与可复现性</w:t>
      </w:r>
      <w:r>
        <w:rPr>
          <w:rFonts w:ascii="Times New Roman" w:hAnsi="Times New Roman" w:eastAsia="宋体"/>
          <w:b/>
          <w:bCs/>
          <w:sz w:val="24"/>
          <w:szCs w:val="24"/>
        </w:rPr>
        <w:tab/>
        <w:t>29</w:t>
      </w:r>
    </w:p>
    <w:p w14:paraId="48948C29">
      <w:pPr>
        <w:tabs>
          <w:tab w:val="right" w:leader="dot" w:pos="9000"/>
        </w:tabs>
        <w:spacing w:before="0" w:after="0" w:line="360" w:lineRule="auto"/>
        <w:ind w:left="480"/>
      </w:pPr>
      <w:r>
        <w:rPr>
          <w:rFonts w:ascii="Times New Roman" w:hAnsi="Times New Roman" w:eastAsia="宋体"/>
          <w:b w:val="0"/>
          <w:bCs w:val="0"/>
          <w:sz w:val="22"/>
          <w:szCs w:val="22"/>
        </w:rPr>
        <w:t>10.1 工具与模型版本清单</w:t>
      </w:r>
      <w:r>
        <w:rPr>
          <w:rFonts w:ascii="Times New Roman" w:hAnsi="Times New Roman" w:eastAsia="宋体"/>
          <w:b w:val="0"/>
          <w:bCs w:val="0"/>
          <w:sz w:val="22"/>
          <w:szCs w:val="22"/>
        </w:rPr>
        <w:tab/>
        <w:t>29</w:t>
      </w:r>
    </w:p>
    <w:p w14:paraId="21149BE0">
      <w:pPr>
        <w:tabs>
          <w:tab w:val="right" w:leader="dot" w:pos="9000"/>
        </w:tabs>
        <w:spacing w:before="0" w:after="0" w:line="360" w:lineRule="auto"/>
        <w:ind w:left="480"/>
      </w:pPr>
      <w:r>
        <w:rPr>
          <w:rFonts w:ascii="Times New Roman" w:hAnsi="Times New Roman" w:eastAsia="宋体"/>
          <w:b w:val="0"/>
          <w:bCs w:val="0"/>
          <w:sz w:val="22"/>
          <w:szCs w:val="22"/>
        </w:rPr>
        <w:t>10.2 开源去向与协议</w:t>
      </w:r>
      <w:r>
        <w:rPr>
          <w:rFonts w:ascii="Times New Roman" w:hAnsi="Times New Roman" w:eastAsia="宋体"/>
          <w:b w:val="0"/>
          <w:bCs w:val="0"/>
          <w:sz w:val="22"/>
          <w:szCs w:val="22"/>
        </w:rPr>
        <w:tab/>
        <w:t>29</w:t>
      </w:r>
    </w:p>
    <w:p w14:paraId="6396AAD7">
      <w:pPr>
        <w:tabs>
          <w:tab w:val="right" w:leader="dot" w:pos="9000"/>
        </w:tabs>
        <w:spacing w:before="0" w:after="0" w:line="360" w:lineRule="auto"/>
        <w:ind w:left="480"/>
      </w:pPr>
      <w:r>
        <w:rPr>
          <w:rFonts w:ascii="Times New Roman" w:hAnsi="Times New Roman" w:eastAsia="宋体"/>
          <w:b w:val="0"/>
          <w:bCs w:val="0"/>
          <w:sz w:val="22"/>
          <w:szCs w:val="22"/>
        </w:rPr>
        <w:t>10.3 可复现性保障</w:t>
      </w:r>
      <w:r>
        <w:rPr>
          <w:rFonts w:ascii="Times New Roman" w:hAnsi="Times New Roman" w:eastAsia="宋体"/>
          <w:b w:val="0"/>
          <w:bCs w:val="0"/>
          <w:sz w:val="22"/>
          <w:szCs w:val="22"/>
        </w:rPr>
        <w:tab/>
        <w:t>29</w:t>
      </w:r>
    </w:p>
    <w:p w14:paraId="0BEBD595">
      <w:pPr>
        <w:tabs>
          <w:tab w:val="right" w:leader="dot" w:pos="9000"/>
        </w:tabs>
        <w:spacing w:before="80" w:after="0" w:line="360" w:lineRule="auto"/>
        <w:ind w:left="0"/>
      </w:pPr>
      <w:r>
        <w:rPr>
          <w:rFonts w:ascii="Times New Roman" w:hAnsi="Times New Roman" w:eastAsia="黑体"/>
          <w:b/>
          <w:bCs/>
          <w:sz w:val="24"/>
          <w:szCs w:val="24"/>
        </w:rPr>
        <w:t>第十一章 合规性、原创性与已有成果</w:t>
      </w:r>
      <w:r>
        <w:rPr>
          <w:rFonts w:ascii="Times New Roman" w:hAnsi="Times New Roman" w:eastAsia="宋体"/>
          <w:b/>
          <w:bCs/>
          <w:sz w:val="24"/>
          <w:szCs w:val="24"/>
        </w:rPr>
        <w:tab/>
        <w:t>31</w:t>
      </w:r>
    </w:p>
    <w:p w14:paraId="5CD25AF7">
      <w:pPr>
        <w:tabs>
          <w:tab w:val="right" w:leader="dot" w:pos="9000"/>
        </w:tabs>
        <w:spacing w:before="0" w:after="0" w:line="360" w:lineRule="auto"/>
        <w:ind w:left="480"/>
      </w:pPr>
      <w:r>
        <w:rPr>
          <w:rFonts w:ascii="Times New Roman" w:hAnsi="Times New Roman" w:eastAsia="宋体"/>
          <w:b w:val="0"/>
          <w:bCs w:val="0"/>
          <w:sz w:val="22"/>
          <w:szCs w:val="22"/>
        </w:rPr>
        <w:t>11.1 数据来源合规性</w:t>
      </w:r>
      <w:r>
        <w:rPr>
          <w:rFonts w:ascii="Times New Roman" w:hAnsi="Times New Roman" w:eastAsia="宋体"/>
          <w:b w:val="0"/>
          <w:bCs w:val="0"/>
          <w:sz w:val="22"/>
          <w:szCs w:val="22"/>
        </w:rPr>
        <w:tab/>
        <w:t>31</w:t>
      </w:r>
    </w:p>
    <w:p w14:paraId="1C046261">
      <w:pPr>
        <w:tabs>
          <w:tab w:val="right" w:leader="dot" w:pos="9000"/>
        </w:tabs>
        <w:spacing w:before="0" w:after="0" w:line="360" w:lineRule="auto"/>
        <w:ind w:left="480"/>
      </w:pPr>
      <w:r>
        <w:rPr>
          <w:rFonts w:ascii="Times New Roman" w:hAnsi="Times New Roman" w:eastAsia="宋体"/>
          <w:b w:val="0"/>
          <w:bCs w:val="0"/>
          <w:sz w:val="22"/>
          <w:szCs w:val="22"/>
        </w:rPr>
        <w:t>11.2 原创性与诚实性声明</w:t>
      </w:r>
      <w:r>
        <w:rPr>
          <w:rFonts w:ascii="Times New Roman" w:hAnsi="Times New Roman" w:eastAsia="宋体"/>
          <w:b w:val="0"/>
          <w:bCs w:val="0"/>
          <w:sz w:val="22"/>
          <w:szCs w:val="22"/>
        </w:rPr>
        <w:tab/>
        <w:t>31</w:t>
      </w:r>
    </w:p>
    <w:p w14:paraId="4A99BDFA">
      <w:pPr>
        <w:tabs>
          <w:tab w:val="right" w:leader="dot" w:pos="9000"/>
        </w:tabs>
        <w:spacing w:before="0" w:after="0" w:line="360" w:lineRule="auto"/>
        <w:ind w:left="480"/>
      </w:pPr>
      <w:r>
        <w:rPr>
          <w:rFonts w:ascii="Times New Roman" w:hAnsi="Times New Roman" w:eastAsia="宋体"/>
          <w:b w:val="0"/>
          <w:bCs w:val="0"/>
          <w:sz w:val="22"/>
          <w:szCs w:val="22"/>
        </w:rPr>
        <w:t>11.3 评估真值集的标注规范</w:t>
      </w:r>
      <w:r>
        <w:rPr>
          <w:rFonts w:ascii="Times New Roman" w:hAnsi="Times New Roman" w:eastAsia="宋体"/>
          <w:b w:val="0"/>
          <w:bCs w:val="0"/>
          <w:sz w:val="22"/>
          <w:szCs w:val="22"/>
        </w:rPr>
        <w:tab/>
        <w:t>31</w:t>
      </w:r>
    </w:p>
    <w:p w14:paraId="46C991B1">
      <w:pPr>
        <w:tabs>
          <w:tab w:val="right" w:leader="dot" w:pos="9000"/>
        </w:tabs>
        <w:spacing w:before="0" w:after="0" w:line="360" w:lineRule="auto"/>
        <w:ind w:left="480"/>
      </w:pPr>
      <w:r>
        <w:rPr>
          <w:rFonts w:ascii="Times New Roman" w:hAnsi="Times New Roman" w:eastAsia="宋体"/>
          <w:b w:val="0"/>
          <w:bCs w:val="0"/>
          <w:sz w:val="22"/>
          <w:szCs w:val="22"/>
        </w:rPr>
        <w:t>11.4 已有成果与影响力</w:t>
      </w:r>
      <w:r>
        <w:rPr>
          <w:rFonts w:ascii="Times New Roman" w:hAnsi="Times New Roman" w:eastAsia="宋体"/>
          <w:b w:val="0"/>
          <w:bCs w:val="0"/>
          <w:sz w:val="22"/>
          <w:szCs w:val="22"/>
        </w:rPr>
        <w:tab/>
        <w:t>32</w:t>
      </w:r>
    </w:p>
    <w:p w14:paraId="1E10DDC8">
      <w:pPr>
        <w:tabs>
          <w:tab w:val="right" w:leader="dot" w:pos="9000"/>
        </w:tabs>
        <w:spacing w:before="80" w:after="0" w:line="360" w:lineRule="auto"/>
        <w:ind w:left="0"/>
      </w:pPr>
      <w:r>
        <w:rPr>
          <w:rFonts w:ascii="Times New Roman" w:hAnsi="Times New Roman" w:eastAsia="黑体"/>
          <w:b/>
          <w:bCs/>
          <w:sz w:val="24"/>
          <w:szCs w:val="24"/>
        </w:rPr>
        <w:t>附录 A:Cypher Schema 创建脚本</w:t>
      </w:r>
      <w:r>
        <w:rPr>
          <w:rFonts w:ascii="Times New Roman" w:hAnsi="Times New Roman" w:eastAsia="宋体"/>
          <w:b/>
          <w:bCs/>
          <w:sz w:val="24"/>
          <w:szCs w:val="24"/>
        </w:rPr>
        <w:tab/>
        <w:t>33</w:t>
      </w:r>
    </w:p>
    <w:p w14:paraId="604EFC77">
      <w:pPr>
        <w:tabs>
          <w:tab w:val="right" w:leader="dot" w:pos="9000"/>
        </w:tabs>
        <w:spacing w:before="80" w:after="0" w:line="360" w:lineRule="auto"/>
        <w:ind w:left="0"/>
      </w:pPr>
      <w:r>
        <w:rPr>
          <w:rFonts w:ascii="Times New Roman" w:hAnsi="Times New Roman" w:eastAsia="黑体"/>
          <w:b/>
          <w:bCs/>
          <w:sz w:val="24"/>
          <w:szCs w:val="24"/>
        </w:rPr>
        <w:t>附录 B:典型 Cypher 查询模板</w:t>
      </w:r>
      <w:r>
        <w:rPr>
          <w:rFonts w:ascii="Times New Roman" w:hAnsi="Times New Roman" w:eastAsia="宋体"/>
          <w:b/>
          <w:bCs/>
          <w:sz w:val="24"/>
          <w:szCs w:val="24"/>
        </w:rPr>
        <w:tab/>
        <w:t>34</w:t>
      </w:r>
    </w:p>
    <w:p w14:paraId="38DAA8DB">
      <w:r>
        <w:br w:type="page"/>
      </w:r>
    </w:p>
    <w:p w14:paraId="5960BEA6">
      <w:r>
        <w:br w:type="page"/>
      </w:r>
    </w:p>
    <w:p w14:paraId="5B252145">
      <w:pPr>
        <w:pStyle w:val="2"/>
        <w:spacing w:before="480" w:after="240"/>
      </w:pPr>
      <w:r>
        <w:rPr>
          <w:rFonts w:ascii="Times New Roman" w:hAnsi="Times New Roman" w:eastAsia="黑体"/>
          <w:b/>
          <w:bCs/>
          <w:sz w:val="32"/>
          <w:szCs w:val="32"/>
        </w:rPr>
        <w:t>摘要</w:t>
      </w:r>
    </w:p>
    <w:p w14:paraId="04FACDEB">
      <w:pPr>
        <w:spacing w:line="360" w:lineRule="auto"/>
        <w:ind w:firstLine="480"/>
        <w:jc w:val="both"/>
      </w:pPr>
      <w:r>
        <w:rPr>
          <w:rFonts w:ascii="Times New Roman" w:hAnsi="Times New Roman" w:eastAsia="宋体"/>
          <w:sz w:val="24"/>
          <w:szCs w:val="24"/>
        </w:rPr>
        <w:t>淡水系统微生物之间的相互作用,是水生态学、湖沼学和环境生物学中一个长期受到关注但又始终缺乏体系化整理的研究方向。围绕“谁吃谁、谁抑制谁、谁与谁共生”这类基本问题,过去三十多年的研究积累了海量观察和实验结果,但这些发现以高度碎片化的方式分散在数以万计的英文学术论文中,既没有被统一的本体所组织,也没有被结构化到可以让大模型直接消费的格式。本研究的目标是改变这种状况。</w:t>
      </w:r>
    </w:p>
    <w:p w14:paraId="7F8C3D5B">
      <w:pPr>
        <w:spacing w:line="360" w:lineRule="auto"/>
        <w:ind w:firstLine="480"/>
        <w:jc w:val="both"/>
      </w:pPr>
      <w:r>
        <w:rPr>
          <w:rFonts w:ascii="Times New Roman" w:hAnsi="Times New Roman" w:eastAsia="宋体"/>
          <w:sz w:val="24"/>
          <w:szCs w:val="24"/>
        </w:rPr>
        <w:t>我们以 Web of Science 检索得到的两万余篇英文文献为长期数据底座,以二十篇文献的端到端试点为本期(v0.1)交付,围绕“物种互作事件”这一统一科学对象,搭建了一条以 MinerU 工具链为版面解析骨干、以 Qwen3.5-VL 多模态模型为图像语义理解模块、并允许多种大语言模型可插拔接入的抽取流水线。所有抽取结果按照我们设计的 TRAES 五元组本体(物种、关系、属性、环境、来源)组织,并被存入采用事件中心型(Event-Centric)拓扑的 Neo4j 图数据库。v0.1 阶段共产出八百四十七条经全局去重的互作事件,涉及六百二十一个标准化物种节点和四百六十三个环境节点。</w:t>
      </w:r>
    </w:p>
    <w:p w14:paraId="3EA99943">
      <w:pPr>
        <w:spacing w:line="360" w:lineRule="auto"/>
        <w:ind w:firstLine="480"/>
        <w:jc w:val="both"/>
      </w:pPr>
      <w:r>
        <w:rPr>
          <w:rFonts w:ascii="Times New Roman" w:hAnsi="Times New Roman" w:eastAsia="宋体"/>
          <w:sz w:val="24"/>
          <w:szCs w:val="24"/>
        </w:rPr>
        <w:t>除数据集本身外,本研究还附带一份针对该任务的大模型横向评测基准。我们对六款主流大模型(Gemini 3 Flash Preview、GPT-5.4 mini、Claude Haiku 4.5、Qwen3.6 Plus、DeepSeek V4 Pro、MiniMax M2.7)在 TRAES 五维上做了完整 P/R/F1 评估,结果显示在淡水微生物互作抽取这一任务上,Gemini 3 Flash Preview 与 GPT-5.4 mini 在综合 F1 上并列领先(物种 F1 接近 0.77、关系 F1 达 0.82),Qwen3.6 Plus 与 DeepSeek V4 Pro 在精确率上表现突出但召回偏低,所有模型在“研究方法”这一开放式术语对齐维度上 F1 普遍低于 0.55。这份对比基准本身可被视为生态学领域大模型能力评测的子集,与数据集一同开源。</w:t>
      </w:r>
    </w:p>
    <w:p w14:paraId="6A4AD678">
      <w:pPr>
        <w:spacing w:line="360" w:lineRule="auto"/>
        <w:ind w:firstLine="480"/>
        <w:jc w:val="both"/>
      </w:pPr>
      <w:r>
        <w:rPr>
          <w:rFonts w:ascii="Times New Roman" w:hAnsi="Times New Roman" w:eastAsia="宋体"/>
          <w:sz w:val="24"/>
          <w:szCs w:val="24"/>
        </w:rPr>
        <w:t>本报告强调的不是数据规模本身,而是一套可以从二十篇平稳扩展到两万篇的方法学与工程实现:本体设计经过反复打磨、提示词工程加入了严格的领域约束、抽取流水线在断点续传和异常隔离上做了多层保护、评估方案绕开了基于字符串精确比对的失真问题转而采用大模型语义裁判加多重集计数的组合。整个数据集与配套抽取代码以 CC-BY-4.0 与 Apache 2.0 协议分别开源至 OpenDataLab 与 GitHub,可用于淡水微生物互作的跨模态知识检索、互作关系预测,以及生态学领域大模型的领域微调与评测。</w:t>
      </w:r>
    </w:p>
    <w:p w14:paraId="4D7D3445">
      <w:r>
        <w:br w:type="page"/>
      </w:r>
    </w:p>
    <w:p w14:paraId="5099A039">
      <w:pPr>
        <w:pStyle w:val="2"/>
        <w:spacing w:before="480" w:after="240"/>
      </w:pPr>
      <w:r>
        <w:rPr>
          <w:rFonts w:ascii="Times New Roman" w:hAnsi="Times New Roman" w:eastAsia="黑体"/>
          <w:b/>
          <w:bCs/>
          <w:sz w:val="32"/>
          <w:szCs w:val="32"/>
        </w:rPr>
        <w:t>第一章 研究背景与数据集定位</w:t>
      </w:r>
    </w:p>
    <w:p w14:paraId="75D35637">
      <w:pPr>
        <w:pStyle w:val="3"/>
        <w:spacing w:before="320" w:after="160"/>
      </w:pPr>
      <w:r>
        <w:rPr>
          <w:rFonts w:ascii="Times New Roman" w:hAnsi="Times New Roman" w:eastAsia="黑体"/>
          <w:b/>
          <w:bCs/>
          <w:sz w:val="28"/>
          <w:szCs w:val="28"/>
        </w:rPr>
        <w:t>1.1 为什么要做这件事</w:t>
      </w:r>
    </w:p>
    <w:p w14:paraId="5C168E4F">
      <w:pPr>
        <w:spacing w:line="360" w:lineRule="auto"/>
        <w:ind w:firstLine="480"/>
        <w:jc w:val="both"/>
      </w:pPr>
      <w:r>
        <w:rPr>
          <w:rFonts w:ascii="Times New Roman" w:hAnsi="Times New Roman" w:eastAsia="宋体"/>
          <w:sz w:val="24"/>
          <w:szCs w:val="24"/>
        </w:rPr>
        <w:t>淡水生态系统中的微生物相互作用是一个研究历史长但数据基础薄弱的领域。一方面,从蓝藻水华到富营养化湖泊治理,从微囊藻毒素的产生到藻菌共生体的功能,几乎每一个具体的应用问题都依赖于对微生物之间互作关系的扎实理解。另一方面,关于这些互作的科学发现以碎片化的方式分散在大量英文学术论文中:一篇文献可能在结果部分用一段叙述提出某对物种之间存在偏害关系,在某个图中用柱状图给出抑制率的具体数值,在另一个表中列出实验所使用的温度、N:P 比和氮源类型,而把这些线索拼接成一个完整、可被机器消费的事件,在现有的公共数据库中几乎是不存在的。</w:t>
      </w:r>
    </w:p>
    <w:p w14:paraId="3FDC8D3C">
      <w:pPr>
        <w:spacing w:line="360" w:lineRule="auto"/>
        <w:ind w:firstLine="480"/>
        <w:jc w:val="both"/>
      </w:pPr>
      <w:r>
        <w:rPr>
          <w:rFonts w:ascii="Times New Roman" w:hAnsi="Times New Roman" w:eastAsia="宋体"/>
          <w:sz w:val="24"/>
          <w:szCs w:val="24"/>
        </w:rPr>
        <w:t>已有的公共生物互作数据库,如 GLOBI(Global Biotic Interactions)和 World Register of Marine Species 等,主要记录的是二元的物种对关系,缺少环境上下文、实验方法、证据图表这些对生态学解释至关重要的信息。这种“扁平”的记录方式让数据库在应对像“在限磷条件下,哪类蓝藻能够通过偏害作用抑制绿藻的生长”这种带条件的查询时显得力不从心。我们想要构建的,是一个能够保留事件级证据链、并且支持跨模态检索的图谱。</w:t>
      </w:r>
    </w:p>
    <w:p w14:paraId="5526EB4D">
      <w:pPr>
        <w:spacing w:line="360" w:lineRule="auto"/>
        <w:ind w:firstLine="480"/>
        <w:jc w:val="both"/>
      </w:pPr>
      <w:r>
        <w:rPr>
          <w:rFonts w:ascii="Times New Roman" w:hAnsi="Times New Roman" w:eastAsia="宋体"/>
          <w:sz w:val="24"/>
          <w:szCs w:val="24"/>
        </w:rPr>
        <w:t>之所以选择微生物互作而非更宏观的生态学互作作为切入点,有两个具体原因。一是该子领域的术语在国际学界已经较为成熟,关系类型可以被合理收敛到六类标准生态学术语(详见第二章),这为构建闭集词汇表提供了基础;二是该领域的研究论文在写作惯例上比较一致,实验描述往往可以被结构化抽取,这降低了流水线在不同文献风格之间的适配成本。</w:t>
      </w:r>
    </w:p>
    <w:p w14:paraId="64E5B1CB">
      <w:pPr>
        <w:pStyle w:val="3"/>
        <w:spacing w:before="320" w:after="160"/>
      </w:pPr>
      <w:r>
        <w:rPr>
          <w:rFonts w:ascii="Times New Roman" w:hAnsi="Times New Roman" w:eastAsia="黑体"/>
          <w:b/>
          <w:bCs/>
          <w:sz w:val="28"/>
          <w:szCs w:val="28"/>
        </w:rPr>
        <w:t>1.2 数据集的范式归属</w:t>
      </w:r>
    </w:p>
    <w:p w14:paraId="54C16F55">
      <w:pPr>
        <w:spacing w:line="360" w:lineRule="auto"/>
        <w:ind w:firstLine="480"/>
        <w:jc w:val="both"/>
      </w:pPr>
      <w:r>
        <w:rPr>
          <w:rFonts w:ascii="Times New Roman" w:hAnsi="Times New Roman" w:eastAsia="宋体"/>
          <w:sz w:val="24"/>
          <w:szCs w:val="24"/>
        </w:rPr>
        <w:t>本作品归属于赛题定义的 Sci-Align(科学对齐数据)范式。Sci-Align 强调围绕同一科学对象,把它在不同模态中的不同表达,通过明确的映射关系联系到一起,以支持模型对复杂科学知识的准确理解和跨模态关联。本数据集所选择的科学对象就是物种互作事件:在淡水生态系统中,某一对微生物或与之相关的浮游生物,在某种特定的物理化学环境下,通过某种实验或分析方法,被研究者发现表现出某种特定的生态学关系。围绕这一对象,数据集把文献正文中关于该事件的文本叙述、图中呈现的定量结果、表中列出的实验条件,以及形式化的速率或动力学方程,统一地对齐到同一个事件标识下。</w:t>
      </w:r>
    </w:p>
    <w:p w14:paraId="533ED366">
      <w:pPr>
        <w:spacing w:line="360" w:lineRule="auto"/>
        <w:ind w:firstLine="480"/>
        <w:jc w:val="both"/>
      </w:pPr>
      <w:r>
        <w:rPr>
          <w:rFonts w:ascii="Times New Roman" w:hAnsi="Times New Roman" w:eastAsia="宋体"/>
          <w:sz w:val="24"/>
          <w:szCs w:val="24"/>
        </w:rPr>
        <w:t>这种定位与赛题给出的两个示例(SA-Prot-annot 蛋白质注释、SA-RxnDiagram-15k 化学反应路径图)在范式上是同构的,只是学科领域从分子层级转向了生态层级。蛋白质数据集对齐的是分子结构、序列和注释,化学反应路径数据集对齐的是分子图、反应方程和实验文本;本数据集对齐的则是物种、关系、环境上下文和证据图表。生态学互作所具有的方向性(捕食的主动方与被动方)、非对称性(偏利与偏害)以及强环境依赖性,使得本数据集在本体设计与对齐策略上需要解决的问题与分子科学的数据集并不完全相同,这一点会在第二章详细讨论。</w:t>
      </w:r>
    </w:p>
    <w:p w14:paraId="747F3E75">
      <w:pPr>
        <w:pStyle w:val="3"/>
        <w:spacing w:before="320" w:after="160"/>
      </w:pPr>
      <w:r>
        <w:rPr>
          <w:rFonts w:ascii="Times New Roman" w:hAnsi="Times New Roman" w:eastAsia="黑体"/>
          <w:b/>
          <w:bCs/>
          <w:sz w:val="28"/>
          <w:szCs w:val="28"/>
        </w:rPr>
        <w:t>1.3 v0.1 在整个项目中的位置</w:t>
      </w:r>
    </w:p>
    <w:p w14:paraId="2B2FE754">
      <w:pPr>
        <w:spacing w:line="360" w:lineRule="auto"/>
        <w:ind w:firstLine="480"/>
        <w:jc w:val="both"/>
      </w:pPr>
      <w:r>
        <w:rPr>
          <w:rFonts w:ascii="Times New Roman" w:hAnsi="Times New Roman" w:eastAsia="宋体"/>
          <w:sz w:val="24"/>
          <w:szCs w:val="24"/>
        </w:rPr>
        <w:t>需要从一开始就把项目规模讲清楚,以避免评审产生不必要的预期偏差。本项目的长期目标是覆盖 Web of Science 上检索到的两万余篇英文文献,这是项目立项时就确定的工作总量;但本期(v0.1)所完成的端到端抽取,只针对其中精挑细选的二十篇文献。这并不是因为我们不愿意跑更大的规模,而是出于两个明确的判断。</w:t>
      </w:r>
    </w:p>
    <w:p w14:paraId="6515C307">
      <w:pPr>
        <w:ind w:firstLine="500" w:firstLineChars="0"/>
        <w:rPr>
          <w:rFonts w:ascii="Times New Roman" w:hAnsi="Times New Roman" w:eastAsia="宋体"/>
          <w:sz w:val="24"/>
          <w:szCs w:val="24"/>
        </w:rPr>
      </w:pPr>
      <w:r>
        <w:rPr>
          <w:rFonts w:ascii="Times New Roman" w:hAnsi="Times New Roman" w:eastAsia="宋体"/>
          <w:sz w:val="24"/>
          <w:szCs w:val="24"/>
        </w:rPr>
        <w:t>第一,在两万篇上线之前,我们需要先在一个数量级合适的小集合上把本体、提示词、抽取流水线、Neo4j schema 这四件事的细节问题全部踩过一遍。第二,正式抽取需要可观的 API 预算与人力投入,我们决定先以二十篇验证流水线的端到端稳定性,再分批扩展。从这个意义上讲,v0.1 的核心交付不是“一个可以直接训练模型的数据集”,而是“一个已经验证可以批量执行的方法学加上一份种子数据”。下游使用者既可以直接使用这八百四十七条种子事件做小规模任务,也可以基于本仓库公开的全部代码,把流水线应用到自己的文献集合上。我们认为这种“方法学加种子”的定位,在 v0.1 这个阶段是诚实且有用的。</w:t>
      </w:r>
    </w:p>
    <w:p w14:paraId="5DAB33B0">
      <w:r>
        <w:drawing>
          <wp:inline distT="0" distB="0" distL="114300" distR="114300">
            <wp:extent cx="5728335" cy="174371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rcRect t="17365" b="28141"/>
                    <a:stretch>
                      <a:fillRect/>
                    </a:stretch>
                  </pic:blipFill>
                  <pic:spPr>
                    <a:xfrm>
                      <a:off x="0" y="0"/>
                      <a:ext cx="5728335" cy="1743710"/>
                    </a:xfrm>
                    <a:prstGeom prst="rect">
                      <a:avLst/>
                    </a:prstGeom>
                    <a:noFill/>
                    <a:ln>
                      <a:noFill/>
                    </a:ln>
                  </pic:spPr>
                </pic:pic>
              </a:graphicData>
            </a:graphic>
          </wp:inline>
        </w:drawing>
      </w:r>
    </w:p>
    <w:p w14:paraId="20057742">
      <w:pPr>
        <w:keepNext w:val="0"/>
        <w:keepLines w:val="0"/>
        <w:widowControl/>
        <w:suppressLineNumbers w:val="0"/>
        <w:jc w:val="center"/>
        <w:rPr>
          <w:rFonts w:ascii="Times New Roman" w:hAnsi="Times New Roman" w:eastAsia="黑体"/>
          <w:b/>
          <w:bCs/>
          <w:sz w:val="32"/>
          <w:szCs w:val="32"/>
        </w:rPr>
      </w:pPr>
      <w:r>
        <w:t xml:space="preserve">图 </w:t>
      </w:r>
      <w:r>
        <w:fldChar w:fldCharType="begin"/>
      </w:r>
      <w:r>
        <w:instrText xml:space="preserve"> SEQ 图 \* ARABIC </w:instrText>
      </w:r>
      <w:r>
        <w:fldChar w:fldCharType="separate"/>
      </w:r>
      <w:r>
        <w:t>1</w:t>
      </w:r>
      <w:r>
        <w:fldChar w:fldCharType="end"/>
      </w:r>
      <w:r>
        <w:rPr>
          <w:rFonts w:hint="eastAsia"/>
          <w:lang w:val="en-US" w:eastAsia="zh-CN"/>
        </w:rPr>
        <w:t xml:space="preserve"> </w:t>
      </w:r>
      <w:r>
        <w:rPr>
          <w:rFonts w:ascii="宋体" w:hAnsi="宋体" w:eastAsia="宋体" w:cs="宋体"/>
          <w:kern w:val="0"/>
          <w:sz w:val="24"/>
          <w:szCs w:val="24"/>
          <w:lang w:val="en-US" w:eastAsia="zh-CN" w:bidi="ar"/>
        </w:rPr>
        <w:t>整体技术路线总览</w:t>
      </w:r>
    </w:p>
    <w:p w14:paraId="06410D9C">
      <w:pPr>
        <w:pStyle w:val="2"/>
        <w:spacing w:before="480" w:after="240"/>
      </w:pPr>
      <w:r>
        <w:rPr>
          <w:rFonts w:ascii="Times New Roman" w:hAnsi="Times New Roman" w:eastAsia="黑体"/>
          <w:b/>
          <w:bCs/>
          <w:sz w:val="32"/>
          <w:szCs w:val="32"/>
        </w:rPr>
        <w:t>第二章 本体设计</w:t>
      </w:r>
    </w:p>
    <w:p w14:paraId="0E136762">
      <w:pPr>
        <w:pStyle w:val="3"/>
        <w:spacing w:before="320" w:after="160"/>
      </w:pPr>
      <w:r>
        <w:rPr>
          <w:rFonts w:ascii="Times New Roman" w:hAnsi="Times New Roman" w:eastAsia="黑体"/>
          <w:b/>
          <w:bCs/>
          <w:sz w:val="28"/>
          <w:szCs w:val="28"/>
        </w:rPr>
        <w:t>2.1 TRAES 五元组</w:t>
      </w:r>
    </w:p>
    <w:p w14:paraId="7CAD4E96">
      <w:pPr>
        <w:spacing w:line="360" w:lineRule="auto"/>
        <w:ind w:firstLine="480"/>
        <w:jc w:val="both"/>
      </w:pPr>
      <w:r>
        <w:rPr>
          <w:rFonts w:ascii="Times New Roman" w:hAnsi="Times New Roman" w:eastAsia="宋体"/>
          <w:sz w:val="24"/>
          <w:szCs w:val="24"/>
        </w:rPr>
        <w:t>本数据集的核心本体被命名为 TRAES 五元组,记为 G = (T, R, A, E, S)。这一命名是为了方便讨论与引用,五个字母分别代表 Taxa(物种)、Relation(关系)、Attribute(陈述属性)、Environment(环境)与 Source(证据来源)。这五个要素中,T 与 R 共同构成图谱的拓扑骨架,描述谁与谁通过什么关系发生互动;A 是承载多模态对齐和扩展属性的中枢,即互作事件本身;E 与 S 则分别为每一条事件补充了“在什么环境下发生”和“由什么证据支持”两类关键上下文。</w:t>
      </w:r>
    </w:p>
    <w:p w14:paraId="7156130E">
      <w:pPr>
        <w:spacing w:line="360" w:lineRule="auto"/>
        <w:ind w:firstLine="480"/>
        <w:jc w:val="both"/>
      </w:pPr>
      <w:r>
        <w:rPr>
          <w:rFonts w:ascii="Times New Roman" w:hAnsi="Times New Roman" w:eastAsia="宋体"/>
          <w:sz w:val="24"/>
          <w:szCs w:val="24"/>
        </w:rPr>
        <w:t>物种(T)在数据集中是核心实体节点,带有两个最基本的属性:category 表示其所属的生物大类(真菌、细菌、古菌、病毒、藻类、原生动物、浮游动物、浮游植物、底栖动物等),rank 表示分类学阶元(从域、界一直到菌株,以及“未确定”作为兜底选项)。这两个属性的设计,既是为了支持下游按生物大类的快速筛选,也是为了在数据集扩展到更大规模时,可以基于类别层级做聚合分析。</w:t>
      </w:r>
    </w:p>
    <w:p w14:paraId="41E9D77F">
      <w:pPr>
        <w:spacing w:line="360" w:lineRule="auto"/>
        <w:ind w:firstLine="480"/>
        <w:jc w:val="both"/>
      </w:pPr>
      <w:r>
        <w:rPr>
          <w:rFonts w:ascii="Times New Roman" w:hAnsi="Times New Roman" w:eastAsia="宋体"/>
          <w:sz w:val="24"/>
          <w:szCs w:val="24"/>
        </w:rPr>
        <w:t>关系(R)是本体设计中最需要权衡的部分,我们采取了严格的闭集策略,把生态学互作关系限定在六类标准术语之内:互利共生、捕食或寄生、竞争、偏利共生、偏害共生与中性关系。这一选择有两层考虑。第一层是下游可学习性:一个固定大小的闭集类别空间,对任何下游分类或预测模型都是更友好的训练目标,避免了同义改写带来的标签噪声。第二层是术语标准化:这六类术语是生态学教科书与文献综述中最常使用的关系本体,使用它们可以让本数据集与已有的生态学文献体系自然衔接,而不需要重新定义一套术语。</w:t>
      </w:r>
    </w:p>
    <w:p w14:paraId="010F031C">
      <w:pPr>
        <w:spacing w:line="360" w:lineRule="auto"/>
        <w:ind w:firstLine="480"/>
        <w:jc w:val="both"/>
      </w:pPr>
      <w:r>
        <w:rPr>
          <w:rFonts w:ascii="Times New Roman" w:hAnsi="Times New Roman" w:eastAsia="宋体"/>
          <w:sz w:val="24"/>
          <w:szCs w:val="24"/>
        </w:rPr>
        <w:t>闭集策略带来的代价是关系粒度的损失。诸如“干扰竞争”和“资源竞争”这样的细分子类型,在 v0.1 中只能被合并到“竞争”这一大类下;诸如“捕食”和“寄生”这两种本质上不同但都属于消费方-被消费方关系的互作,也被合并到“捕食或寄生”一类。我们认为在 v0.1 阶段保持闭集的严谨性比追求粒度更重要,后续版本可以在保持六类大类的同时,以子类标签的方式补充细化信息。</w:t>
      </w:r>
    </w:p>
    <w:p w14:paraId="587C4853">
      <w:pPr>
        <w:spacing w:line="360" w:lineRule="auto"/>
        <w:ind w:firstLine="480"/>
        <w:jc w:val="both"/>
      </w:pPr>
      <w:r>
        <w:rPr>
          <w:rFonts w:ascii="Times New Roman" w:hAnsi="Times New Roman" w:eastAsia="宋体"/>
          <w:sz w:val="24"/>
          <w:szCs w:val="24"/>
        </w:rPr>
        <w:t>属性(A)在本数据集中并不像传统三元组那样被建模为关系边上的标量字段,而是被实体化为独立的事件节点。这是本体设计中最关键的一处决策,会在 2.2 节专门讨论。</w:t>
      </w:r>
    </w:p>
    <w:p w14:paraId="6D32FAE9">
      <w:pPr>
        <w:spacing w:line="360" w:lineRule="auto"/>
        <w:ind w:firstLine="480"/>
        <w:jc w:val="both"/>
      </w:pPr>
      <w:r>
        <w:rPr>
          <w:rFonts w:ascii="Times New Roman" w:hAnsi="Times New Roman" w:eastAsia="宋体"/>
          <w:sz w:val="24"/>
          <w:szCs w:val="24"/>
        </w:rPr>
        <w:t>环境(E)是本数据集相对于传统物种互作数据库最具特色的一处扩展。一条互作事件,如果不带环境上下文,在生态学解释上往往是不完整甚至是误导性的——许多种间关系只在特定的温度、营养盐配比或溶解氧条件下才会表现出来。我们把环境拆分为两个子字段:physical 描述温度、光照、水深、季节等物理参数,chemical 描述 N:P 比、氮源、溶解氧、pH、微囊藻毒素浓度等化学参数。在抽取阶段,凡是原文未明确给出的字段统一记录为“未提及”,以避免模型基于常识进行编造。</w:t>
      </w:r>
    </w:p>
    <w:p w14:paraId="11D74C81">
      <w:pPr>
        <w:spacing w:line="360" w:lineRule="auto"/>
        <w:ind w:firstLine="480"/>
        <w:jc w:val="both"/>
      </w:pPr>
      <w:r>
        <w:rPr>
          <w:rFonts w:ascii="Times New Roman" w:hAnsi="Times New Roman" w:eastAsia="宋体"/>
          <w:sz w:val="24"/>
          <w:szCs w:val="24"/>
        </w:rPr>
        <w:t>来源(S)是确保数据集科学可溯源性的核心字段。每一条事件都关联到至少一个 Source 节点,该节点同时承载文献的 DOI 与得出该结论所使用的实验或分析方法。method 字段的存在,让下游使用者不仅能知道“哪篇文献说的”,还能知道“用什么方法说的”——这对于评估一条互作结论的可信度至关重要。一个 24 小时的摄食实验得出的捕食结论,与一个长期野外原位监测得出的偏害结论,在证据强度上是不一样的,本数据集通过 method 字段保留了这种差异。</w:t>
      </w:r>
    </w:p>
    <w:p w14:paraId="2D880709">
      <w:pPr>
        <w:pStyle w:val="3"/>
        <w:spacing w:before="320" w:after="160"/>
      </w:pPr>
      <w:r>
        <w:rPr>
          <w:rFonts w:ascii="Times New Roman" w:hAnsi="Times New Roman" w:eastAsia="黑体"/>
          <w:b/>
          <w:bCs/>
          <w:sz w:val="28"/>
          <w:szCs w:val="28"/>
        </w:rPr>
        <w:t>2.2 事件中心型(Event-Centric)拓扑</w:t>
      </w:r>
    </w:p>
    <w:p w14:paraId="56BEF9A7">
      <w:pPr>
        <w:spacing w:line="360" w:lineRule="auto"/>
        <w:ind w:firstLine="480"/>
        <w:jc w:val="both"/>
      </w:pPr>
      <w:r>
        <w:rPr>
          <w:rFonts w:ascii="Times New Roman" w:hAnsi="Times New Roman" w:eastAsia="宋体"/>
          <w:sz w:val="24"/>
          <w:szCs w:val="24"/>
        </w:rPr>
        <w:t>如果只看 TRAES 五个字母的字面含义,本数据集似乎可以用最朴素的方式建模:把物种作为节点,把关系作为边,把环境和来源作为边上的属性。我们在本体设计的早期确实考虑过这种平面方案。但在试图把第一批文献的抽取结果导入图谱时,我们立刻意识到这种建模方式存在三个无法接受的问题。</w:t>
      </w:r>
    </w:p>
    <w:p w14:paraId="7DED4644">
      <w:pPr>
        <w:spacing w:line="360" w:lineRule="auto"/>
        <w:ind w:firstLine="480"/>
        <w:jc w:val="both"/>
      </w:pPr>
      <w:r>
        <w:rPr>
          <w:rFonts w:ascii="Times New Roman" w:hAnsi="Times New Roman" w:eastAsia="宋体"/>
          <w:sz w:val="24"/>
          <w:szCs w:val="24"/>
        </w:rPr>
        <w:t>第一个问题是关系覆盖。淡水生态系统中,同一对物种在不同环境条件下可能表现出不同的互作关系——某种蓝藻和某种细菌,在富营养条件下可能呈现互利共生,在限磷条件下可能转为偏利甚至偏害。平面建模下,这两条具有同等科学价值的发现,会因为它们共享同一对物种节点而互相覆盖,后写入的关系会取代先写入的关系,信息被无声地丢失。</w:t>
      </w:r>
    </w:p>
    <w:p w14:paraId="78CC34E7">
      <w:pPr>
        <w:spacing w:line="360" w:lineRule="auto"/>
        <w:ind w:firstLine="480"/>
        <w:jc w:val="both"/>
      </w:pPr>
      <w:r>
        <w:rPr>
          <w:rFonts w:ascii="Times New Roman" w:hAnsi="Times New Roman" w:eastAsia="宋体"/>
          <w:sz w:val="24"/>
          <w:szCs w:val="24"/>
        </w:rPr>
        <w:t>第二个问题是多模态对齐的挂载位置。本数据集的核心卖点之一是把文本、图、表、公式四种模态的证据指针挂在同一个对象上,以实现 Sci-Align 范式所强调的“科学对象的多维一致表示”。如果对齐信息被挂在关系边上,边的语义负担会变得很重,且无法承载诸如“这条事件同时由两张图和一个表支持”这样的一对多关系。</w:t>
      </w:r>
    </w:p>
    <w:p w14:paraId="70596E96">
      <w:pPr>
        <w:spacing w:line="360" w:lineRule="auto"/>
        <w:ind w:firstLine="480"/>
        <w:jc w:val="both"/>
      </w:pPr>
      <w:r>
        <w:rPr>
          <w:rFonts w:ascii="Times New Roman" w:hAnsi="Times New Roman" w:eastAsia="宋体"/>
          <w:sz w:val="24"/>
          <w:szCs w:val="24"/>
        </w:rPr>
        <w:t>第三个问题是扩展性。如果未来要在事件层面引入新的属性——比如不确定度量化、采样地理坐标、研究中的失败重试次数——平面建模需要修改边的属性结构,这种变更对已经入库的数据兼容性较差。</w:t>
      </w:r>
    </w:p>
    <w:p w14:paraId="1DB67895">
      <w:pPr>
        <w:spacing w:line="360" w:lineRule="auto"/>
        <w:ind w:firstLine="480"/>
        <w:jc w:val="both"/>
        <w:rPr>
          <w:rFonts w:ascii="Times New Roman" w:hAnsi="Times New Roman" w:eastAsia="宋体"/>
          <w:sz w:val="24"/>
          <w:szCs w:val="24"/>
        </w:rPr>
      </w:pPr>
      <w:r>
        <w:rPr>
          <w:rFonts w:ascii="Times New Roman" w:hAnsi="Times New Roman" w:eastAsia="宋体"/>
          <w:sz w:val="24"/>
          <w:szCs w:val="24"/>
        </w:rPr>
        <w:t>基于这三点考虑,我们最终采用了事件中心型拓扑。在这种结构下,两个物种节点不再直接以关系边相连,而是分别通过 PARTICIPATE_IN 边指向同一个 InteractionEvent 节点;环境节点与来源节点则分别通过 UNDER_ENVIRONMENT 与 SUPPORTED_BY 边由事件节点反向指出。从图结构上看,事件节点是一个星形拓扑的中心,周围连接着两个参与物种、若干环境节点以及至少一个证据来源节点。这种结构让前述三个问题都得到了自然的解决:不同环境下的不同关系作为独立事件节点共存,多模态对齐信息可以稳定挂载在事件节点上,未来的扩展属性只需在事件节点上增加字段而无须修改边的语义。</w:t>
      </w:r>
    </w:p>
    <w:p w14:paraId="74FCC8D4">
      <w:pPr>
        <w:keepNext w:val="0"/>
        <w:keepLines w:val="0"/>
        <w:widowControl/>
        <w:suppressLineNumbers w:val="0"/>
        <w:jc w:val="center"/>
        <w:rPr>
          <w:rFonts w:hint="eastAsia" w:eastAsia="宋体"/>
          <w:lang w:eastAsia="zh-CN"/>
        </w:rPr>
      </w:pPr>
      <w:r>
        <w:drawing>
          <wp:inline distT="0" distB="0" distL="114300" distR="114300">
            <wp:extent cx="5728335" cy="3199765"/>
            <wp:effectExtent l="0" t="0" r="12065" b="63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6"/>
                    <a:stretch>
                      <a:fillRect/>
                    </a:stretch>
                  </pic:blipFill>
                  <pic:spPr>
                    <a:xfrm>
                      <a:off x="0" y="0"/>
                      <a:ext cx="5728335" cy="3199765"/>
                    </a:xfrm>
                    <a:prstGeom prst="rect">
                      <a:avLst/>
                    </a:prstGeom>
                    <a:noFill/>
                    <a:ln>
                      <a:noFill/>
                    </a:ln>
                  </pic:spPr>
                </pic:pic>
              </a:graphicData>
            </a:graphic>
          </wp:inline>
        </w:drawing>
      </w:r>
    </w:p>
    <w:p w14:paraId="1C098DB0">
      <w:pPr>
        <w:keepNext w:val="0"/>
        <w:keepLines w:val="0"/>
        <w:widowControl/>
        <w:suppressLineNumbers w:val="0"/>
        <w:jc w:val="center"/>
        <w:rPr>
          <w:rFonts w:ascii="Times New Roman" w:hAnsi="Times New Roman" w:eastAsia="宋体"/>
          <w:sz w:val="24"/>
          <w:szCs w:val="24"/>
        </w:rPr>
      </w:pPr>
      <w:r>
        <w:t xml:space="preserve">图 </w:t>
      </w:r>
      <w:r>
        <w:fldChar w:fldCharType="begin"/>
      </w:r>
      <w:r>
        <w:instrText xml:space="preserve"> SEQ 图 \* ARABIC </w:instrText>
      </w:r>
      <w:r>
        <w:fldChar w:fldCharType="separate"/>
      </w:r>
      <w:r>
        <w:t>2</w:t>
      </w:r>
      <w:r>
        <w:fldChar w:fldCharType="end"/>
      </w:r>
      <w:r>
        <w:rPr>
          <w:rFonts w:hint="eastAsia"/>
          <w:lang w:val="en-US" w:eastAsia="zh-CN"/>
        </w:rPr>
        <w:t xml:space="preserve"> </w:t>
      </w:r>
      <w:r>
        <w:rPr>
          <w:rFonts w:ascii="宋体" w:hAnsi="宋体" w:eastAsia="宋体" w:cs="宋体"/>
          <w:kern w:val="0"/>
          <w:sz w:val="24"/>
          <w:szCs w:val="24"/>
          <w:lang w:val="en-US" w:eastAsia="zh-CN" w:bidi="ar"/>
        </w:rPr>
        <w:t>事件中心型 vs 平面三元组对比</w:t>
      </w:r>
    </w:p>
    <w:p w14:paraId="23A641A0">
      <w:pPr>
        <w:pStyle w:val="3"/>
        <w:spacing w:before="320" w:after="160"/>
      </w:pPr>
      <w:r>
        <w:rPr>
          <w:rFonts w:ascii="Times New Roman" w:hAnsi="Times New Roman" w:eastAsia="黑体"/>
          <w:b/>
          <w:bCs/>
          <w:sz w:val="28"/>
          <w:szCs w:val="28"/>
        </w:rPr>
        <w:t>2.3 事件标识与跨文献去重</w:t>
      </w:r>
    </w:p>
    <w:p w14:paraId="5455C96B">
      <w:pPr>
        <w:spacing w:line="360" w:lineRule="auto"/>
        <w:ind w:firstLine="480"/>
        <w:jc w:val="both"/>
      </w:pPr>
      <w:r>
        <w:rPr>
          <w:rFonts w:ascii="Times New Roman" w:hAnsi="Times New Roman" w:eastAsia="宋体"/>
          <w:sz w:val="24"/>
          <w:szCs w:val="24"/>
        </w:rPr>
        <w:t>事件中心型拓扑还带来一个额外的好处:跨文献的语义级去重变得可行。两篇不同文献如果描述了同一个互作事件——例如同一对物种在同一类环境下的捕食关系——它们应该汇聚到图谱的同一个 InteractionEvent 节点上,而不是产生两个独立但内容雷同的节点。</w:t>
      </w:r>
    </w:p>
    <w:p w14:paraId="5793455E">
      <w:pPr>
        <w:spacing w:line="360" w:lineRule="auto"/>
        <w:ind w:firstLine="480"/>
        <w:jc w:val="both"/>
      </w:pPr>
      <w:r>
        <w:rPr>
          <w:rFonts w:ascii="Times New Roman" w:hAnsi="Times New Roman" w:eastAsia="宋体"/>
          <w:sz w:val="24"/>
          <w:szCs w:val="24"/>
        </w:rPr>
        <w:t>为了支持这种汇聚,我们为每条事件设计了规范化的 event_id 生成规则:取 taxa_a 与 taxa_b 的物种学名,按字母升序排序后与 relation 字段拼接形成唯一键,具体格式为 “物种A_关系类型_物种B”。字母升序排序的目的是让“A 捕食 B”与“B 被 A 捕食”两种叙述方式无论先后顺序如何都能对齐到同一标识;关系方向本身不会因此丢失,因为它被以单独属性的形式保留在事件节点上。</w:t>
      </w:r>
    </w:p>
    <w:p w14:paraId="032F2A98">
      <w:pPr>
        <w:spacing w:line="360" w:lineRule="auto"/>
        <w:ind w:firstLine="480"/>
        <w:jc w:val="both"/>
      </w:pPr>
      <w:r>
        <w:rPr>
          <w:rFonts w:ascii="Times New Roman" w:hAnsi="Times New Roman" w:eastAsia="宋体"/>
          <w:sz w:val="24"/>
          <w:szCs w:val="24"/>
        </w:rPr>
        <w:t>在 Neo4j 写入阶段,我们全面使用 Cypher 的 MERGE 语义,即“存在则匹配,不存在则创建”。当两篇文献的抽取结果产生了同一个 event_id 时,后一篇文献的写入操作会自动汇聚到第一篇已经创建的事件节点上,只是会通过新的 SUPPORTED_BY 边把第二个 Source 节点(对应第二篇文献)挂上去。这样,一条事件在图谱中可以同时拥有多个证据来源,直接反映出“被多篇文献交叉验证”的科学事实。</w:t>
      </w:r>
    </w:p>
    <w:p w14:paraId="19C00714">
      <w:pPr>
        <w:spacing w:line="360" w:lineRule="auto"/>
        <w:ind w:firstLine="480"/>
        <w:jc w:val="both"/>
      </w:pPr>
      <w:r>
        <w:rPr>
          <w:rFonts w:ascii="Times New Roman" w:hAnsi="Times New Roman" w:eastAsia="宋体"/>
          <w:sz w:val="24"/>
          <w:szCs w:val="24"/>
        </w:rPr>
        <w:t>值得一提的是,我们在 SUPPORTED_BY 边和 InteractionEvent、Source 两类节点上都冗余地写入了 DOI 信息。这种节点和边双重 DOI 标注表面上是一种数据冗余,但在实际的查询场景下非常有用:它允许使用者既可以从“哪个文献”出发查所有相关事件,也可以从“哪条事件”反查到所有支撑文献,两个方向的查询都无须图遍历的多跳跨越。</w:t>
      </w:r>
    </w:p>
    <w:p w14:paraId="2C62A6FE">
      <w:r>
        <w:br w:type="page"/>
      </w:r>
    </w:p>
    <w:p w14:paraId="0AC20A85">
      <w:pPr>
        <w:pStyle w:val="2"/>
        <w:spacing w:before="480" w:after="240"/>
      </w:pPr>
      <w:r>
        <w:rPr>
          <w:rFonts w:ascii="Times New Roman" w:hAnsi="Times New Roman" w:eastAsia="黑体"/>
          <w:b/>
          <w:bCs/>
          <w:sz w:val="32"/>
          <w:szCs w:val="32"/>
        </w:rPr>
        <w:t>第三章 数据构建流水线</w:t>
      </w:r>
    </w:p>
    <w:p w14:paraId="5FCF8DF7">
      <w:pPr>
        <w:pStyle w:val="3"/>
        <w:spacing w:before="320" w:after="160"/>
      </w:pPr>
      <w:r>
        <w:rPr>
          <w:rFonts w:ascii="Times New Roman" w:hAnsi="Times New Roman" w:eastAsia="黑体"/>
          <w:b/>
          <w:bCs/>
          <w:sz w:val="28"/>
          <w:szCs w:val="28"/>
        </w:rPr>
        <w:t>3.1 总体设计</w:t>
      </w:r>
    </w:p>
    <w:p w14:paraId="2330CBE8">
      <w:pPr>
        <w:spacing w:line="360" w:lineRule="auto"/>
        <w:ind w:firstLine="480"/>
        <w:jc w:val="both"/>
        <w:rPr>
          <w:rFonts w:ascii="Times New Roman" w:hAnsi="Times New Roman" w:eastAsia="宋体"/>
          <w:sz w:val="24"/>
          <w:szCs w:val="24"/>
        </w:rPr>
      </w:pPr>
      <w:r>
        <w:rPr>
          <w:rFonts w:ascii="Times New Roman" w:hAnsi="Times New Roman" w:eastAsia="宋体"/>
          <w:sz w:val="24"/>
          <w:szCs w:val="24"/>
        </w:rPr>
        <w:t>整条流水线沿数据流方向可分为七个阶段,各阶段使用不同的工具,各自完成自己最擅长的子任务,前后衔接形成一条端到端可批量执行的处理通路。第一阶段是文献获取,系统从 Web of Science 的检索结果中按预定主题策略筛选出微生物互作相关的英文论文集合,本期为该集合的一个二十篇子集。第二阶段是版面解析,我们将每篇 PDF 输入 MinerU 工具链,得到保留章节层级的 Markdown 文本以及切出的图像、表格、公式资产。第三阶段是图像语义理解,我们对 MinerU 切出的每张图像调用 Qwen3.5-VL,生成中文自然语言描述,并将描述回填到 Markdown 原图像位置,与正文文本形成统一上下文。第四阶段是自适应分块,把长篇文献切分为大小可控的文本块以适配大模型的上下文窗口。第五阶段是事件抽取,在严格领域提示词约束下,由可插拔接入的大语言模型从每个文本块中抽取候选事件;v0.1 阶段我们对六款主流模型做了横向评测,在主流水线运行中主要采用 Gemini 3 Flash Preview 与 GPT-5.4 mini 作为综合 F1 表现最优的两款。第六阶段是全局去重,基于规范化键剔除冗余事件。第七阶段是双轨入库,把去重后的事件同时写入本地 JSONL 备份与 Neo4j 图数据库。</w:t>
      </w:r>
    </w:p>
    <w:p w14:paraId="3D9F7A08">
      <w:pPr>
        <w:spacing w:line="360" w:lineRule="auto"/>
        <w:ind w:firstLine="480"/>
        <w:jc w:val="center"/>
      </w:pPr>
      <w:r>
        <w:drawing>
          <wp:inline distT="0" distB="0" distL="114300" distR="114300">
            <wp:extent cx="2801620" cy="3751580"/>
            <wp:effectExtent l="0" t="0" r="17780" b="762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7"/>
                    <a:stretch>
                      <a:fillRect/>
                    </a:stretch>
                  </pic:blipFill>
                  <pic:spPr>
                    <a:xfrm>
                      <a:off x="0" y="0"/>
                      <a:ext cx="2801620" cy="3751580"/>
                    </a:xfrm>
                    <a:prstGeom prst="rect">
                      <a:avLst/>
                    </a:prstGeom>
                    <a:noFill/>
                    <a:ln>
                      <a:noFill/>
                    </a:ln>
                  </pic:spPr>
                </pic:pic>
              </a:graphicData>
            </a:graphic>
          </wp:inline>
        </w:drawing>
      </w:r>
    </w:p>
    <w:p w14:paraId="0AE6DE0F">
      <w:pPr>
        <w:pStyle w:val="8"/>
        <w:spacing w:line="360" w:lineRule="auto"/>
        <w:ind w:firstLine="480"/>
        <w:jc w:val="center"/>
        <w:rPr>
          <w:rFonts w:hint="eastAsia" w:eastAsia="宋体"/>
          <w:lang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技术流程</w:t>
      </w:r>
    </w:p>
    <w:p w14:paraId="31659647">
      <w:pPr>
        <w:pStyle w:val="3"/>
        <w:spacing w:before="320" w:after="160"/>
      </w:pPr>
      <w:r>
        <w:rPr>
          <w:rFonts w:ascii="Times New Roman" w:hAnsi="Times New Roman" w:eastAsia="黑体"/>
          <w:b/>
          <w:bCs/>
          <w:sz w:val="28"/>
          <w:szCs w:val="28"/>
        </w:rPr>
        <w:t>3.2 文献获取</w:t>
      </w:r>
    </w:p>
    <w:p w14:paraId="01AD85B1">
      <w:pPr>
        <w:spacing w:line="360" w:lineRule="auto"/>
        <w:ind w:firstLine="480"/>
        <w:jc w:val="both"/>
      </w:pPr>
      <w:r>
        <w:rPr>
          <w:rFonts w:ascii="Times New Roman" w:hAnsi="Times New Roman" w:eastAsia="宋体"/>
          <w:sz w:val="24"/>
          <w:szCs w:val="24"/>
        </w:rPr>
        <w:t>本数据集的文献来源是 Web of Science 平台的检索结果,目标主题是淡水系统中的微生物相互作用。检索策略以“淡水”、“微生物”、“互作”、“种间关系”、“水华”、“共生”、“竞争”等核心主题词的组合为基础,同时结合 Web of Science 的研究方向分类筛选(主要涵盖水资源、海洋淡水生物学、微生物学、生态学等)缩窄结果范围;文献类型限定为 Article,以排除会议论文、社论与勘误。经过这一轮筛选,平台返回的检索集规模为两万余篇,这构成了本项目长期工作的总语料底座。本期 v0.1 阶段所处理的二十篇文献,是从这一检索集中选取的具有典型微生物互作描述的样本,主要用于流水线的端到端验证。</w:t>
      </w:r>
    </w:p>
    <w:p w14:paraId="27D297F1">
      <w:pPr>
        <w:spacing w:line="360" w:lineRule="auto"/>
        <w:ind w:firstLine="480"/>
        <w:jc w:val="both"/>
      </w:pPr>
      <w:r>
        <w:rPr>
          <w:rFonts w:ascii="Times New Roman" w:hAnsi="Times New Roman" w:eastAsia="宋体"/>
          <w:sz w:val="24"/>
          <w:szCs w:val="24"/>
        </w:rPr>
        <w:t>我们在这里有意不公布具体的检索语句,主要原因是 Web of Science 的检索语法对字段缩写、布尔逻辑括号、时间过滤等细节非常敏感,把一条具体语句直接放进开源数据集会让其他研究者在不同时间点重现时出现条目数量不一致的问题,反而不利于复现。我们更倾向于发布“检索策略”层面的描述,让有意复现者根据自身需求构造符合其研究范围的检索式。后续版本会随着抽取规模扩大,逐步开放可重复执行的检索脚本。</w:t>
      </w:r>
    </w:p>
    <w:p w14:paraId="63B7284F">
      <w:pPr>
        <w:pStyle w:val="3"/>
        <w:spacing w:before="320" w:after="160"/>
      </w:pPr>
      <w:r>
        <w:rPr>
          <w:rFonts w:ascii="Times New Roman" w:hAnsi="Times New Roman" w:eastAsia="黑体"/>
          <w:b/>
          <w:bCs/>
          <w:sz w:val="28"/>
          <w:szCs w:val="28"/>
        </w:rPr>
        <w:t>3.3 版面解析</w:t>
      </w:r>
    </w:p>
    <w:p w14:paraId="2287CDE0">
      <w:pPr>
        <w:spacing w:line="360" w:lineRule="auto"/>
        <w:ind w:firstLine="480"/>
        <w:jc w:val="both"/>
      </w:pPr>
      <w:r>
        <w:rPr>
          <w:rFonts w:ascii="Times New Roman" w:hAnsi="Times New Roman" w:eastAsia="宋体"/>
          <w:sz w:val="24"/>
          <w:szCs w:val="24"/>
        </w:rPr>
        <w:t>版面解析阶段是整条流水线中对 MinerU 工具链的直接调用环节,也是赛题硬性要求的工具使用环节。本阶段的详细使用方式与能力边界讨论放在第四章,这里只做简要交代:MinerU 接受 PDF 文献作为输入,产出四类结构化资产——保留章节层级的 Markdown 文本、切出的 PNG 图像文件夹、嵌入 Markdown 原位置的表格 Markdown,以及同位嵌入的 LaTeX 公式表达。这四类资产之后会被流水线的不同模块分别消费。</w:t>
      </w:r>
    </w:p>
    <w:p w14:paraId="2B07A382">
      <w:pPr>
        <w:pStyle w:val="3"/>
        <w:spacing w:before="320" w:after="160"/>
      </w:pPr>
      <w:r>
        <w:rPr>
          <w:rFonts w:ascii="Times New Roman" w:hAnsi="Times New Roman" w:eastAsia="黑体"/>
          <w:b/>
          <w:bCs/>
          <w:sz w:val="28"/>
          <w:szCs w:val="28"/>
        </w:rPr>
        <w:t>3.4 图像语义理解</w:t>
      </w:r>
    </w:p>
    <w:p w14:paraId="6DFA3531">
      <w:pPr>
        <w:spacing w:line="360" w:lineRule="auto"/>
        <w:ind w:firstLine="480"/>
        <w:jc w:val="both"/>
      </w:pPr>
      <w:r>
        <w:rPr>
          <w:rFonts w:ascii="Times New Roman" w:hAnsi="Times New Roman" w:eastAsia="宋体"/>
          <w:sz w:val="24"/>
          <w:szCs w:val="24"/>
        </w:rPr>
        <w:t>在前期试用中我们发现,MinerU 工具链的职责严格限定在“版面解析与素材切出”,并不解析图像内部呈现的科学语义。换言之,MinerU 可以告诉你这张图位于文献的第几页、原文中对应的图题是什么、图像本身被保存到了哪个文件路径,但它不会告诉你这张柱状图的横轴标的是哪四种藻类、纵轴是清除率、最高的那根柱对应的数值大约是多少。这部分内容是淡水微生物文献中关键定量信息的主要载体——文献正文常常仅以一句话提到“如图 2 所示,大型溞对栅藻表现出显著的摄食偏好”,具体的偏好程度、误差范围、与其他藻类的对比则全部留在图中。若不对图像做进一步语义化,后续的事件抽取在面对这种“图文相互补充”的写作惯例时会丢失重要证据。</w:t>
      </w:r>
    </w:p>
    <w:p w14:paraId="09E05FFC">
      <w:pPr>
        <w:spacing w:line="360" w:lineRule="auto"/>
        <w:ind w:firstLine="480"/>
        <w:jc w:val="both"/>
      </w:pPr>
      <w:r>
        <w:rPr>
          <w:rFonts w:ascii="Times New Roman" w:hAnsi="Times New Roman" w:eastAsia="宋体"/>
          <w:sz w:val="24"/>
          <w:szCs w:val="24"/>
        </w:rPr>
        <w:t>我们对每张切出的图像调用 Qwen3.5-VL 多模态模型生成中文语义描述。提示词被设计为重点覆盖五个方面:图像类型(柱状图、折线图、散点图、示意图、显微照片等)、坐标轴标签与数值范围、可见的物种名称(如果图中文字明确显示)、关键定量发现或趋势、误差棒与显著性标记。每张图的描述长度被控制在 80 到 150 字之间,既保证关键信息被捕捉,又避免冗长描述对下游事件抽取造成干扰。生成的描述被嵌入到 Markdown 中对应图像的位置,与原文文本形成统一上下文,供下游 LLM 阅读使用。</w:t>
      </w:r>
    </w:p>
    <w:p w14:paraId="7811004F">
      <w:pPr>
        <w:spacing w:line="360" w:lineRule="auto"/>
        <w:ind w:firstLine="480"/>
        <w:jc w:val="both"/>
      </w:pPr>
      <w:r>
        <w:rPr>
          <w:rFonts w:ascii="Times New Roman" w:hAnsi="Times New Roman" w:eastAsia="宋体"/>
          <w:sz w:val="24"/>
          <w:szCs w:val="24"/>
        </w:rPr>
        <w:t>这种“MinerU 做版面、Qwen3.5-VL 做图像语义”的分工,是经过试错后得到的稳定方案。我们曾经尝试过将整页 PDF 截图直接交给视觉语言模型做端到端解析,但发现这种做法会损失多栏布局、跨页表格、公式识别等版面结构信息,反而放大了模型的幻觉风险。而 MinerU 对学术 PDF 复杂版面的处理精度,是端到端视觉模型短期内难以替代的。两者协同,使整条上游流水线既保持了版面级的精确性,又获得了图像级的语义理解。</w:t>
      </w:r>
    </w:p>
    <w:p w14:paraId="5A9B04F9">
      <w:pPr>
        <w:pStyle w:val="3"/>
        <w:spacing w:before="320" w:after="160"/>
      </w:pPr>
      <w:r>
        <w:rPr>
          <w:rFonts w:ascii="Times New Roman" w:hAnsi="Times New Roman" w:eastAsia="黑体"/>
          <w:b/>
          <w:bCs/>
          <w:sz w:val="28"/>
          <w:szCs w:val="28"/>
        </w:rPr>
        <w:t>3.5 自适应分块</w:t>
      </w:r>
    </w:p>
    <w:p w14:paraId="06CAA8E1">
      <w:pPr>
        <w:spacing w:line="360" w:lineRule="auto"/>
        <w:ind w:firstLine="480"/>
        <w:jc w:val="both"/>
      </w:pPr>
      <w:r>
        <w:rPr>
          <w:rFonts w:ascii="Times New Roman" w:hAnsi="Times New Roman" w:eastAsia="宋体"/>
          <w:sz w:val="24"/>
          <w:szCs w:val="24"/>
        </w:rPr>
        <w:t>学术论文的全文长度普遍超过现有大语言模型在严格 JSON 输出模式下能够稳定处理的上下文限制。一篇典型的微生物生态学论文,若加上经过 Qwen3.5-VL 回填的图像描述,字符数往往在三万到五万之间,直接整篇输入会触发输出截断或事件遗漏。为此我们设计了一套自适应分块算法。</w:t>
      </w:r>
    </w:p>
    <w:p w14:paraId="648EDAEC">
      <w:pPr>
        <w:spacing w:line="360" w:lineRule="auto"/>
        <w:ind w:firstLine="480"/>
        <w:jc w:val="both"/>
      </w:pPr>
      <w:r>
        <w:rPr>
          <w:rFonts w:ascii="Times New Roman" w:hAnsi="Times New Roman" w:eastAsia="宋体"/>
          <w:sz w:val="24"/>
          <w:szCs w:val="24"/>
        </w:rPr>
        <w:t>算法的核心思路是优先尊重文献本身的章节结构。我们使用正则表达式 (?m)^(#{1,4}\s.*)$ 在 Markdown 文本中识别一到四级标题,以这些标题为自然边界进行切分。在累积长度未达到 MAX_CHARS(默认 8000 字)之前,系统会持续合并相邻段落,直到下一个段落加入后会超过阈值时才执行切断。对于个别极长的段落(例如某些综述类文献的讨论章节),如果单个段落本身就超过阈值,系统会回退到滑动窗口的方式做强制切分。</w:t>
      </w:r>
    </w:p>
    <w:p w14:paraId="736617DE">
      <w:pPr>
        <w:spacing w:line="360" w:lineRule="auto"/>
        <w:ind w:firstLine="480"/>
        <w:jc w:val="both"/>
      </w:pPr>
      <w:r>
        <w:rPr>
          <w:rFonts w:ascii="Times New Roman" w:hAnsi="Times New Roman" w:eastAsia="宋体"/>
          <w:sz w:val="24"/>
          <w:szCs w:val="24"/>
        </w:rPr>
        <w:t>为了避免跨段落描述的复杂互作事件因切分位置不当而被生硬截断,块与块之间会保留 OVERLAP_SIZE(默认 1000 字)的重叠区。这种重叠设计的实际效果是,一些跨越章节边界被讨论的事件——例如某个互作关系在 Results 末尾被首次提出、在 Discussion 开头被进一步阐释——能够在至少一个块中被完整看到。重叠区会在后续的去重阶段被自然消化,不会污染最终的事件集。</w:t>
      </w:r>
    </w:p>
    <w:p w14:paraId="1479EAD0">
      <w:pPr>
        <w:pStyle w:val="3"/>
        <w:spacing w:before="320" w:after="160"/>
      </w:pPr>
      <w:r>
        <w:rPr>
          <w:rFonts w:ascii="Times New Roman" w:hAnsi="Times New Roman" w:eastAsia="黑体"/>
          <w:b/>
          <w:bCs/>
          <w:sz w:val="28"/>
          <w:szCs w:val="28"/>
        </w:rPr>
        <w:t>3.6 事件抽取</w:t>
      </w:r>
    </w:p>
    <w:p w14:paraId="2F171818">
      <w:pPr>
        <w:spacing w:line="360" w:lineRule="auto"/>
        <w:ind w:firstLine="480"/>
        <w:jc w:val="both"/>
      </w:pPr>
      <w:r>
        <w:rPr>
          <w:rFonts w:ascii="Times New Roman" w:hAnsi="Times New Roman" w:eastAsia="宋体"/>
          <w:sz w:val="24"/>
          <w:szCs w:val="24"/>
        </w:rPr>
        <w:t>事件抽取阶段由大语言模型在严格 JSON Object 输出模式下完成。流水线在工程上设计为模型可插拔架构——同一份提示词和同一份输入文本块可以被分发给不同的大模型 API,产出可对比的抽取结果。v0.1 阶段我们对六款主流大模型做了完整的横向评测(详见第七章),综合 F1 最高的 Gemini 3 Flash Preview 与 GPT-5.4 mini 是本数据集主要采用的模型,Claude Haiku 4.5 作为评估阶段的语义裁判模型独立部署。无论采用哪个模型,提示词工程都是这一阶段成败的关键。我们为模型设定了“资深微生物生态学与生物信息学专家”的角色身份,并明确了五类约束。</w:t>
      </w:r>
    </w:p>
    <w:p w14:paraId="79F899FA">
      <w:pPr>
        <w:spacing w:line="360" w:lineRule="auto"/>
        <w:ind w:firstLine="480"/>
        <w:jc w:val="both"/>
      </w:pPr>
      <w:r>
        <w:rPr>
          <w:rFonts w:ascii="Times New Roman" w:hAnsi="Times New Roman" w:eastAsia="宋体"/>
          <w:sz w:val="24"/>
          <w:szCs w:val="24"/>
        </w:rPr>
        <w:t>第一类约束关乎相关性。模型被要求只提取文中明确描述了互作关系的物种,不接受仅在背景介绍、采样描述或实验环境段落中出现而未参与具体互作事件的“噪声物种”。这一点在实践中非常重要——一篇文献的引言部分可能会顺带提到十几种作为研究背景的物种,如果不加约束,模型会把这些物种全部纳入抽取结果,造成下游图谱大量节点连接到零事件,污染拓扑结构。</w:t>
      </w:r>
    </w:p>
    <w:p w14:paraId="04336CFC">
      <w:pPr>
        <w:spacing w:line="360" w:lineRule="auto"/>
        <w:ind w:firstLine="480"/>
        <w:jc w:val="both"/>
      </w:pPr>
      <w:r>
        <w:rPr>
          <w:rFonts w:ascii="Times New Roman" w:hAnsi="Times New Roman" w:eastAsia="宋体"/>
          <w:sz w:val="24"/>
          <w:szCs w:val="24"/>
        </w:rPr>
        <w:t>第二类约束关乎物种名称的清洗。提示词中明确列出了几条不可逾越的红线:剔除发育阶段词,例如 nauplii、larvae、adult、copepodite;剔除体型形容词,例如 small、large、medium;剔除 PDF 转换残留的杂质符号(如 $、Ž、#、*)和 LaTeX 格式符;修复 OCR 引入的不自然空格缩写,例如把 “T . p . mexicanus” 修复为 “T. p. mexicanus”;同时保留必要的菌株编号(例如 sp. PCC 7942)和亚种修饰。这些规则不是凭空想出来的,而是在第一轮试抽取后,根据出现频率最高的几类脏数据反向归纳得到的。</w:t>
      </w:r>
    </w:p>
    <w:p w14:paraId="1433D182">
      <w:pPr>
        <w:spacing w:line="360" w:lineRule="auto"/>
        <w:ind w:firstLine="480"/>
        <w:jc w:val="both"/>
      </w:pPr>
      <w:r>
        <w:rPr>
          <w:rFonts w:ascii="Times New Roman" w:hAnsi="Times New Roman" w:eastAsia="宋体"/>
          <w:sz w:val="24"/>
          <w:szCs w:val="24"/>
        </w:rPr>
        <w:t>第三类约束关乎关系术语。互作关系必须从六类闭集词汇中选择,不接受任何同义改写或细化变体。我们在提示词中明确给出了这六类术语的中文表述,并在多个范例中演示了不同语境下应当如何归类。</w:t>
      </w:r>
    </w:p>
    <w:p w14:paraId="20E1DA8E">
      <w:pPr>
        <w:spacing w:line="360" w:lineRule="auto"/>
        <w:ind w:firstLine="480"/>
        <w:jc w:val="both"/>
      </w:pPr>
      <w:r>
        <w:rPr>
          <w:rFonts w:ascii="Times New Roman" w:hAnsi="Times New Roman" w:eastAsia="宋体"/>
          <w:sz w:val="24"/>
          <w:szCs w:val="24"/>
        </w:rPr>
        <w:t>第四类约束关乎方向性。对于非对称关系——捕食或寄生、偏利共生、偏害共生这三类——taxa_a 字段必须固定指向主动方、获益方或伤害施加方,taxa_b 字段必须固定指向被动方、受害方或宿主。这一约束直接对应到图谱中有向边的箭头指向,避免下游使用者在解读图谱时出现方向混淆。</w:t>
      </w:r>
    </w:p>
    <w:p w14:paraId="635930FA">
      <w:pPr>
        <w:spacing w:line="360" w:lineRule="auto"/>
        <w:ind w:firstLine="480"/>
        <w:jc w:val="both"/>
      </w:pPr>
      <w:r>
        <w:rPr>
          <w:rFonts w:ascii="Times New Roman" w:hAnsi="Times New Roman" w:eastAsia="宋体"/>
          <w:sz w:val="24"/>
          <w:szCs w:val="24"/>
        </w:rPr>
        <w:t>第五类约束关乎环境与方法的同步抽取。模型在抽取互作事件的同时,必须提取该事件发生时的物理化学环境参数,以及得出该结论所使用的具体实验或分析方法。原文未明确提及的字段统一输出“未提及”,不允许模型基于常识进行填充。这一点保护了数据集的诚实性——一条事件如果在原文里没有给出温度,那么在数据集中也应当如实记录为“未提及”,而不是被模型补成“室温”或“25°C”这样的常识默认值。</w:t>
      </w:r>
    </w:p>
    <w:p w14:paraId="29B32878">
      <w:pPr>
        <w:pStyle w:val="3"/>
        <w:spacing w:before="320" w:after="160"/>
      </w:pPr>
      <w:r>
        <w:rPr>
          <w:rFonts w:ascii="Times New Roman" w:hAnsi="Times New Roman" w:eastAsia="黑体"/>
          <w:b/>
          <w:bCs/>
          <w:sz w:val="28"/>
          <w:szCs w:val="28"/>
        </w:rPr>
        <w:t>3.7 全局去重</w:t>
      </w:r>
    </w:p>
    <w:p w14:paraId="458DD43D">
      <w:pPr>
        <w:spacing w:line="360" w:lineRule="auto"/>
        <w:ind w:firstLine="480"/>
        <w:jc w:val="both"/>
      </w:pPr>
      <w:r>
        <w:rPr>
          <w:rFonts w:ascii="Times New Roman" w:hAnsi="Times New Roman" w:eastAsia="宋体"/>
          <w:sz w:val="24"/>
          <w:szCs w:val="24"/>
        </w:rPr>
        <w:t>单篇文献往往会在摘要、结果和讨论三个章节反复提及同一互作事件——摘要里给个一句话结论,结果里给具体数据,讨论里再做扩展解释。如果不做去重,一篇文献会在数据集中产出大量内容雷同的事件记录,严重影响数据质量。</w:t>
      </w:r>
    </w:p>
    <w:p w14:paraId="5CFD86ED">
      <w:pPr>
        <w:spacing w:line="360" w:lineRule="auto"/>
        <w:ind w:firstLine="480"/>
        <w:jc w:val="both"/>
      </w:pPr>
      <w:r>
        <w:rPr>
          <w:rFonts w:ascii="Times New Roman" w:hAnsi="Times New Roman" w:eastAsia="宋体"/>
          <w:sz w:val="24"/>
          <w:szCs w:val="24"/>
        </w:rPr>
        <w:t>我们采用了基于多重集的过滤机制完成单篇文献内的去重。对每一条候选事件,先把 taxa_a 与 taxa_b 的名称字符串化并按字母升序排序,再与关系类型拼接得到唯一键,具体格式为 f“{taxa[0]}-{taxa[1]}-{rel_type}”。同一唯一键的所有候选只保留一条,但每条事件的 evidence_text(原文证据片段)会全部保留下来——这样一条事件就能同时拥有来自摘要、结果、讨论的多处证据片段,既支持精细的人工核验,也为未来可能的“证据强度”建模留下了原始素材。</w:t>
      </w:r>
    </w:p>
    <w:p w14:paraId="6F838928">
      <w:pPr>
        <w:spacing w:line="360" w:lineRule="auto"/>
        <w:ind w:firstLine="480"/>
        <w:jc w:val="both"/>
      </w:pPr>
      <w:r>
        <w:rPr>
          <w:rFonts w:ascii="Times New Roman" w:hAnsi="Times New Roman" w:eastAsia="宋体"/>
          <w:sz w:val="24"/>
          <w:szCs w:val="24"/>
        </w:rPr>
        <w:t>在去重循环中,我们还嵌入了多层 isinstance 类型检查,自动隔离大模型偶发产生的非合规格式碎片——比如 taxa_a 字段意外返回字符串而非字典,relation 字段意外携带额外的标点符号,等等。这些非合规片段会被记录到独立的错误日志中,不会污染主数据流。</w:t>
      </w:r>
    </w:p>
    <w:p w14:paraId="7BC59416">
      <w:pPr>
        <w:pStyle w:val="3"/>
        <w:spacing w:before="320" w:after="160"/>
      </w:pPr>
      <w:r>
        <w:rPr>
          <w:rFonts w:ascii="Times New Roman" w:hAnsi="Times New Roman" w:eastAsia="黑体"/>
          <w:b/>
          <w:bCs/>
          <w:sz w:val="28"/>
          <w:szCs w:val="28"/>
        </w:rPr>
        <w:t>3.8 双轨入库</w:t>
      </w:r>
    </w:p>
    <w:p w14:paraId="4033917B">
      <w:pPr>
        <w:spacing w:line="360" w:lineRule="auto"/>
        <w:ind w:firstLine="480"/>
        <w:jc w:val="both"/>
      </w:pPr>
      <w:r>
        <w:rPr>
          <w:rFonts w:ascii="Times New Roman" w:hAnsi="Times New Roman" w:eastAsia="宋体"/>
          <w:sz w:val="24"/>
          <w:szCs w:val="24"/>
        </w:rPr>
        <w:t>最终入库分两条轨道并行执行:本地 JSONL 备份与 Neo4j 图谱写入。本地 JSONL 按文献为单位组织,每篇文献产出一个独立的 JSONL 文件,文件名直接采用 DOI 的去后缀形式。这种“一文献一文件”的组织方式在工程上有两个直接好处。一是便于断点续传——系统在处理每篇新文献前会优先扫描 JSON 输出目录,若发现同名 JSONL 已存在则直接跳过,这让流水线在遭遇网络中断、API 限流或服务器重启时可以无缝恢复,不会浪费已经消耗过的 token。二是便于离线分析与版本对比——研究者可以单独取出某一篇文献的 JSONL 做精细核验,而不需要把整个图谱拉起来。</w:t>
      </w:r>
    </w:p>
    <w:p w14:paraId="032C5E6C">
      <w:pPr>
        <w:spacing w:line="360" w:lineRule="auto"/>
        <w:ind w:firstLine="480"/>
        <w:jc w:val="both"/>
      </w:pPr>
      <w:r>
        <w:rPr>
          <w:rFonts w:ascii="Times New Roman" w:hAnsi="Times New Roman" w:eastAsia="宋体"/>
          <w:sz w:val="24"/>
          <w:szCs w:val="24"/>
        </w:rPr>
        <w:t>Neo4j 写入采用 Cypher MERGE 语义。我们对每一类节点和关系都设计了对应的 MERGE 子句:Taxa 节点上以 name 为唯一性约束做合并,InteractionEvent 节点上以 event_id 为唯一性约束做合并,Source 节点上以 doi 为唯一性约束做合并,Environment 节点以其完整描述串为合并键。这样,无论是同一篇文献内的重复抽取,还是跨文献的相同事件汇聚,都能在写入阶段被自然处理,不需要额外的去重轮次。</w:t>
      </w:r>
    </w:p>
    <w:p w14:paraId="55FC2A34">
      <w:pPr>
        <w:spacing w:line="360" w:lineRule="auto"/>
        <w:ind w:firstLine="480"/>
        <w:jc w:val="both"/>
      </w:pPr>
      <w:r>
        <w:rPr>
          <w:rFonts w:ascii="Times New Roman" w:hAnsi="Times New Roman" w:eastAsia="宋体"/>
          <w:sz w:val="24"/>
          <w:szCs w:val="24"/>
        </w:rPr>
        <w:t>我们在 InteractionEvent 节点、Source 节点和 SUPPORTED_BY 边三处都写入 DOI 属性,这是为了在图查询的多种入口下都能直接定位到文献来源。一条 Cypher 查询如果要找“某文献支持的所有事件”,可以直接通过 SUPPORTED_BY 边上的 DOI 做过滤,无须先访问 Source 节点;反之,如果要从某事件反查文献,也可以直接读取 InteractionEvent 节点的 DOI 属性。这种“节点和边双层 DOI 写入”是数据冗余的代价换查询便利的设计,在 v0.1 实测下来,对于复杂的多跳查询的性能改善是显著的。</w:t>
      </w:r>
    </w:p>
    <w:p w14:paraId="3E5023C2">
      <w:r>
        <w:br w:type="page"/>
      </w:r>
    </w:p>
    <w:p w14:paraId="17BC7AE5">
      <w:pPr>
        <w:pStyle w:val="2"/>
        <w:spacing w:before="480" w:after="240"/>
      </w:pPr>
      <w:r>
        <w:rPr>
          <w:rFonts w:ascii="Times New Roman" w:hAnsi="Times New Roman" w:eastAsia="黑体"/>
          <w:b/>
          <w:bCs/>
          <w:sz w:val="32"/>
          <w:szCs w:val="32"/>
        </w:rPr>
        <w:t>第四章 MinerU 工具链使用说明</w:t>
      </w:r>
    </w:p>
    <w:p w14:paraId="2A425439">
      <w:pPr>
        <w:spacing w:line="360" w:lineRule="auto"/>
        <w:ind w:firstLine="480"/>
        <w:jc w:val="both"/>
      </w:pPr>
      <w:r>
        <w:rPr>
          <w:rFonts w:ascii="Times New Roman" w:hAnsi="Times New Roman" w:eastAsia="宋体"/>
          <w:sz w:val="24"/>
          <w:szCs w:val="24"/>
        </w:rPr>
        <w:t>本章专门用以说明 MinerU 工具链在本数据集构建过程中的具体使用方式与能力边界,以呼应赛题对参赛作品“必须至少使用一项 MinerU 工具链”的硬性要求。</w:t>
      </w:r>
    </w:p>
    <w:p w14:paraId="1649554B">
      <w:pPr>
        <w:pStyle w:val="3"/>
        <w:spacing w:before="320" w:after="160"/>
      </w:pPr>
      <w:r>
        <w:rPr>
          <w:rFonts w:ascii="Times New Roman" w:hAnsi="Times New Roman" w:eastAsia="黑体"/>
          <w:b/>
          <w:bCs/>
          <w:sz w:val="28"/>
          <w:szCs w:val="28"/>
        </w:rPr>
        <w:t>4.1 使用的工具与部署方式</w:t>
      </w:r>
    </w:p>
    <w:p w14:paraId="4EEE4D5B">
      <w:pPr>
        <w:spacing w:line="360" w:lineRule="auto"/>
        <w:ind w:firstLine="480"/>
        <w:jc w:val="both"/>
      </w:pPr>
      <w:r>
        <w:rPr>
          <w:rFonts w:ascii="Times New Roman" w:hAnsi="Times New Roman" w:eastAsia="宋体"/>
          <w:sz w:val="24"/>
          <w:szCs w:val="24"/>
        </w:rPr>
        <w:t>本流水线使用的是 MinerU 开源项目(https://github.com/opendatalab/mineru),以本地 Docker 容器部署。我们选择本地部署而非调用 MinerU API,有两点考虑:其一,两万余篇的长期处理规模,使用本地部署在长期单位成本上更低;其二,本地部署便于我们对中间产物——切出的图像、解析的表格、识别的公式——进行后续的批量处理与归档。流水线对 MinerU 的调用集中在版面解析环节,所使用的功能包括版面分析、文本流抽取、表格解析、公式识别与图像区域切出。</w:t>
      </w:r>
    </w:p>
    <w:p w14:paraId="697E85C2">
      <w:pPr>
        <w:pStyle w:val="3"/>
        <w:spacing w:before="320" w:after="160"/>
      </w:pPr>
      <w:r>
        <w:rPr>
          <w:rFonts w:ascii="Times New Roman" w:hAnsi="Times New Roman" w:eastAsia="黑体"/>
          <w:b/>
          <w:bCs/>
          <w:sz w:val="28"/>
          <w:szCs w:val="28"/>
        </w:rPr>
        <w:t>4.2 输出物的具体形态</w:t>
      </w:r>
    </w:p>
    <w:p w14:paraId="45CBFCD1">
      <w:pPr>
        <w:spacing w:line="360" w:lineRule="auto"/>
        <w:ind w:firstLine="480"/>
        <w:jc w:val="both"/>
      </w:pPr>
      <w:r>
        <w:rPr>
          <w:rFonts w:ascii="Times New Roman" w:hAnsi="Times New Roman" w:eastAsia="宋体"/>
          <w:sz w:val="24"/>
          <w:szCs w:val="24"/>
        </w:rPr>
        <w:t>对每一篇输入 PDF,MinerU 产出四类资产,共同构成下游处理的输入基础。第一类是结构化 Markdown 文件,文件名以文献的 DOI 或唯一标识命名,保留原文一至四级章节标题,文本流按阅读顺序排列,无须额外的版面理解步骤。第二类是与 Markdown 同目录的图像文件夹,内含按图编号命名的 PNG 文件,图像区域的识别由 MinerU 内部的版面分析模块完成,准确率在我们试用的二十篇文献上达到可接受水平。第三类是嵌入 Markdown 原位置的图注与表格,图注紧随图像引用之后出现,表格则以 Markdown 表格语法直接嵌入,行列结构得以保留。第四类是同位嵌入的 LaTeX 公式表达,虽然在 v0.1 阶段我们尚未对公式做深度的下游使用,但这些公式作为未来“公式-自然语言解释”对齐的素材已被归档保留。</w:t>
      </w:r>
    </w:p>
    <w:p w14:paraId="4B060D38">
      <w:pPr>
        <w:pStyle w:val="3"/>
        <w:spacing w:before="320" w:after="160"/>
      </w:pPr>
      <w:r>
        <w:rPr>
          <w:rFonts w:ascii="Times New Roman" w:hAnsi="Times New Roman" w:eastAsia="黑体"/>
          <w:b/>
          <w:bCs/>
          <w:sz w:val="28"/>
          <w:szCs w:val="28"/>
        </w:rPr>
        <w:t>4.3 MinerU 能力边界的诚实交代</w:t>
      </w:r>
    </w:p>
    <w:p w14:paraId="41F1F73B">
      <w:pPr>
        <w:spacing w:line="360" w:lineRule="auto"/>
        <w:ind w:firstLine="480"/>
        <w:jc w:val="both"/>
      </w:pPr>
      <w:r>
        <w:rPr>
          <w:rFonts w:ascii="Times New Roman" w:hAnsi="Times New Roman" w:eastAsia="宋体"/>
          <w:sz w:val="24"/>
          <w:szCs w:val="24"/>
        </w:rPr>
        <w:t>在前期试用中,我们对 MinerU 能否直接提供图像内部内容的语义理解进行了实测。结果是清晰的:MinerU 工具链的职责严格终止于“将图像作为整块素材从 PDF 中识别并切出,并保留其在文档结构中的位置”,它不解析图像内部呈现的科学语义。具体而言,MinerU 不会告诉你一张柱状图的各柱分别对应哪些物种、纵轴的具体数值是多少、误差棒覆盖的范围有多大;也不会告诉你一张显微照片中可见的细胞形态特征。这些内容是淡水微生物文献中关键定量证据的主要载体,如果不进行进一步处理,后续事件抽取会丢失这部分证据。</w:t>
      </w:r>
    </w:p>
    <w:p w14:paraId="415BC478">
      <w:pPr>
        <w:spacing w:line="360" w:lineRule="auto"/>
        <w:ind w:firstLine="480"/>
        <w:jc w:val="both"/>
      </w:pPr>
      <w:r>
        <w:rPr>
          <w:rFonts w:ascii="Times New Roman" w:hAnsi="Times New Roman" w:eastAsia="宋体"/>
          <w:sz w:val="24"/>
          <w:szCs w:val="24"/>
        </w:rPr>
        <w:t>之所以在报告中诚实地交代这一点,是因为我们认为,清楚地讲明白每个工具的能力边界,比强行把工具包装成“全能”的做法更能让评审与下游使用者建立准确预期。MinerU 在它所定义的版面解析任务上做得非常好——尤其是对学术 PDF 多栏布局、跨页表格、复杂公式的处理精度,远超我们试用过的其他开源 PDF 解析工具;但要求它同时承担图像内容理解的工作,则超出了它的设计目标。本流水线在 MinerU 切图之后,显式接入了 Qwen3.5-VL 多模态模型完成图像的语义化描述,使图像从一份“不可被语言模型阅读的二进制资产”,转化为可与原文文本统一处理的中文描述。这种分工的合理性来自两个事实:MinerU 在版面级精度上的优势是端到端视觉模型短期难以替代的;通用多模态模型在被给定明确的“对单张图像生成生态学语义描述”任务时,表现稳定且成本可控。</w:t>
      </w:r>
    </w:p>
    <w:p w14:paraId="71E73A1A">
      <w:pPr>
        <w:pStyle w:val="3"/>
        <w:spacing w:before="320" w:after="160"/>
      </w:pPr>
      <w:r>
        <w:rPr>
          <w:rFonts w:ascii="Times New Roman" w:hAnsi="Times New Roman" w:eastAsia="黑体"/>
          <w:b/>
          <w:bCs/>
          <w:sz w:val="28"/>
          <w:szCs w:val="28"/>
        </w:rPr>
        <w:t>4.4 MinerU 在多模态对齐中的不可替代位置</w:t>
      </w:r>
    </w:p>
    <w:p w14:paraId="3D62627A">
      <w:pPr>
        <w:spacing w:line="360" w:lineRule="auto"/>
        <w:ind w:firstLine="480"/>
        <w:jc w:val="both"/>
      </w:pPr>
      <w:r>
        <w:rPr>
          <w:rFonts w:ascii="Times New Roman" w:hAnsi="Times New Roman" w:eastAsia="宋体"/>
          <w:sz w:val="24"/>
          <w:szCs w:val="24"/>
        </w:rPr>
        <w:t>MinerU 的输出在本数据集的多模态对齐体系中扮演位置锚点的角色。这一角色的不可替代性,可以从对齐字段的具体设计来反向理解。正文文本以 Markdown 形式提供后,事件抽取时所记录的 char_span 字段直接指向 Markdown 中的字符偏移,这种偏移之所以能够稳定存在,前提是 Markdown 文本本身是结构化的、按阅读顺序排列的——这一前提由 MinerU 直接提供。切出的图像保留了在 Markdown 中的位置信息,使图与正文段落的对应关系可被精确定位,而不是模糊到“这张图属于这篇文献”的文档级粗粒度。Markdown 格式的表格嵌入原位置,允许对齐到具体的表格行,而不是只能引用“某张表”;LaTeX 公式与上下文段落同位,可以在未来支持“公式与自然语言解释互为索引”的对齐用例。</w:t>
      </w:r>
    </w:p>
    <w:p w14:paraId="129D11AA">
      <w:pPr>
        <w:spacing w:line="360" w:lineRule="auto"/>
        <w:ind w:firstLine="480"/>
        <w:jc w:val="both"/>
      </w:pPr>
      <w:r>
        <w:rPr>
          <w:rFonts w:ascii="Times New Roman" w:hAnsi="Times New Roman" w:eastAsia="宋体"/>
          <w:sz w:val="24"/>
          <w:szCs w:val="24"/>
        </w:rPr>
        <w:t>设想一种反事实:如果不经过 MinerU 的版面解析,而直接对 PDF 做整体 OCR 或纯文本提取,上述这些细粒度对齐就会全部失效——文本不再保留章节结构、图像与段落的位置关系丢失、表格被还原为没有行列结构的纯文本流、公式被打散为字符序列。在这种情况下,多模态对齐只能退化为粗粒度的“文档级”关联,失去 Sci-Align 范式所要求的“科学对象多维一致表示”的核心价值。这是 MinerU 在本数据集中不可替代的根本原因。</w:t>
      </w:r>
    </w:p>
    <w:p w14:paraId="2D6C7982">
      <w:r>
        <w:br w:type="page"/>
      </w:r>
    </w:p>
    <w:p w14:paraId="455BAE46">
      <w:pPr>
        <w:pStyle w:val="2"/>
        <w:spacing w:before="480" w:after="240"/>
      </w:pPr>
      <w:r>
        <w:rPr>
          <w:rFonts w:ascii="Times New Roman" w:hAnsi="Times New Roman" w:eastAsia="黑体"/>
          <w:b/>
          <w:bCs/>
          <w:sz w:val="32"/>
          <w:szCs w:val="32"/>
        </w:rPr>
        <w:t>第五章 数据结构、字段定义与样例</w:t>
      </w:r>
    </w:p>
    <w:p w14:paraId="22F3BA7C">
      <w:pPr>
        <w:spacing w:line="360" w:lineRule="auto"/>
        <w:ind w:firstLine="480"/>
        <w:jc w:val="both"/>
      </w:pPr>
      <w:r>
        <w:rPr>
          <w:rFonts w:ascii="Times New Roman" w:hAnsi="Times New Roman" w:eastAsia="宋体"/>
          <w:sz w:val="24"/>
          <w:szCs w:val="24"/>
        </w:rPr>
        <w:t>本章按 AI-Ready 维度的要求,完整给出数据集的数据结构、字段语义与十条以上的真实样例。所有字段命名遵循统一规范,字段类型在每条事件中保持一致,可被主流大模型或智能体系统通过标准 JSON Schema 直接调用。</w:t>
      </w:r>
    </w:p>
    <w:p w14:paraId="7C1C1581">
      <w:pPr>
        <w:pStyle w:val="3"/>
        <w:spacing w:before="320" w:after="160"/>
      </w:pPr>
      <w:r>
        <w:rPr>
          <w:rFonts w:ascii="Times New Roman" w:hAnsi="Times New Roman" w:eastAsia="黑体"/>
          <w:b/>
          <w:bCs/>
          <w:sz w:val="28"/>
          <w:szCs w:val="28"/>
        </w:rPr>
        <w:t>5.1 数据集分发格式</w:t>
      </w:r>
    </w:p>
    <w:p w14:paraId="34C32E58">
      <w:pPr>
        <w:spacing w:line="360" w:lineRule="auto"/>
        <w:ind w:firstLine="480"/>
        <w:jc w:val="both"/>
      </w:pPr>
      <w:r>
        <w:rPr>
          <w:rFonts w:ascii="Times New Roman" w:hAnsi="Times New Roman" w:eastAsia="宋体"/>
          <w:sz w:val="24"/>
          <w:szCs w:val="24"/>
        </w:rPr>
        <w:t>数据集以 JSONL(JSON Lines)为主分发格式,每行一个完整的互作事件 JSON 对象。这种格式的优势是流式处理友好——下游使用者可以使用 Python 的 for line in open(...) 模式逐行读取,无需将整个文件加载到内存,这对未来扩展到万级、十万级事件的场景至关重要。同时,JSONL 与 HuggingFace Datasets、PyTorch DataLoader 等主流训练框架的对接是开箱即用的。</w:t>
      </w:r>
    </w:p>
    <w:p w14:paraId="6E214A51">
      <w:pPr>
        <w:spacing w:line="360" w:lineRule="auto"/>
        <w:ind w:firstLine="480"/>
        <w:jc w:val="both"/>
      </w:pPr>
      <w:r>
        <w:rPr>
          <w:rFonts w:ascii="Times New Roman" w:hAnsi="Times New Roman" w:eastAsia="宋体"/>
          <w:sz w:val="24"/>
          <w:szCs w:val="24"/>
        </w:rPr>
        <w:t>除了 JSONL 主格式,数据集还附带 Neo4j Cypher 重建脚本(neo4j_dump.cypher),允许使用者在本地拉起 Neo4j 容器后通过一条命令直接重建完整的事件中心型图谱实例。对于偏好关系型组织方式的使用者,我们额外提供了拆分后的 CSV 节点表与关系表,可直接导入 PostgreSQL、MySQL 等关系数据库。</w:t>
      </w:r>
    </w:p>
    <w:p w14:paraId="71967039">
      <w:pPr>
        <w:pStyle w:val="3"/>
        <w:spacing w:before="320" w:after="160"/>
      </w:pPr>
      <w:r>
        <w:rPr>
          <w:rFonts w:ascii="Times New Roman" w:hAnsi="Times New Roman" w:eastAsia="黑体"/>
          <w:b/>
          <w:bCs/>
          <w:sz w:val="28"/>
          <w:szCs w:val="28"/>
        </w:rPr>
        <w:t>5.2 字段规范</w:t>
      </w:r>
    </w:p>
    <w:p w14:paraId="12811E0F">
      <w:pPr>
        <w:spacing w:line="360" w:lineRule="auto"/>
        <w:ind w:firstLine="480"/>
        <w:jc w:val="both"/>
      </w:pPr>
      <w:r>
        <w:rPr>
          <w:rFonts w:ascii="Times New Roman" w:hAnsi="Times New Roman" w:eastAsia="宋体"/>
          <w:sz w:val="24"/>
          <w:szCs w:val="24"/>
        </w:rPr>
        <w:t>每条事件的顶层字段包括 event_id、doi、taxa_a、taxa_b、relation、environment、method、evidence_text、alignment、extraction_metadata 十个字段。其中 event_id 是按 2.3 节描述规则生成的语义唯一键;doi 是该事件所属的文献标识符;taxa_a 与 taxa_b 是嵌套字典,各自包含 name(规范化学名)、category(生物大类)与 rank(分类学阶元)三个子字段;relation 是六类闭集关系之一;environment 是包含 physical 与 chemical 两个子字段的嵌套字典;method 是字符串,描述得出该结论的具体实验或分析方法。evidence_text 是支撑该事件结论的原文片段;alignment 是用于跨模态对齐的复合字段,其完整 schema 在 5.4 节描述;extraction_metadata 记录抽取时所用的模型版本、时间戳与置信度,用于复现性追踪。</w:t>
      </w:r>
    </w:p>
    <w:p w14:paraId="51CF06FB">
      <w:pPr>
        <w:pStyle w:val="3"/>
        <w:spacing w:before="320" w:after="160"/>
      </w:pPr>
      <w:r>
        <w:rPr>
          <w:rFonts w:ascii="Times New Roman" w:hAnsi="Times New Roman" w:eastAsia="黑体"/>
          <w:b/>
          <w:bCs/>
          <w:sz w:val="28"/>
          <w:szCs w:val="28"/>
        </w:rPr>
        <w:t>5.3 真实数据样例</w:t>
      </w:r>
    </w:p>
    <w:p w14:paraId="3DEE9C9D">
      <w:pPr>
        <w:spacing w:line="360" w:lineRule="auto"/>
        <w:ind w:firstLine="480"/>
        <w:jc w:val="both"/>
        <w:rPr>
          <w:rFonts w:ascii="Times New Roman" w:hAnsi="Times New Roman" w:eastAsia="宋体"/>
          <w:sz w:val="24"/>
          <w:szCs w:val="24"/>
        </w:rPr>
      </w:pPr>
      <w:r>
        <w:rPr>
          <w:rFonts w:ascii="Times New Roman" w:hAnsi="Times New Roman" w:eastAsia="宋体"/>
          <w:sz w:val="24"/>
          <w:szCs w:val="24"/>
        </w:rPr>
        <w:t>下面给出本数据集中十条具有代表性的互作事件样例,涵盖了六类关系类型的全部分类,以及若干具有方向性的非对称关系。所有样例均为流水线实际产出后的真实记录,仅对 DOI 做了脱敏处理。</w:t>
      </w:r>
    </w:p>
    <w:p w14:paraId="685730B3">
      <w:pPr>
        <w:spacing w:before="120" w:after="60"/>
      </w:pPr>
      <w:r>
        <w:rPr>
          <w:rFonts w:ascii="Times New Roman" w:hAnsi="Times New Roman" w:eastAsia="黑体"/>
          <w:b/>
          <w:bCs/>
          <w:sz w:val="22"/>
          <w:szCs w:val="22"/>
        </w:rPr>
        <w:t>样例 1(捕食/寄生,有方向性):</w:t>
      </w:r>
    </w:p>
    <w:p w14:paraId="0F2B77B6">
      <w:pPr>
        <w:spacing w:line="280" w:lineRule="auto"/>
        <w:ind w:left="360"/>
      </w:pPr>
      <w:r>
        <w:rPr>
          <w:rFonts w:ascii="Consolas" w:hAnsi="Consolas" w:eastAsia="Consolas" w:cs="Consolas"/>
          <w:sz w:val="18"/>
          <w:szCs w:val="18"/>
        </w:rPr>
        <w:t>{"event_id": "Daphnia_magna__predation__Scenedesmus_obliquus",</w:t>
      </w:r>
    </w:p>
    <w:p w14:paraId="60520CD3">
      <w:pPr>
        <w:spacing w:line="280" w:lineRule="auto"/>
        <w:ind w:left="360"/>
      </w:pPr>
      <w:r>
        <w:rPr>
          <w:rFonts w:ascii="Consolas" w:hAnsi="Consolas" w:eastAsia="Consolas" w:cs="Consolas"/>
          <w:sz w:val="18"/>
          <w:szCs w:val="18"/>
        </w:rPr>
        <w:t xml:space="preserve"> "doi": "wos_doi_001",</w:t>
      </w:r>
    </w:p>
    <w:p w14:paraId="1496CC26">
      <w:pPr>
        <w:spacing w:line="280" w:lineRule="auto"/>
        <w:ind w:left="360"/>
      </w:pPr>
      <w:r>
        <w:rPr>
          <w:rFonts w:ascii="Consolas" w:hAnsi="Consolas" w:eastAsia="Consolas" w:cs="Consolas"/>
          <w:sz w:val="18"/>
          <w:szCs w:val="18"/>
        </w:rPr>
        <w:t xml:space="preserve"> "taxa_a": {"name": "Daphnia magna", "category": "浮游动物", "rank": "种"},</w:t>
      </w:r>
    </w:p>
    <w:p w14:paraId="2DB2B206">
      <w:pPr>
        <w:spacing w:line="280" w:lineRule="auto"/>
        <w:ind w:left="360"/>
      </w:pPr>
      <w:r>
        <w:rPr>
          <w:rFonts w:ascii="Consolas" w:hAnsi="Consolas" w:eastAsia="Consolas" w:cs="Consolas"/>
          <w:sz w:val="18"/>
          <w:szCs w:val="18"/>
        </w:rPr>
        <w:t xml:space="preserve"> "taxa_b": {"name": "Scenedesmus obliquus", "category": "藻类", "rank": "种"},</w:t>
      </w:r>
    </w:p>
    <w:p w14:paraId="6D0E1CE5">
      <w:pPr>
        <w:spacing w:line="280" w:lineRule="auto"/>
        <w:ind w:left="360"/>
      </w:pPr>
      <w:r>
        <w:rPr>
          <w:rFonts w:ascii="Consolas" w:hAnsi="Consolas" w:eastAsia="Consolas" w:cs="Consolas"/>
          <w:sz w:val="18"/>
          <w:szCs w:val="18"/>
        </w:rPr>
        <w:t xml:space="preserve"> "relation": "捕食/寄生",</w:t>
      </w:r>
    </w:p>
    <w:p w14:paraId="05BA2443">
      <w:pPr>
        <w:spacing w:line="280" w:lineRule="auto"/>
        <w:ind w:left="360"/>
      </w:pPr>
      <w:r>
        <w:rPr>
          <w:rFonts w:ascii="Consolas" w:hAnsi="Consolas" w:eastAsia="Consolas" w:cs="Consolas"/>
          <w:sz w:val="18"/>
          <w:szCs w:val="18"/>
        </w:rPr>
        <w:t xml:space="preserve"> "environment": {"physical": "水温 22°C, 光照 120 μmol m⁻² s⁻¹",</w:t>
      </w:r>
    </w:p>
    <w:p w14:paraId="64AE5D91">
      <w:pPr>
        <w:spacing w:line="280" w:lineRule="auto"/>
        <w:ind w:left="360"/>
      </w:pPr>
      <w:r>
        <w:rPr>
          <w:rFonts w:ascii="Consolas" w:hAnsi="Consolas" w:eastAsia="Consolas" w:cs="Consolas"/>
          <w:sz w:val="18"/>
          <w:szCs w:val="18"/>
        </w:rPr>
        <w:t xml:space="preserve">                 "chemical": "N:P = 16:1, DO 8.2 mg/L"},</w:t>
      </w:r>
    </w:p>
    <w:p w14:paraId="0ACD085B">
      <w:pPr>
        <w:spacing w:line="280" w:lineRule="auto"/>
        <w:ind w:left="360"/>
      </w:pPr>
      <w:r>
        <w:rPr>
          <w:rFonts w:ascii="Consolas" w:hAnsi="Consolas" w:eastAsia="Consolas" w:cs="Consolas"/>
          <w:sz w:val="18"/>
          <w:szCs w:val="18"/>
        </w:rPr>
        <w:t xml:space="preserve"> "method": "24h 摄食实验 + 叶绿素 a 荧光定量",</w:t>
      </w:r>
    </w:p>
    <w:p w14:paraId="186D1997">
      <w:pPr>
        <w:spacing w:line="280" w:lineRule="auto"/>
        <w:ind w:left="360"/>
      </w:pPr>
      <w:r>
        <w:rPr>
          <w:rFonts w:ascii="Consolas" w:hAnsi="Consolas" w:eastAsia="Consolas" w:cs="Consolas"/>
          <w:sz w:val="18"/>
          <w:szCs w:val="18"/>
        </w:rPr>
        <w:t xml:space="preserve"> "evidence_text": "Daphnia magna exhibited significant grazing pressure on Scenedesmus obliquus, with clearance rates of 1.2 ± 0.3 mL ind⁻¹ h⁻¹."}</w:t>
      </w:r>
    </w:p>
    <w:p w14:paraId="42E30412">
      <w:pPr>
        <w:spacing w:before="120" w:after="60"/>
      </w:pPr>
      <w:r>
        <w:rPr>
          <w:rFonts w:ascii="Times New Roman" w:hAnsi="Times New Roman" w:eastAsia="黑体"/>
          <w:b/>
          <w:bCs/>
          <w:sz w:val="22"/>
          <w:szCs w:val="22"/>
        </w:rPr>
        <w:t>样例 2(偏利共生,有方向性):</w:t>
      </w:r>
    </w:p>
    <w:p w14:paraId="799C6C07">
      <w:pPr>
        <w:spacing w:line="280" w:lineRule="auto"/>
        <w:ind w:left="360"/>
      </w:pPr>
      <w:r>
        <w:rPr>
          <w:rFonts w:ascii="Consolas" w:hAnsi="Consolas" w:eastAsia="Consolas" w:cs="Consolas"/>
          <w:sz w:val="18"/>
          <w:szCs w:val="18"/>
        </w:rPr>
        <w:t>{"event_id": "Microcystis_aeruginosa__commensalism__Pseudomonas_sp",</w:t>
      </w:r>
    </w:p>
    <w:p w14:paraId="5F675B7B">
      <w:pPr>
        <w:spacing w:line="280" w:lineRule="auto"/>
        <w:ind w:left="360"/>
      </w:pPr>
      <w:r>
        <w:rPr>
          <w:rFonts w:ascii="Consolas" w:hAnsi="Consolas" w:eastAsia="Consolas" w:cs="Consolas"/>
          <w:sz w:val="18"/>
          <w:szCs w:val="18"/>
        </w:rPr>
        <w:t xml:space="preserve"> "doi": "wos_doi_002",</w:t>
      </w:r>
    </w:p>
    <w:p w14:paraId="6253AC43">
      <w:pPr>
        <w:spacing w:line="280" w:lineRule="auto"/>
        <w:ind w:left="360"/>
      </w:pPr>
      <w:r>
        <w:rPr>
          <w:rFonts w:ascii="Consolas" w:hAnsi="Consolas" w:eastAsia="Consolas" w:cs="Consolas"/>
          <w:sz w:val="18"/>
          <w:szCs w:val="18"/>
        </w:rPr>
        <w:t xml:space="preserve"> "taxa_a": {"name": "Pseudomonas sp.", "category": "细菌", "rank": "属"},</w:t>
      </w:r>
    </w:p>
    <w:p w14:paraId="77CFE226">
      <w:pPr>
        <w:spacing w:line="280" w:lineRule="auto"/>
        <w:ind w:left="360"/>
      </w:pPr>
      <w:r>
        <w:rPr>
          <w:rFonts w:ascii="Consolas" w:hAnsi="Consolas" w:eastAsia="Consolas" w:cs="Consolas"/>
          <w:sz w:val="18"/>
          <w:szCs w:val="18"/>
        </w:rPr>
        <w:t xml:space="preserve"> "taxa_b": {"name": "Microcystis aeruginosa", "category": "藻类", "rank": "种"},</w:t>
      </w:r>
    </w:p>
    <w:p w14:paraId="2D77083D">
      <w:pPr>
        <w:spacing w:line="280" w:lineRule="auto"/>
        <w:ind w:left="360"/>
      </w:pPr>
      <w:r>
        <w:rPr>
          <w:rFonts w:ascii="Consolas" w:hAnsi="Consolas" w:eastAsia="Consolas" w:cs="Consolas"/>
          <w:sz w:val="18"/>
          <w:szCs w:val="18"/>
        </w:rPr>
        <w:t xml:space="preserve"> "relation": "偏利共生",</w:t>
      </w:r>
    </w:p>
    <w:p w14:paraId="356720CB">
      <w:pPr>
        <w:spacing w:line="280" w:lineRule="auto"/>
        <w:ind w:left="360"/>
      </w:pPr>
      <w:r>
        <w:rPr>
          <w:rFonts w:ascii="Consolas" w:hAnsi="Consolas" w:eastAsia="Consolas" w:cs="Consolas"/>
          <w:sz w:val="18"/>
          <w:szCs w:val="18"/>
        </w:rPr>
        <w:t xml:space="preserve"> "environment": {"physical": "水温 25°C, 富营养化湖泊水柱表层",</w:t>
      </w:r>
    </w:p>
    <w:p w14:paraId="031178C8">
      <w:pPr>
        <w:spacing w:line="280" w:lineRule="auto"/>
        <w:ind w:left="360"/>
      </w:pPr>
      <w:r>
        <w:rPr>
          <w:rFonts w:ascii="Consolas" w:hAnsi="Consolas" w:eastAsia="Consolas" w:cs="Consolas"/>
          <w:sz w:val="18"/>
          <w:szCs w:val="18"/>
        </w:rPr>
        <w:t xml:space="preserve">                 "chemical": "TN 2.4 mg/L, TP 0.18 mg/L, MC-LR 12 μg/L"},</w:t>
      </w:r>
    </w:p>
    <w:p w14:paraId="795A2B2B">
      <w:pPr>
        <w:spacing w:line="280" w:lineRule="auto"/>
        <w:ind w:left="360"/>
      </w:pPr>
      <w:r>
        <w:rPr>
          <w:rFonts w:ascii="Consolas" w:hAnsi="Consolas" w:eastAsia="Consolas" w:cs="Consolas"/>
          <w:sz w:val="18"/>
          <w:szCs w:val="18"/>
        </w:rPr>
        <w:t xml:space="preserve"> "method": "16S rRNA 测序 + 共培养实验"}</w:t>
      </w:r>
    </w:p>
    <w:p w14:paraId="47C598E4">
      <w:pPr>
        <w:spacing w:before="120" w:after="60"/>
      </w:pPr>
      <w:r>
        <w:rPr>
          <w:rFonts w:ascii="Times New Roman" w:hAnsi="Times New Roman" w:eastAsia="黑体"/>
          <w:b/>
          <w:bCs/>
          <w:sz w:val="22"/>
          <w:szCs w:val="22"/>
        </w:rPr>
        <w:t>样例 3(竞争,对称关系):</w:t>
      </w:r>
    </w:p>
    <w:p w14:paraId="1359D130">
      <w:pPr>
        <w:spacing w:line="280" w:lineRule="auto"/>
        <w:ind w:left="360"/>
      </w:pPr>
      <w:r>
        <w:rPr>
          <w:rFonts w:ascii="Consolas" w:hAnsi="Consolas" w:eastAsia="Consolas" w:cs="Consolas"/>
          <w:sz w:val="18"/>
          <w:szCs w:val="18"/>
        </w:rPr>
        <w:t>{"event_id": "Aphanizomenon_flos-aquae__competition__Microcystis_aeruginosa",</w:t>
      </w:r>
    </w:p>
    <w:p w14:paraId="6F98A7AC">
      <w:pPr>
        <w:spacing w:line="280" w:lineRule="auto"/>
        <w:ind w:left="360"/>
      </w:pPr>
      <w:r>
        <w:rPr>
          <w:rFonts w:ascii="Consolas" w:hAnsi="Consolas" w:eastAsia="Consolas" w:cs="Consolas"/>
          <w:sz w:val="18"/>
          <w:szCs w:val="18"/>
        </w:rPr>
        <w:t xml:space="preserve"> "doi": "wos_doi_003",</w:t>
      </w:r>
    </w:p>
    <w:p w14:paraId="12FC0151">
      <w:pPr>
        <w:spacing w:line="280" w:lineRule="auto"/>
        <w:ind w:left="360"/>
      </w:pPr>
      <w:r>
        <w:rPr>
          <w:rFonts w:ascii="Consolas" w:hAnsi="Consolas" w:eastAsia="Consolas" w:cs="Consolas"/>
          <w:sz w:val="18"/>
          <w:szCs w:val="18"/>
        </w:rPr>
        <w:t xml:space="preserve"> "taxa_a": {"name": "Aphanizomenon flos-aquae", "category": "藻类", "rank": "种"},</w:t>
      </w:r>
    </w:p>
    <w:p w14:paraId="3E1247F7">
      <w:pPr>
        <w:spacing w:line="280" w:lineRule="auto"/>
        <w:ind w:left="360"/>
      </w:pPr>
      <w:r>
        <w:rPr>
          <w:rFonts w:ascii="Consolas" w:hAnsi="Consolas" w:eastAsia="Consolas" w:cs="Consolas"/>
          <w:sz w:val="18"/>
          <w:szCs w:val="18"/>
        </w:rPr>
        <w:t xml:space="preserve"> "taxa_b": {"name": "Microcystis aeruginosa", "category": "藻类", "rank": "种"},</w:t>
      </w:r>
    </w:p>
    <w:p w14:paraId="5240F16D">
      <w:pPr>
        <w:spacing w:line="280" w:lineRule="auto"/>
        <w:ind w:left="360"/>
      </w:pPr>
      <w:r>
        <w:rPr>
          <w:rFonts w:ascii="Consolas" w:hAnsi="Consolas" w:eastAsia="Consolas" w:cs="Consolas"/>
          <w:sz w:val="18"/>
          <w:szCs w:val="18"/>
        </w:rPr>
        <w:t xml:space="preserve"> "relation": "竞争",</w:t>
      </w:r>
    </w:p>
    <w:p w14:paraId="4514F30C">
      <w:pPr>
        <w:spacing w:line="280" w:lineRule="auto"/>
        <w:ind w:left="360"/>
      </w:pPr>
      <w:r>
        <w:rPr>
          <w:rFonts w:ascii="Consolas" w:hAnsi="Consolas" w:eastAsia="Consolas" w:cs="Consolas"/>
          <w:sz w:val="18"/>
          <w:szCs w:val="18"/>
        </w:rPr>
        <w:t xml:space="preserve"> "environment": {"physical": "夏季湖泊表层 (0-2m), 水温 28°C",</w:t>
      </w:r>
    </w:p>
    <w:p w14:paraId="08022EBD">
      <w:pPr>
        <w:spacing w:line="280" w:lineRule="auto"/>
        <w:ind w:left="360"/>
      </w:pPr>
      <w:r>
        <w:rPr>
          <w:rFonts w:ascii="Consolas" w:hAnsi="Consolas" w:eastAsia="Consolas" w:cs="Consolas"/>
          <w:sz w:val="18"/>
          <w:szCs w:val="18"/>
        </w:rPr>
        <w:t xml:space="preserve">                 "chemical": "SRP &lt; 5 μg/L (限磷状态)"},</w:t>
      </w:r>
    </w:p>
    <w:p w14:paraId="56A2C1DC">
      <w:pPr>
        <w:spacing w:line="280" w:lineRule="auto"/>
        <w:ind w:left="360"/>
      </w:pPr>
      <w:r>
        <w:rPr>
          <w:rFonts w:ascii="Consolas" w:hAnsi="Consolas" w:eastAsia="Consolas" w:cs="Consolas"/>
          <w:sz w:val="18"/>
          <w:szCs w:val="18"/>
        </w:rPr>
        <w:t xml:space="preserve"> "method": "野外原位监测 + 单种纯培养竞争模型"}</w:t>
      </w:r>
    </w:p>
    <w:p w14:paraId="0A578D52">
      <w:pPr>
        <w:spacing w:before="120" w:after="60"/>
      </w:pPr>
      <w:r>
        <w:rPr>
          <w:rFonts w:ascii="Times New Roman" w:hAnsi="Times New Roman" w:eastAsia="黑体"/>
          <w:b/>
          <w:bCs/>
          <w:sz w:val="22"/>
          <w:szCs w:val="22"/>
        </w:rPr>
        <w:t>样例 4(偏害共生,有方向性):</w:t>
      </w:r>
    </w:p>
    <w:p w14:paraId="0B20B319">
      <w:pPr>
        <w:spacing w:line="280" w:lineRule="auto"/>
        <w:ind w:left="360"/>
      </w:pPr>
      <w:r>
        <w:rPr>
          <w:rFonts w:ascii="Consolas" w:hAnsi="Consolas" w:eastAsia="Consolas" w:cs="Consolas"/>
          <w:sz w:val="18"/>
          <w:szCs w:val="18"/>
        </w:rPr>
        <w:t>{"event_id": "Bacillus_sp__amensalism__Microcystis_aeruginosa",</w:t>
      </w:r>
    </w:p>
    <w:p w14:paraId="338CF314">
      <w:pPr>
        <w:spacing w:line="280" w:lineRule="auto"/>
        <w:ind w:left="360"/>
      </w:pPr>
      <w:r>
        <w:rPr>
          <w:rFonts w:ascii="Consolas" w:hAnsi="Consolas" w:eastAsia="Consolas" w:cs="Consolas"/>
          <w:sz w:val="18"/>
          <w:szCs w:val="18"/>
        </w:rPr>
        <w:t xml:space="preserve"> "doi": "wos_doi_004",</w:t>
      </w:r>
    </w:p>
    <w:p w14:paraId="637D3047">
      <w:pPr>
        <w:spacing w:line="280" w:lineRule="auto"/>
        <w:ind w:left="360"/>
      </w:pPr>
      <w:r>
        <w:rPr>
          <w:rFonts w:ascii="Consolas" w:hAnsi="Consolas" w:eastAsia="Consolas" w:cs="Consolas"/>
          <w:sz w:val="18"/>
          <w:szCs w:val="18"/>
        </w:rPr>
        <w:t xml:space="preserve"> "taxa_a": {"name": "Bacillus sp.", "category": "细菌", "rank": "属"},</w:t>
      </w:r>
    </w:p>
    <w:p w14:paraId="3C02BF97">
      <w:pPr>
        <w:spacing w:line="280" w:lineRule="auto"/>
        <w:ind w:left="360"/>
      </w:pPr>
      <w:r>
        <w:rPr>
          <w:rFonts w:ascii="Consolas" w:hAnsi="Consolas" w:eastAsia="Consolas" w:cs="Consolas"/>
          <w:sz w:val="18"/>
          <w:szCs w:val="18"/>
        </w:rPr>
        <w:t xml:space="preserve"> "taxa_b": {"name": "Microcystis aeruginosa", "category": "藻类", "rank": "种"},</w:t>
      </w:r>
    </w:p>
    <w:p w14:paraId="0986AFE1">
      <w:pPr>
        <w:spacing w:line="280" w:lineRule="auto"/>
        <w:ind w:left="360"/>
      </w:pPr>
      <w:r>
        <w:rPr>
          <w:rFonts w:ascii="Consolas" w:hAnsi="Consolas" w:eastAsia="Consolas" w:cs="Consolas"/>
          <w:sz w:val="18"/>
          <w:szCs w:val="18"/>
        </w:rPr>
        <w:t xml:space="preserve"> "relation": "偏害共生",</w:t>
      </w:r>
    </w:p>
    <w:p w14:paraId="6BFEC28D">
      <w:pPr>
        <w:spacing w:line="280" w:lineRule="auto"/>
        <w:ind w:left="360"/>
      </w:pPr>
      <w:r>
        <w:rPr>
          <w:rFonts w:ascii="Consolas" w:hAnsi="Consolas" w:eastAsia="Consolas" w:cs="Consolas"/>
          <w:sz w:val="18"/>
          <w:szCs w:val="18"/>
        </w:rPr>
        <w:t xml:space="preserve"> "environment": {"physical": "实验室纯培养, 水温 28°C",</w:t>
      </w:r>
    </w:p>
    <w:p w14:paraId="4C9F412B">
      <w:pPr>
        <w:spacing w:line="280" w:lineRule="auto"/>
        <w:ind w:left="360"/>
      </w:pPr>
      <w:r>
        <w:rPr>
          <w:rFonts w:ascii="Consolas" w:hAnsi="Consolas" w:eastAsia="Consolas" w:cs="Consolas"/>
          <w:sz w:val="18"/>
          <w:szCs w:val="18"/>
        </w:rPr>
        <w:t xml:space="preserve">                 "chemical": "BG-11 培养基"},</w:t>
      </w:r>
    </w:p>
    <w:p w14:paraId="411B9D14">
      <w:pPr>
        <w:spacing w:line="280" w:lineRule="auto"/>
        <w:ind w:left="360"/>
      </w:pPr>
      <w:r>
        <w:rPr>
          <w:rFonts w:ascii="Consolas" w:hAnsi="Consolas" w:eastAsia="Consolas" w:cs="Consolas"/>
          <w:sz w:val="18"/>
          <w:szCs w:val="18"/>
        </w:rPr>
        <w:t xml:space="preserve"> "method": "溶藻活性筛选 + 滤液抑制实验"}</w:t>
      </w:r>
    </w:p>
    <w:p w14:paraId="2E9B4653">
      <w:pPr>
        <w:spacing w:before="120" w:after="60"/>
      </w:pPr>
      <w:r>
        <w:rPr>
          <w:rFonts w:ascii="Times New Roman" w:hAnsi="Times New Roman" w:eastAsia="黑体"/>
          <w:b/>
          <w:bCs/>
          <w:sz w:val="22"/>
          <w:szCs w:val="22"/>
        </w:rPr>
        <w:t>样例 5(互利共生,对称关系):</w:t>
      </w:r>
    </w:p>
    <w:p w14:paraId="3692C63E">
      <w:pPr>
        <w:spacing w:line="280" w:lineRule="auto"/>
        <w:ind w:left="360"/>
      </w:pPr>
      <w:r>
        <w:rPr>
          <w:rFonts w:ascii="Consolas" w:hAnsi="Consolas" w:eastAsia="Consolas" w:cs="Consolas"/>
          <w:sz w:val="18"/>
          <w:szCs w:val="18"/>
        </w:rPr>
        <w:t>{"event_id": "Anabaena_sp__mutualism__Azotobacter_sp",</w:t>
      </w:r>
    </w:p>
    <w:p w14:paraId="7CA8599D">
      <w:pPr>
        <w:spacing w:line="280" w:lineRule="auto"/>
        <w:ind w:left="360"/>
      </w:pPr>
      <w:r>
        <w:rPr>
          <w:rFonts w:ascii="Consolas" w:hAnsi="Consolas" w:eastAsia="Consolas" w:cs="Consolas"/>
          <w:sz w:val="18"/>
          <w:szCs w:val="18"/>
        </w:rPr>
        <w:t xml:space="preserve"> "doi": "wos_doi_005",</w:t>
      </w:r>
    </w:p>
    <w:p w14:paraId="428C0644">
      <w:pPr>
        <w:spacing w:line="280" w:lineRule="auto"/>
        <w:ind w:left="360"/>
      </w:pPr>
      <w:r>
        <w:rPr>
          <w:rFonts w:ascii="Consolas" w:hAnsi="Consolas" w:eastAsia="Consolas" w:cs="Consolas"/>
          <w:sz w:val="18"/>
          <w:szCs w:val="18"/>
        </w:rPr>
        <w:t xml:space="preserve"> "taxa_a": {"name": "Anabaena sp.", "category": "藻类", "rank": "属"},</w:t>
      </w:r>
    </w:p>
    <w:p w14:paraId="73EDE45D">
      <w:pPr>
        <w:spacing w:line="280" w:lineRule="auto"/>
        <w:ind w:left="360"/>
      </w:pPr>
      <w:r>
        <w:rPr>
          <w:rFonts w:ascii="Consolas" w:hAnsi="Consolas" w:eastAsia="Consolas" w:cs="Consolas"/>
          <w:sz w:val="18"/>
          <w:szCs w:val="18"/>
        </w:rPr>
        <w:t xml:space="preserve"> "taxa_b": {"name": "Azotobacter sp.", "category": "细菌", "rank": "属"},</w:t>
      </w:r>
    </w:p>
    <w:p w14:paraId="33E5A02E">
      <w:pPr>
        <w:spacing w:line="280" w:lineRule="auto"/>
        <w:ind w:left="360"/>
      </w:pPr>
      <w:r>
        <w:rPr>
          <w:rFonts w:ascii="Consolas" w:hAnsi="Consolas" w:eastAsia="Consolas" w:cs="Consolas"/>
          <w:sz w:val="18"/>
          <w:szCs w:val="18"/>
        </w:rPr>
        <w:t xml:space="preserve"> "relation": "互利共生",</w:t>
      </w:r>
    </w:p>
    <w:p w14:paraId="03C3282D">
      <w:pPr>
        <w:spacing w:line="280" w:lineRule="auto"/>
        <w:ind w:left="360"/>
      </w:pPr>
      <w:r>
        <w:rPr>
          <w:rFonts w:ascii="Consolas" w:hAnsi="Consolas" w:eastAsia="Consolas" w:cs="Consolas"/>
          <w:sz w:val="18"/>
          <w:szCs w:val="18"/>
        </w:rPr>
        <w:t xml:space="preserve"> "environment": {"physical": "稻田水体, 水温 26°C",</w:t>
      </w:r>
    </w:p>
    <w:p w14:paraId="075546B8">
      <w:pPr>
        <w:spacing w:line="280" w:lineRule="auto"/>
        <w:ind w:left="360"/>
      </w:pPr>
      <w:r>
        <w:rPr>
          <w:rFonts w:ascii="Consolas" w:hAnsi="Consolas" w:eastAsia="Consolas" w:cs="Consolas"/>
          <w:sz w:val="18"/>
          <w:szCs w:val="18"/>
        </w:rPr>
        <w:t xml:space="preserve">                 "chemical": "低氮高磷, N:P ≈ 4:1"},</w:t>
      </w:r>
    </w:p>
    <w:p w14:paraId="492DCF29">
      <w:pPr>
        <w:spacing w:line="280" w:lineRule="auto"/>
        <w:ind w:left="360"/>
      </w:pPr>
      <w:r>
        <w:rPr>
          <w:rFonts w:ascii="Consolas" w:hAnsi="Consolas" w:eastAsia="Consolas" w:cs="Consolas"/>
          <w:sz w:val="18"/>
          <w:szCs w:val="18"/>
        </w:rPr>
        <w:t xml:space="preserve"> "method": "稳定同位素 ¹⁵N 示踪 + 共培养生长曲线"}</w:t>
      </w:r>
    </w:p>
    <w:p w14:paraId="04C5BCCF">
      <w:pPr>
        <w:spacing w:before="120" w:after="60"/>
      </w:pPr>
      <w:r>
        <w:rPr>
          <w:rFonts w:ascii="Times New Roman" w:hAnsi="Times New Roman" w:eastAsia="黑体"/>
          <w:b/>
          <w:bCs/>
          <w:sz w:val="22"/>
          <w:szCs w:val="22"/>
        </w:rPr>
        <w:t>样例 6(中性关系):</w:t>
      </w:r>
    </w:p>
    <w:p w14:paraId="773E7C6A">
      <w:pPr>
        <w:spacing w:line="280" w:lineRule="auto"/>
        <w:ind w:left="360"/>
      </w:pPr>
      <w:r>
        <w:rPr>
          <w:rFonts w:ascii="Consolas" w:hAnsi="Consolas" w:eastAsia="Consolas" w:cs="Consolas"/>
          <w:sz w:val="18"/>
          <w:szCs w:val="18"/>
        </w:rPr>
        <w:t>{"event_id": "Diaphanosoma_brachyurum__neutralism__Bosmina_longirostris",</w:t>
      </w:r>
    </w:p>
    <w:p w14:paraId="7B669473">
      <w:pPr>
        <w:spacing w:line="280" w:lineRule="auto"/>
        <w:ind w:left="360"/>
      </w:pPr>
      <w:r>
        <w:rPr>
          <w:rFonts w:ascii="Consolas" w:hAnsi="Consolas" w:eastAsia="Consolas" w:cs="Consolas"/>
          <w:sz w:val="18"/>
          <w:szCs w:val="18"/>
        </w:rPr>
        <w:t xml:space="preserve"> "doi": "wos_doi_006",</w:t>
      </w:r>
    </w:p>
    <w:p w14:paraId="3C96F8B3">
      <w:pPr>
        <w:spacing w:line="280" w:lineRule="auto"/>
        <w:ind w:left="360"/>
      </w:pPr>
      <w:r>
        <w:rPr>
          <w:rFonts w:ascii="Consolas" w:hAnsi="Consolas" w:eastAsia="Consolas" w:cs="Consolas"/>
          <w:sz w:val="18"/>
          <w:szCs w:val="18"/>
        </w:rPr>
        <w:t xml:space="preserve"> "taxa_a": {"name": "Diaphanosoma brachyurum", "category": "浮游动物", "rank": "种"},</w:t>
      </w:r>
    </w:p>
    <w:p w14:paraId="4AD5782A">
      <w:pPr>
        <w:spacing w:line="280" w:lineRule="auto"/>
        <w:ind w:left="360"/>
      </w:pPr>
      <w:r>
        <w:rPr>
          <w:rFonts w:ascii="Consolas" w:hAnsi="Consolas" w:eastAsia="Consolas" w:cs="Consolas"/>
          <w:sz w:val="18"/>
          <w:szCs w:val="18"/>
        </w:rPr>
        <w:t xml:space="preserve"> "taxa_b": {"name": "Bosmina longirostris", "category": "浮游动物", "rank": "种"},</w:t>
      </w:r>
    </w:p>
    <w:p w14:paraId="08796B12">
      <w:pPr>
        <w:spacing w:line="280" w:lineRule="auto"/>
        <w:ind w:left="360"/>
      </w:pPr>
      <w:r>
        <w:rPr>
          <w:rFonts w:ascii="Consolas" w:hAnsi="Consolas" w:eastAsia="Consolas" w:cs="Consolas"/>
          <w:sz w:val="18"/>
          <w:szCs w:val="18"/>
        </w:rPr>
        <w:t xml:space="preserve"> "relation": "中性关系",</w:t>
      </w:r>
    </w:p>
    <w:p w14:paraId="730888F2">
      <w:pPr>
        <w:spacing w:line="280" w:lineRule="auto"/>
        <w:ind w:left="360"/>
      </w:pPr>
      <w:r>
        <w:rPr>
          <w:rFonts w:ascii="Consolas" w:hAnsi="Consolas" w:eastAsia="Consolas" w:cs="Consolas"/>
          <w:sz w:val="18"/>
          <w:szCs w:val="18"/>
        </w:rPr>
        <w:t xml:space="preserve"> "environment": {"physical": "温带浅水湖, 水温 18-22°C",</w:t>
      </w:r>
    </w:p>
    <w:p w14:paraId="00217235">
      <w:pPr>
        <w:spacing w:line="280" w:lineRule="auto"/>
        <w:ind w:left="360"/>
      </w:pPr>
      <w:r>
        <w:rPr>
          <w:rFonts w:ascii="Consolas" w:hAnsi="Consolas" w:eastAsia="Consolas" w:cs="Consolas"/>
          <w:sz w:val="18"/>
          <w:szCs w:val="18"/>
        </w:rPr>
        <w:t xml:space="preserve">                 "chemical": "未提及"},</w:t>
      </w:r>
    </w:p>
    <w:p w14:paraId="279248D2">
      <w:pPr>
        <w:spacing w:line="280" w:lineRule="auto"/>
        <w:ind w:left="360"/>
      </w:pPr>
      <w:r>
        <w:rPr>
          <w:rFonts w:ascii="Consolas" w:hAnsi="Consolas" w:eastAsia="Consolas" w:cs="Consolas"/>
          <w:sz w:val="18"/>
          <w:szCs w:val="18"/>
        </w:rPr>
        <w:t xml:space="preserve"> "method": "野外种群密度长期监测"}</w:t>
      </w:r>
    </w:p>
    <w:p w14:paraId="7F71A964">
      <w:pPr>
        <w:spacing w:before="120" w:after="60"/>
      </w:pPr>
      <w:r>
        <w:rPr>
          <w:rFonts w:ascii="Times New Roman" w:hAnsi="Times New Roman" w:eastAsia="黑体"/>
          <w:b/>
          <w:bCs/>
          <w:sz w:val="22"/>
          <w:szCs w:val="22"/>
        </w:rPr>
        <w:t>样例 7(捕食/寄生,真菌侵染):</w:t>
      </w:r>
    </w:p>
    <w:p w14:paraId="5BA28B04">
      <w:pPr>
        <w:spacing w:line="280" w:lineRule="auto"/>
        <w:ind w:left="360"/>
      </w:pPr>
      <w:r>
        <w:rPr>
          <w:rFonts w:ascii="Consolas" w:hAnsi="Consolas" w:eastAsia="Consolas" w:cs="Consolas"/>
          <w:sz w:val="18"/>
          <w:szCs w:val="18"/>
        </w:rPr>
        <w:t>{"event_id": "Asterionella_formosa__predation__Zygorhizidium_planktonicum",</w:t>
      </w:r>
    </w:p>
    <w:p w14:paraId="2F01883B">
      <w:pPr>
        <w:spacing w:line="280" w:lineRule="auto"/>
        <w:ind w:left="360"/>
      </w:pPr>
      <w:r>
        <w:rPr>
          <w:rFonts w:ascii="Consolas" w:hAnsi="Consolas" w:eastAsia="Consolas" w:cs="Consolas"/>
          <w:sz w:val="18"/>
          <w:szCs w:val="18"/>
        </w:rPr>
        <w:t xml:space="preserve"> "doi": "wos_doi_007",</w:t>
      </w:r>
    </w:p>
    <w:p w14:paraId="6D446224">
      <w:pPr>
        <w:spacing w:line="280" w:lineRule="auto"/>
        <w:ind w:left="360"/>
      </w:pPr>
      <w:r>
        <w:rPr>
          <w:rFonts w:ascii="Consolas" w:hAnsi="Consolas" w:eastAsia="Consolas" w:cs="Consolas"/>
          <w:sz w:val="18"/>
          <w:szCs w:val="18"/>
        </w:rPr>
        <w:t xml:space="preserve"> "taxa_a": {"name": "Zygorhizidium planktonicum", "category": "真菌", "rank": "种"},</w:t>
      </w:r>
    </w:p>
    <w:p w14:paraId="0E34FCBC">
      <w:pPr>
        <w:spacing w:line="280" w:lineRule="auto"/>
        <w:ind w:left="360"/>
      </w:pPr>
      <w:r>
        <w:rPr>
          <w:rFonts w:ascii="Consolas" w:hAnsi="Consolas" w:eastAsia="Consolas" w:cs="Consolas"/>
          <w:sz w:val="18"/>
          <w:szCs w:val="18"/>
        </w:rPr>
        <w:t xml:space="preserve"> "taxa_b": {"name": "Asterionella formosa", "category": "藻类", "rank": "种"},</w:t>
      </w:r>
    </w:p>
    <w:p w14:paraId="358E7BD0">
      <w:pPr>
        <w:spacing w:line="280" w:lineRule="auto"/>
        <w:ind w:left="360"/>
      </w:pPr>
      <w:r>
        <w:rPr>
          <w:rFonts w:ascii="Consolas" w:hAnsi="Consolas" w:eastAsia="Consolas" w:cs="Consolas"/>
          <w:sz w:val="18"/>
          <w:szCs w:val="18"/>
        </w:rPr>
        <w:t xml:space="preserve"> "relation": "捕食/寄生",</w:t>
      </w:r>
    </w:p>
    <w:p w14:paraId="7B092274">
      <w:pPr>
        <w:spacing w:line="280" w:lineRule="auto"/>
        <w:ind w:left="360"/>
      </w:pPr>
      <w:r>
        <w:rPr>
          <w:rFonts w:ascii="Consolas" w:hAnsi="Consolas" w:eastAsia="Consolas" w:cs="Consolas"/>
          <w:sz w:val="18"/>
          <w:szCs w:val="18"/>
        </w:rPr>
        <w:t xml:space="preserve"> "environment": {"physical": "春季硅藻水华期, 水温 8-12°C",</w:t>
      </w:r>
    </w:p>
    <w:p w14:paraId="4A22D3B2">
      <w:pPr>
        <w:spacing w:line="280" w:lineRule="auto"/>
        <w:ind w:left="360"/>
      </w:pPr>
      <w:r>
        <w:rPr>
          <w:rFonts w:ascii="Consolas" w:hAnsi="Consolas" w:eastAsia="Consolas" w:cs="Consolas"/>
          <w:sz w:val="18"/>
          <w:szCs w:val="18"/>
        </w:rPr>
        <w:t xml:space="preserve">                 "chemical": "Si 充足, 未提及 N:P"},</w:t>
      </w:r>
    </w:p>
    <w:p w14:paraId="25F67561">
      <w:pPr>
        <w:spacing w:line="280" w:lineRule="auto"/>
        <w:ind w:left="360"/>
      </w:pPr>
      <w:r>
        <w:rPr>
          <w:rFonts w:ascii="Consolas" w:hAnsi="Consolas" w:eastAsia="Consolas" w:cs="Consolas"/>
          <w:sz w:val="18"/>
          <w:szCs w:val="18"/>
        </w:rPr>
        <w:t xml:space="preserve"> "method": "荧光原位杂交 (FISH) + 流式细胞术计数"}</w:t>
      </w:r>
    </w:p>
    <w:p w14:paraId="430394EF">
      <w:pPr>
        <w:spacing w:before="120" w:after="60"/>
      </w:pPr>
      <w:r>
        <w:rPr>
          <w:rFonts w:ascii="Times New Roman" w:hAnsi="Times New Roman" w:eastAsia="黑体"/>
          <w:b/>
          <w:bCs/>
          <w:sz w:val="22"/>
          <w:szCs w:val="22"/>
        </w:rPr>
        <w:t>样例 8(细菌偏利共生):</w:t>
      </w:r>
    </w:p>
    <w:p w14:paraId="3CE82E0F">
      <w:pPr>
        <w:spacing w:line="280" w:lineRule="auto"/>
        <w:ind w:left="360"/>
      </w:pPr>
      <w:r>
        <w:rPr>
          <w:rFonts w:ascii="Consolas" w:hAnsi="Consolas" w:eastAsia="Consolas" w:cs="Consolas"/>
          <w:sz w:val="18"/>
          <w:szCs w:val="18"/>
        </w:rPr>
        <w:t>{"event_id": "Anabaena_flos-aquae__commensalism__Sphingomonas_sp",</w:t>
      </w:r>
    </w:p>
    <w:p w14:paraId="5DEA2E64">
      <w:pPr>
        <w:spacing w:line="280" w:lineRule="auto"/>
        <w:ind w:left="360"/>
      </w:pPr>
      <w:r>
        <w:rPr>
          <w:rFonts w:ascii="Consolas" w:hAnsi="Consolas" w:eastAsia="Consolas" w:cs="Consolas"/>
          <w:sz w:val="18"/>
          <w:szCs w:val="18"/>
        </w:rPr>
        <w:t xml:space="preserve"> "doi": "wos_doi_008",</w:t>
      </w:r>
    </w:p>
    <w:p w14:paraId="2F5748C5">
      <w:pPr>
        <w:spacing w:line="280" w:lineRule="auto"/>
        <w:ind w:left="360"/>
      </w:pPr>
      <w:r>
        <w:rPr>
          <w:rFonts w:ascii="Consolas" w:hAnsi="Consolas" w:eastAsia="Consolas" w:cs="Consolas"/>
          <w:sz w:val="18"/>
          <w:szCs w:val="18"/>
        </w:rPr>
        <w:t xml:space="preserve"> "taxa_a": {"name": "Sphingomonas sp.", "category": "细菌", "rank": "属"},</w:t>
      </w:r>
    </w:p>
    <w:p w14:paraId="6887DDC4">
      <w:pPr>
        <w:spacing w:line="280" w:lineRule="auto"/>
        <w:ind w:left="360"/>
      </w:pPr>
      <w:r>
        <w:rPr>
          <w:rFonts w:ascii="Consolas" w:hAnsi="Consolas" w:eastAsia="Consolas" w:cs="Consolas"/>
          <w:sz w:val="18"/>
          <w:szCs w:val="18"/>
        </w:rPr>
        <w:t xml:space="preserve"> "taxa_b": {"name": "Anabaena flos-aquae", "category": "藻类", "rank": "种"},</w:t>
      </w:r>
    </w:p>
    <w:p w14:paraId="07D21A89">
      <w:pPr>
        <w:spacing w:line="280" w:lineRule="auto"/>
        <w:ind w:left="360"/>
      </w:pPr>
      <w:r>
        <w:rPr>
          <w:rFonts w:ascii="Consolas" w:hAnsi="Consolas" w:eastAsia="Consolas" w:cs="Consolas"/>
          <w:sz w:val="18"/>
          <w:szCs w:val="18"/>
        </w:rPr>
        <w:t xml:space="preserve"> "relation": "偏利共生",</w:t>
      </w:r>
    </w:p>
    <w:p w14:paraId="12D9AC81">
      <w:pPr>
        <w:spacing w:line="280" w:lineRule="auto"/>
        <w:ind w:left="360"/>
      </w:pPr>
      <w:r>
        <w:rPr>
          <w:rFonts w:ascii="Consolas" w:hAnsi="Consolas" w:eastAsia="Consolas" w:cs="Consolas"/>
          <w:sz w:val="18"/>
          <w:szCs w:val="18"/>
        </w:rPr>
        <w:t xml:space="preserve"> "environment": {"physical": "中富营养湖泊表层水",</w:t>
      </w:r>
    </w:p>
    <w:p w14:paraId="7032507B">
      <w:pPr>
        <w:spacing w:line="280" w:lineRule="auto"/>
        <w:ind w:left="360"/>
      </w:pPr>
      <w:r>
        <w:rPr>
          <w:rFonts w:ascii="Consolas" w:hAnsi="Consolas" w:eastAsia="Consolas" w:cs="Consolas"/>
          <w:sz w:val="18"/>
          <w:szCs w:val="18"/>
        </w:rPr>
        <w:t xml:space="preserve">                 "chemical": "TN 1.8 mg/L, TP 0.09 mg/L"},</w:t>
      </w:r>
    </w:p>
    <w:p w14:paraId="59AD34C1">
      <w:pPr>
        <w:spacing w:line="280" w:lineRule="auto"/>
        <w:ind w:left="360"/>
      </w:pPr>
      <w:r>
        <w:rPr>
          <w:rFonts w:ascii="Consolas" w:hAnsi="Consolas" w:eastAsia="Consolas" w:cs="Consolas"/>
          <w:sz w:val="18"/>
          <w:szCs w:val="18"/>
        </w:rPr>
        <w:t xml:space="preserve"> "method": "藻际细菌群落分离 + 共培养"}</w:t>
      </w:r>
    </w:p>
    <w:p w14:paraId="62366F86">
      <w:pPr>
        <w:spacing w:before="120" w:after="60"/>
      </w:pPr>
      <w:r>
        <w:rPr>
          <w:rFonts w:ascii="Times New Roman" w:hAnsi="Times New Roman" w:eastAsia="黑体"/>
          <w:b/>
          <w:bCs/>
          <w:sz w:val="22"/>
          <w:szCs w:val="22"/>
        </w:rPr>
        <w:t>样例 9(原生动物捕食):</w:t>
      </w:r>
    </w:p>
    <w:p w14:paraId="2CE57F14">
      <w:pPr>
        <w:spacing w:line="280" w:lineRule="auto"/>
        <w:ind w:left="360"/>
      </w:pPr>
      <w:r>
        <w:rPr>
          <w:rFonts w:ascii="Consolas" w:hAnsi="Consolas" w:eastAsia="Consolas" w:cs="Consolas"/>
          <w:sz w:val="18"/>
          <w:szCs w:val="18"/>
        </w:rPr>
        <w:t>{"event_id": "Halteria_grandinella__predation__Synechococcus_sp",</w:t>
      </w:r>
    </w:p>
    <w:p w14:paraId="5CC6F8F8">
      <w:pPr>
        <w:spacing w:line="280" w:lineRule="auto"/>
        <w:ind w:left="360"/>
      </w:pPr>
      <w:r>
        <w:rPr>
          <w:rFonts w:ascii="Consolas" w:hAnsi="Consolas" w:eastAsia="Consolas" w:cs="Consolas"/>
          <w:sz w:val="18"/>
          <w:szCs w:val="18"/>
        </w:rPr>
        <w:t xml:space="preserve"> "doi": "wos_doi_009",</w:t>
      </w:r>
    </w:p>
    <w:p w14:paraId="009C9A17">
      <w:pPr>
        <w:spacing w:line="280" w:lineRule="auto"/>
        <w:ind w:left="360"/>
      </w:pPr>
      <w:r>
        <w:rPr>
          <w:rFonts w:ascii="Consolas" w:hAnsi="Consolas" w:eastAsia="Consolas" w:cs="Consolas"/>
          <w:sz w:val="18"/>
          <w:szCs w:val="18"/>
        </w:rPr>
        <w:t xml:space="preserve"> "taxa_a": {"name": "Halteria grandinella", "category": "原生动物", "rank": "种"},</w:t>
      </w:r>
    </w:p>
    <w:p w14:paraId="6EFE60C4">
      <w:pPr>
        <w:spacing w:line="280" w:lineRule="auto"/>
        <w:ind w:left="360"/>
      </w:pPr>
      <w:r>
        <w:rPr>
          <w:rFonts w:ascii="Consolas" w:hAnsi="Consolas" w:eastAsia="Consolas" w:cs="Consolas"/>
          <w:sz w:val="18"/>
          <w:szCs w:val="18"/>
        </w:rPr>
        <w:t xml:space="preserve"> "taxa_b": {"name": "Synechococcus sp.", "category": "藻类", "rank": "属"},</w:t>
      </w:r>
    </w:p>
    <w:p w14:paraId="39A86974">
      <w:pPr>
        <w:spacing w:line="280" w:lineRule="auto"/>
        <w:ind w:left="360"/>
      </w:pPr>
      <w:r>
        <w:rPr>
          <w:rFonts w:ascii="Consolas" w:hAnsi="Consolas" w:eastAsia="Consolas" w:cs="Consolas"/>
          <w:sz w:val="18"/>
          <w:szCs w:val="18"/>
        </w:rPr>
        <w:t xml:space="preserve"> "relation": "捕食/寄生",</w:t>
      </w:r>
    </w:p>
    <w:p w14:paraId="51837EF2">
      <w:pPr>
        <w:spacing w:line="280" w:lineRule="auto"/>
        <w:ind w:left="360"/>
      </w:pPr>
      <w:r>
        <w:rPr>
          <w:rFonts w:ascii="Consolas" w:hAnsi="Consolas" w:eastAsia="Consolas" w:cs="Consolas"/>
          <w:sz w:val="18"/>
          <w:szCs w:val="18"/>
        </w:rPr>
        <w:t xml:space="preserve"> "environment": {"physical": "实验室微宇宙, 水温 20°C",</w:t>
      </w:r>
    </w:p>
    <w:p w14:paraId="5902898F">
      <w:pPr>
        <w:spacing w:line="280" w:lineRule="auto"/>
        <w:ind w:left="360"/>
      </w:pPr>
      <w:r>
        <w:rPr>
          <w:rFonts w:ascii="Consolas" w:hAnsi="Consolas" w:eastAsia="Consolas" w:cs="Consolas"/>
          <w:sz w:val="18"/>
          <w:szCs w:val="18"/>
        </w:rPr>
        <w:t xml:space="preserve">                 "chemical": "WC 培养基"},</w:t>
      </w:r>
    </w:p>
    <w:p w14:paraId="2A2E3151">
      <w:pPr>
        <w:spacing w:line="280" w:lineRule="auto"/>
        <w:ind w:left="360"/>
      </w:pPr>
      <w:r>
        <w:rPr>
          <w:rFonts w:ascii="Consolas" w:hAnsi="Consolas" w:eastAsia="Consolas" w:cs="Consolas"/>
          <w:sz w:val="18"/>
          <w:szCs w:val="18"/>
        </w:rPr>
        <w:t xml:space="preserve"> "method": "荧光示踪颗粒摄食实验"}</w:t>
      </w:r>
    </w:p>
    <w:p w14:paraId="330FC501">
      <w:pPr>
        <w:spacing w:before="120" w:after="60"/>
      </w:pPr>
      <w:r>
        <w:rPr>
          <w:rFonts w:ascii="Times New Roman" w:hAnsi="Times New Roman" w:eastAsia="黑体"/>
          <w:b/>
          <w:bCs/>
          <w:sz w:val="22"/>
          <w:szCs w:val="22"/>
        </w:rPr>
        <w:t>样例 10(病毒侵染):</w:t>
      </w:r>
    </w:p>
    <w:p w14:paraId="3BC02954">
      <w:pPr>
        <w:spacing w:line="280" w:lineRule="auto"/>
        <w:ind w:left="360"/>
      </w:pPr>
      <w:r>
        <w:rPr>
          <w:rFonts w:ascii="Consolas" w:hAnsi="Consolas" w:eastAsia="Consolas" w:cs="Consolas"/>
          <w:sz w:val="18"/>
          <w:szCs w:val="18"/>
        </w:rPr>
        <w:t>{"event_id": "Cyanophage_PaV-LD__predation__Planktothrix_agardhii",</w:t>
      </w:r>
    </w:p>
    <w:p w14:paraId="271DF10F">
      <w:pPr>
        <w:spacing w:line="280" w:lineRule="auto"/>
        <w:ind w:left="360"/>
      </w:pPr>
      <w:r>
        <w:rPr>
          <w:rFonts w:ascii="Consolas" w:hAnsi="Consolas" w:eastAsia="Consolas" w:cs="Consolas"/>
          <w:sz w:val="18"/>
          <w:szCs w:val="18"/>
        </w:rPr>
        <w:t xml:space="preserve"> "doi": "wos_doi_010",</w:t>
      </w:r>
    </w:p>
    <w:p w14:paraId="78540538">
      <w:pPr>
        <w:spacing w:line="280" w:lineRule="auto"/>
        <w:ind w:left="360"/>
      </w:pPr>
      <w:r>
        <w:rPr>
          <w:rFonts w:ascii="Consolas" w:hAnsi="Consolas" w:eastAsia="Consolas" w:cs="Consolas"/>
          <w:sz w:val="18"/>
          <w:szCs w:val="18"/>
        </w:rPr>
        <w:t xml:space="preserve"> "taxa_a": {"name": "Cyanophage PaV-LD", "category": "病毒", "rank": "种"},</w:t>
      </w:r>
    </w:p>
    <w:p w14:paraId="1647CEC2">
      <w:pPr>
        <w:spacing w:line="280" w:lineRule="auto"/>
        <w:ind w:left="360"/>
      </w:pPr>
      <w:r>
        <w:rPr>
          <w:rFonts w:ascii="Consolas" w:hAnsi="Consolas" w:eastAsia="Consolas" w:cs="Consolas"/>
          <w:sz w:val="18"/>
          <w:szCs w:val="18"/>
        </w:rPr>
        <w:t xml:space="preserve"> "taxa_b": {"name": "Planktothrix agardhii", "category": "藻类", "rank": "种"},</w:t>
      </w:r>
    </w:p>
    <w:p w14:paraId="61974674">
      <w:pPr>
        <w:spacing w:line="280" w:lineRule="auto"/>
        <w:ind w:left="360"/>
      </w:pPr>
      <w:r>
        <w:rPr>
          <w:rFonts w:ascii="Consolas" w:hAnsi="Consolas" w:eastAsia="Consolas" w:cs="Consolas"/>
          <w:sz w:val="18"/>
          <w:szCs w:val="18"/>
        </w:rPr>
        <w:t xml:space="preserve"> "relation": "捕食/寄生",</w:t>
      </w:r>
    </w:p>
    <w:p w14:paraId="605A52B4">
      <w:pPr>
        <w:spacing w:line="280" w:lineRule="auto"/>
        <w:ind w:left="360"/>
      </w:pPr>
      <w:r>
        <w:rPr>
          <w:rFonts w:ascii="Consolas" w:hAnsi="Consolas" w:eastAsia="Consolas" w:cs="Consolas"/>
          <w:sz w:val="18"/>
          <w:szCs w:val="18"/>
        </w:rPr>
        <w:t xml:space="preserve"> "environment": {"physical": "夏末浅水富营养湖泊",</w:t>
      </w:r>
    </w:p>
    <w:p w14:paraId="529E2191">
      <w:pPr>
        <w:spacing w:line="280" w:lineRule="auto"/>
        <w:ind w:left="360"/>
      </w:pPr>
      <w:r>
        <w:rPr>
          <w:rFonts w:ascii="Consolas" w:hAnsi="Consolas" w:eastAsia="Consolas" w:cs="Consolas"/>
          <w:sz w:val="18"/>
          <w:szCs w:val="18"/>
        </w:rPr>
        <w:t xml:space="preserve">                 "chemical": "高 DOC 浓度"},</w:t>
      </w:r>
    </w:p>
    <w:p w14:paraId="2CE771DF">
      <w:pPr>
        <w:spacing w:line="280" w:lineRule="auto"/>
        <w:ind w:left="360"/>
      </w:pPr>
      <w:r>
        <w:rPr>
          <w:rFonts w:ascii="Consolas" w:hAnsi="Consolas" w:eastAsia="Consolas" w:cs="Consolas"/>
          <w:sz w:val="18"/>
          <w:szCs w:val="18"/>
        </w:rPr>
        <w:t xml:space="preserve"> "method": "病毒丰度流式细胞术 + 宿主裂解实验"}</w:t>
      </w:r>
    </w:p>
    <w:p w14:paraId="10671E3B">
      <w:pPr>
        <w:pStyle w:val="3"/>
        <w:spacing w:before="320" w:after="160"/>
      </w:pPr>
      <w:r>
        <w:rPr>
          <w:rFonts w:ascii="Times New Roman" w:hAnsi="Times New Roman" w:eastAsia="黑体"/>
          <w:b/>
          <w:bCs/>
          <w:sz w:val="28"/>
          <w:szCs w:val="28"/>
        </w:rPr>
        <w:t>5.4 多模态对齐字段的当前进展</w:t>
      </w:r>
    </w:p>
    <w:p w14:paraId="2AFB1E32">
      <w:pPr>
        <w:spacing w:line="360" w:lineRule="auto"/>
        <w:ind w:firstLine="480"/>
        <w:jc w:val="both"/>
      </w:pPr>
      <w:r>
        <w:rPr>
          <w:rFonts w:ascii="Times New Roman" w:hAnsi="Times New Roman" w:eastAsia="宋体"/>
          <w:sz w:val="24"/>
          <w:szCs w:val="24"/>
        </w:rPr>
        <w:t>数据集在 schema 层面定义了一个名为 alignment 的复合字段,专门用于记录每条事件在原文中的跨模态来源。该字段下设四个子字段,分别对应文本对齐(text_source,含章节归属与 Markdown 字符偏移区间)、图像对齐(figure_alignment,含图编号、图像路径、原始图注与 VLM 描述)、表格对齐(table_alignment,含表编号、Markdown 格式的表格内容与具体引用的行索引)、公式对齐(formula_alignment,含 LaTeX 表达与自然语言解释)。四个子字段在 schema 上互相独立,但在语义上都指向同一个 event_id,这种“多模态指向同一对象”的结构,正是 Sci-Align 范式所强调的科学对象多维一致表示。</w:t>
      </w:r>
    </w:p>
    <w:p w14:paraId="0F404DCD">
      <w:pPr>
        <w:spacing w:line="360" w:lineRule="auto"/>
        <w:ind w:firstLine="480"/>
        <w:jc w:val="both"/>
      </w:pPr>
      <w:r>
        <w:rPr>
          <w:rFonts w:ascii="Times New Roman" w:hAnsi="Times New Roman" w:eastAsia="宋体"/>
          <w:sz w:val="24"/>
          <w:szCs w:val="24"/>
        </w:rPr>
        <w:t>需要诚实交代的是,v0.1 阶段在工程实现上优先完成了 TRAES 五元组、DOI 与文献章节归属的沉淀;跨模态字符级指针(char_span)与图像、表格、公式的具体关联信息,虽然上游所需的全部素材——MinerU 输出的 Markdown 位置信息、Qwen3.5-VL 生成的图像描述、MinerU 解析的表格 Markdown 与公式 LaTeX——都已在本期生成并归档,但回填至事件节点上的工作尚未在 v0.1 中完成。这部分回填工作是后续版本的优先任务,由于上游素材已经齐全,只需要写一个对应的后处理脚本即可完成,无须重新调用任何外部 API。</w:t>
      </w:r>
    </w:p>
    <w:p w14:paraId="33ED024D">
      <w:r>
        <w:br w:type="page"/>
      </w:r>
    </w:p>
    <w:p w14:paraId="568E06CE">
      <w:pPr>
        <w:pStyle w:val="2"/>
        <w:spacing w:before="480" w:after="240"/>
      </w:pPr>
      <w:r>
        <w:rPr>
          <w:rFonts w:ascii="Times New Roman" w:hAnsi="Times New Roman" w:eastAsia="黑体"/>
          <w:b/>
          <w:bCs/>
          <w:sz w:val="32"/>
          <w:szCs w:val="32"/>
        </w:rPr>
        <w:t>第六章 数据集统计与已知偏倚</w:t>
      </w:r>
    </w:p>
    <w:p w14:paraId="7400A725">
      <w:pPr>
        <w:spacing w:line="360" w:lineRule="auto"/>
        <w:ind w:firstLine="480"/>
        <w:jc w:val="both"/>
      </w:pPr>
      <w:r>
        <w:rPr>
          <w:rFonts w:ascii="Times New Roman" w:hAnsi="Times New Roman" w:eastAsia="宋体"/>
          <w:sz w:val="24"/>
          <w:szCs w:val="24"/>
        </w:rPr>
        <w:t>本章给出 v0.1 版本数据集的整体规模、关系分布以及已识别的偏倚。所有数字均为流水线实际产出后的统计结果,未经任何形式的修饰或外推。</w:t>
      </w:r>
    </w:p>
    <w:p w14:paraId="39547D45">
      <w:pPr>
        <w:pStyle w:val="3"/>
        <w:spacing w:before="320" w:after="160"/>
      </w:pPr>
      <w:r>
        <w:rPr>
          <w:rFonts w:ascii="Times New Roman" w:hAnsi="Times New Roman" w:eastAsia="黑体"/>
          <w:b/>
          <w:bCs/>
          <w:sz w:val="28"/>
          <w:szCs w:val="28"/>
        </w:rPr>
        <w:t>6.1 整体规模</w:t>
      </w:r>
    </w:p>
    <w:p w14:paraId="5C077340">
      <w:pPr>
        <w:spacing w:line="360" w:lineRule="auto"/>
        <w:ind w:firstLine="480"/>
        <w:jc w:val="both"/>
      </w:pPr>
      <w:r>
        <w:rPr>
          <w:rFonts w:ascii="Times New Roman" w:hAnsi="Times New Roman" w:eastAsia="宋体"/>
          <w:sz w:val="24"/>
          <w:szCs w:val="24"/>
        </w:rPr>
        <w:t>v0.1 处理了二十篇英文 SCI 论文,经全局去重后共产出八百四十七条互作事件,涉及六百二十一个标准化物种节点和四百六十三个环境节点。在事件中心型拓扑下,每条事件经两条 PARTICIPATE_IN 边连接到两个物种节点,经一条 SUPPORTED_BY 边连接到来源节点,经一条 UNDER_ENVIRONMENT 边连接到对应环境节点,因此三类关系边的总数与事件数呈固定比例,具体为 PARTICIPATE_IN 边一千六百九十四条、SUPPORTED_BY 边八百四十七条、UNDER_ENVIRONMENT 边八百四十七条。来源节点数与文献数严格相等,均为二十个,这反映了“一篇文献对应一个 Source 节点”的设计约定。</w:t>
      </w:r>
    </w:p>
    <w:p w14:paraId="7964B5C7">
      <w:pPr>
        <w:spacing w:line="360" w:lineRule="auto"/>
        <w:ind w:firstLine="480"/>
        <w:jc w:val="both"/>
      </w:pPr>
      <w:r>
        <w:rPr>
          <w:rFonts w:ascii="Times New Roman" w:hAnsi="Times New Roman" w:eastAsia="宋体"/>
          <w:sz w:val="24"/>
          <w:szCs w:val="24"/>
        </w:rPr>
        <w:t>平均每篇文献产出约四十二条事件,这一密度在我们前期对若干微生物综述类与实验研究类文献的人工标注中,落在合理区间——综述类文献中通常会列举大量历史发现,事件密度偏高;而单一实验设计的研究论文,事件密度则相对较低,通常在十到二十条之间。本期二十篇文献的事件密度分布,反映了 v0.1 在样本选取上未严格区分综述与实验研究的事实,这一点在下一节做进一步讨论。</w:t>
      </w:r>
    </w:p>
    <w:p w14:paraId="6E259B69">
      <w:pPr>
        <w:pStyle w:val="3"/>
        <w:spacing w:before="320" w:after="160"/>
      </w:pPr>
      <w:r>
        <w:rPr>
          <w:rFonts w:ascii="Times New Roman" w:hAnsi="Times New Roman" w:eastAsia="黑体"/>
          <w:b/>
          <w:bCs/>
          <w:sz w:val="28"/>
          <w:szCs w:val="28"/>
        </w:rPr>
        <w:t>6.2 关系类型分布</w:t>
      </w:r>
    </w:p>
    <w:p w14:paraId="7B5AE325">
      <w:pPr>
        <w:spacing w:line="360" w:lineRule="auto"/>
        <w:ind w:firstLine="480"/>
        <w:jc w:val="both"/>
      </w:pPr>
      <w:r>
        <w:rPr>
          <w:rFonts w:ascii="Times New Roman" w:hAnsi="Times New Roman" w:eastAsia="宋体"/>
          <w:sz w:val="24"/>
          <w:szCs w:val="24"/>
        </w:rPr>
        <w:t>六类关系在数据集中的事件数分布如下:捕食或寄生 661 条(占 78.04%)、中性关系 66 条(占 7.79%)、偏利共生 50 条(占 5.90%)、偏害共生 33 条(占 3.90%)、竞争 32 条(占 3.78%)、互利共生 5 条(占 0.59%)。</w:t>
      </w:r>
    </w:p>
    <w:tbl>
      <w:tblPr>
        <w:tblStyle w:val="12"/>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21"/>
      </w:tblGrid>
      <w:tr w14:paraId="2EB52F91">
        <w:tc>
          <w:tcPr>
            <w:tcW w:w="9000" w:type="dxa"/>
            <w:tcBorders>
              <w:top w:val="dashed" w:color="B0B0B0" w:sz="4" w:space="0"/>
              <w:left w:val="dashed" w:color="B0B0B0" w:sz="4" w:space="0"/>
              <w:bottom w:val="dashed" w:color="B0B0B0" w:sz="4" w:space="0"/>
              <w:right w:val="dashed" w:color="B0B0B0" w:sz="4" w:space="0"/>
            </w:tcBorders>
            <w:tcMar>
              <w:top w:w="200" w:type="dxa"/>
              <w:left w:w="200" w:type="dxa"/>
              <w:bottom w:w="200" w:type="dxa"/>
              <w:right w:w="200" w:type="dxa"/>
            </w:tcMar>
          </w:tcPr>
          <w:p w14:paraId="7F990BD9">
            <w:pPr>
              <w:spacing w:line="320" w:lineRule="auto"/>
              <w:jc w:val="center"/>
            </w:pPr>
            <w:r>
              <w:drawing>
                <wp:inline distT="0" distB="0" distL="114300" distR="114300">
                  <wp:extent cx="5728335" cy="2697480"/>
                  <wp:effectExtent l="0" t="0" r="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8"/>
                          <a:srcRect b="15698"/>
                          <a:stretch>
                            <a:fillRect/>
                          </a:stretch>
                        </pic:blipFill>
                        <pic:spPr>
                          <a:xfrm>
                            <a:off x="0" y="0"/>
                            <a:ext cx="5728335" cy="2697480"/>
                          </a:xfrm>
                          <a:prstGeom prst="rect">
                            <a:avLst/>
                          </a:prstGeom>
                          <a:noFill/>
                          <a:ln>
                            <a:noFill/>
                          </a:ln>
                        </pic:spPr>
                      </pic:pic>
                    </a:graphicData>
                  </a:graphic>
                </wp:inline>
              </w:drawing>
            </w:r>
          </w:p>
          <w:p w14:paraId="30650849">
            <w:pPr>
              <w:pStyle w:val="8"/>
              <w:spacing w:line="320" w:lineRule="auto"/>
              <w:jc w:val="center"/>
              <w:rPr>
                <w:rFonts w:hint="eastAsia" w:eastAsia="宋体"/>
                <w:lang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关系类型分布</w:t>
            </w:r>
          </w:p>
        </w:tc>
      </w:tr>
    </w:tbl>
    <w:p w14:paraId="389F4C30">
      <w:pPr>
        <w:spacing w:line="360" w:lineRule="auto"/>
        <w:ind w:firstLine="480"/>
        <w:jc w:val="both"/>
      </w:pPr>
      <w:r>
        <w:rPr>
          <w:rFonts w:ascii="Times New Roman" w:hAnsi="Times New Roman" w:eastAsia="宋体"/>
          <w:sz w:val="24"/>
          <w:szCs w:val="24"/>
        </w:rPr>
        <w:t>这一分布显示捕食或寄生类别占据了显著优势,而互利共生、竞争两类的比例明显偏低。这一分布不应被解读为淡水生态系统中各类互作关系的真实占比——在真实生态学研究语料中,藻菌互利共生、菌根共生、蓝藻与异养细菌的偏利关系等都是热门研究主题,其文献产出量并不低于捕食研究。本期出现的强偏倚,我们认为是由 v0.1 试点阶段的几个具体因素共同造成的,在下一节做诚实讨论。</w:t>
      </w:r>
    </w:p>
    <w:p w14:paraId="018E4D61">
      <w:pPr>
        <w:pStyle w:val="3"/>
        <w:spacing w:before="320" w:after="160"/>
      </w:pPr>
      <w:r>
        <w:rPr>
          <w:rFonts w:ascii="Times New Roman" w:hAnsi="Times New Roman" w:eastAsia="黑体"/>
          <w:b/>
          <w:bCs/>
          <w:sz w:val="28"/>
          <w:szCs w:val="28"/>
        </w:rPr>
        <w:t>6.3 已识别的偏倚与对应纠正策略</w:t>
      </w:r>
    </w:p>
    <w:p w14:paraId="743CEDB5">
      <w:pPr>
        <w:spacing w:line="360" w:lineRule="auto"/>
        <w:ind w:firstLine="480"/>
        <w:jc w:val="both"/>
      </w:pPr>
      <w:r>
        <w:rPr>
          <w:rFonts w:ascii="Times New Roman" w:hAnsi="Times New Roman" w:eastAsia="宋体"/>
          <w:sz w:val="24"/>
          <w:szCs w:val="24"/>
        </w:rPr>
        <w:t>我们诚实地识别出两类偏倚,并各自有明确的后续纠正方案。</w:t>
      </w:r>
    </w:p>
    <w:p w14:paraId="722DA65D">
      <w:pPr>
        <w:spacing w:line="360" w:lineRule="auto"/>
        <w:ind w:firstLine="480"/>
        <w:jc w:val="both"/>
      </w:pPr>
      <w:r>
        <w:rPr>
          <w:rFonts w:ascii="Times New Roman" w:hAnsi="Times New Roman" w:eastAsia="宋体"/>
          <w:sz w:val="24"/>
          <w:szCs w:val="24"/>
        </w:rPr>
        <w:t>第一类是文献抽样偏倚。v0.1 的二十篇文献是从两万篇检索集中选取的开发集样本,选取过程主要服务于“让流水线在多样化的文献结构上得到充分压力测试”这一目的,而没有严格按互作类型做均衡抽样。直观上,我们倾向于优先选择那些事件密度较高、写作结构典型的文献,这种倾向不可避免地放大了某些常见关系类型的比例。后续在扩展到更大文献规模时,我们计划在 Web of Science 检索阶段就按互作类型设计平衡的子检索式——即针对捕食、共生、竞争、寄生等关键词,分别构造检索式取出固定数量的文献,以保证下游的关系分布更接近真实分布。</w:t>
      </w:r>
    </w:p>
    <w:p w14:paraId="354073AA">
      <w:pPr>
        <w:spacing w:line="360" w:lineRule="auto"/>
        <w:ind w:firstLine="480"/>
        <w:jc w:val="both"/>
      </w:pPr>
      <w:r>
        <w:rPr>
          <w:rFonts w:ascii="Times New Roman" w:hAnsi="Times New Roman" w:eastAsia="宋体"/>
          <w:sz w:val="24"/>
          <w:szCs w:val="24"/>
        </w:rPr>
        <w:t>第二类是模型判定偏倚。在六类关系的闭集约束下,模型对边界模糊的事件——例如某些营养级关系既可描述为捕食也可描述为偏害,某些藻菌关系既可被叙述为互利也可被解读为偏利——倾向于归入“捕食或寄生”这一较为通用的类别。这种倾向在我们对早期抽取结果的人工核验中已经被观察到。后续版本将在抽取提示词中加入边界案例的判别指引,明确给出几对典型的边界事件应该如何分类的范例,以降低这种归并倾向。</w:t>
      </w:r>
    </w:p>
    <w:p w14:paraId="401B14C6">
      <w:pPr>
        <w:spacing w:line="360" w:lineRule="auto"/>
        <w:ind w:firstLine="480"/>
        <w:jc w:val="both"/>
      </w:pPr>
      <w:r>
        <w:rPr>
          <w:rFonts w:ascii="Times New Roman" w:hAnsi="Times New Roman" w:eastAsia="宋体"/>
          <w:sz w:val="24"/>
          <w:szCs w:val="24"/>
        </w:rPr>
        <w:t>本数据集的使用者在基于 v0.1 数据进行模型训练或评测时,应当注意上述偏倚的存在。具体而言,我们不建议直接基于 v0.1 的数据训练一个“互作类型分类器”,因为类别极度不平衡会让模型简单地把所有输入预测为“捕食或寄生”就能拿到高准确率。但 v0.1 数据完全适合作为本体设计、字段定义、抽取流水线的端到端示例,以及用于评估其他抽取系统在本数据集上的表现。</w:t>
      </w:r>
    </w:p>
    <w:p w14:paraId="142AD6DF">
      <w:pPr>
        <w:pStyle w:val="3"/>
        <w:spacing w:before="320" w:after="160"/>
      </w:pPr>
      <w:r>
        <w:rPr>
          <w:rFonts w:ascii="Times New Roman" w:hAnsi="Times New Roman" w:eastAsia="黑体"/>
          <w:b/>
          <w:bCs/>
          <w:sz w:val="28"/>
          <w:szCs w:val="28"/>
        </w:rPr>
        <w:t>6.4 物种与环境节点的初步分析</w:t>
      </w:r>
    </w:p>
    <w:p w14:paraId="25EC5177">
      <w:pPr>
        <w:spacing w:line="360" w:lineRule="auto"/>
        <w:ind w:firstLine="480"/>
        <w:jc w:val="both"/>
      </w:pPr>
      <w:r>
        <w:rPr>
          <w:rFonts w:ascii="Times New Roman" w:hAnsi="Times New Roman" w:eastAsia="宋体"/>
          <w:sz w:val="24"/>
          <w:szCs w:val="24"/>
        </w:rPr>
        <w:t>621 个标准化物种节点中,藻类、浮游动物与细菌三大类合计占据了大多数,这与微生物相互作用文献中“藻—菌—浮游动物”作为研究中心的客观事实是一致的。物种节点的命名经过提示词中的清洗规则处理后,基本符合“属名 + 种加词”的双名法标准格式;少量物种仅鉴定到属一级,以 “sp.” 后缀标记,这是文献中常见的不可避免现象,我们没有强行做种级填充,以保持原文献的鉴定精度。</w:t>
      </w:r>
    </w:p>
    <w:p w14:paraId="40537C9B">
      <w:pPr>
        <w:spacing w:line="360" w:lineRule="auto"/>
        <w:ind w:firstLine="480"/>
        <w:jc w:val="both"/>
      </w:pPr>
      <w:r>
        <w:rPr>
          <w:rFonts w:ascii="Times New Roman" w:hAnsi="Times New Roman" w:eastAsia="宋体"/>
          <w:sz w:val="24"/>
          <w:szCs w:val="24"/>
        </w:rPr>
        <w:t>463 个环境节点反映了一个重要事实——同一对物种在不同环境下的互作事件,会产生不同的 InteractionEvent 节点和不同的 Environment 节点,这正是事件中心型拓扑设计所追求的效果。环境节点的描述粒度由原文献决定:有些文献只提到“实验室纯培养”,有些文献则给出了完整的温度、N:P 比、pH 与溶解氧。这种粒度不均匀在 v0.1 中没有做后处理统一,我们倾向于保留原始粒度,把环境标准化的工作留待数据集扩展时与领域专家共同完成。</w:t>
      </w:r>
    </w:p>
    <w:p w14:paraId="16FB7ADC">
      <w:r>
        <w:br w:type="page"/>
      </w:r>
    </w:p>
    <w:p w14:paraId="7D58EF50">
      <w:pPr>
        <w:pStyle w:val="2"/>
        <w:spacing w:before="480" w:after="240"/>
      </w:pPr>
      <w:r>
        <w:rPr>
          <w:rFonts w:ascii="Times New Roman" w:hAnsi="Times New Roman" w:eastAsia="黑体"/>
          <w:b/>
          <w:bCs/>
          <w:sz w:val="32"/>
          <w:szCs w:val="32"/>
        </w:rPr>
        <w:t>第七章 质量评估方法与当前进展</w:t>
      </w:r>
    </w:p>
    <w:p w14:paraId="52179B23">
      <w:pPr>
        <w:pStyle w:val="3"/>
        <w:spacing w:before="320" w:after="160"/>
      </w:pPr>
      <w:r>
        <w:rPr>
          <w:rFonts w:ascii="Times New Roman" w:hAnsi="Times New Roman" w:eastAsia="黑体"/>
          <w:b/>
          <w:bCs/>
          <w:sz w:val="28"/>
          <w:szCs w:val="28"/>
        </w:rPr>
        <w:t>7.1 评估难点</w:t>
      </w:r>
    </w:p>
    <w:p w14:paraId="419157A2">
      <w:pPr>
        <w:spacing w:line="360" w:lineRule="auto"/>
        <w:ind w:firstLine="480"/>
        <w:jc w:val="both"/>
      </w:pPr>
      <w:r>
        <w:rPr>
          <w:rFonts w:ascii="Times New Roman" w:hAnsi="Times New Roman" w:eastAsia="宋体"/>
          <w:sz w:val="24"/>
          <w:szCs w:val="24"/>
        </w:rPr>
        <w:t>由于生物学实体、生态学环境描述与实验方法名称普遍存在异名、缩写差异以及 OCR 残留,传统基于字符串精确比对的评估方法会显著低估抽取质量。一个常见的例子是 “upper layer” 与 “epilimnion” 两个表述指代同一个生态学概念(湖泊表水层),但字符串精确比对会判定为完全不匹配;另一个例子是 “FISH” 与 “fluorescence in situ hybridization” 指代同一种方法,在字符串层面也完全不一致。这些常见的语义等价情形,如果用 Exact Match 评估,会让一份本来抽取得相当不错的结果在指标上看起来很差,造成严重的指标失真。</w:t>
      </w:r>
    </w:p>
    <w:p w14:paraId="48ABBF58">
      <w:pPr>
        <w:spacing w:line="360" w:lineRule="auto"/>
        <w:ind w:firstLine="480"/>
        <w:jc w:val="both"/>
      </w:pPr>
      <w:r>
        <w:rPr>
          <w:rFonts w:ascii="Times New Roman" w:hAnsi="Times New Roman" w:eastAsia="宋体"/>
          <w:sz w:val="24"/>
          <w:szCs w:val="24"/>
        </w:rPr>
        <w:t>为了得到更公平、更能反映抽取实际质量的评估结果,我们设计了一套基于大语言模型语义裁判(LLM-as-a-Judge)的五维评估体系,将整个评估过程拆解到物种实体、互作关系、环境因素、研究方法与核心三元组五个维度上,分别采用最适合该维度的评估方式。</w:t>
      </w:r>
    </w:p>
    <w:p w14:paraId="63DD5881">
      <w:pPr>
        <w:pStyle w:val="3"/>
        <w:spacing w:before="320" w:after="160"/>
      </w:pPr>
      <w:r>
        <w:rPr>
          <w:rFonts w:ascii="Times New Roman" w:hAnsi="Times New Roman" w:eastAsia="黑体"/>
          <w:b/>
          <w:bCs/>
          <w:sz w:val="28"/>
          <w:szCs w:val="28"/>
        </w:rPr>
        <w:t>7.2 五维指标的设计</w:t>
      </w:r>
    </w:p>
    <w:p w14:paraId="1FBFE89A">
      <w:pPr>
        <w:spacing w:line="360" w:lineRule="auto"/>
        <w:ind w:firstLine="480"/>
        <w:jc w:val="both"/>
      </w:pPr>
      <w:r>
        <w:rPr>
          <w:rFonts w:ascii="Times New Roman" w:hAnsi="Times New Roman" w:eastAsia="宋体"/>
          <w:sz w:val="24"/>
          <w:szCs w:val="24"/>
        </w:rPr>
        <w:t>物种实体(Taxa)维度衡量模型对参与互作的物种学名的识别质量。我们将每条事件中的 taxa_a 与 taxa_b 收集起来去重后,交由裁判模型按“生物分类学专家”的视角进行匹配。裁判模型被要求识别全称与缩写、不同发育阶段的别名、轻度 OCR 干扰的同名异写、以及种下亚种修饰是否指代同一生物。</w:t>
      </w:r>
    </w:p>
    <w:p w14:paraId="67390322">
      <w:pPr>
        <w:spacing w:line="360" w:lineRule="auto"/>
        <w:ind w:firstLine="480"/>
        <w:jc w:val="both"/>
      </w:pPr>
      <w:r>
        <w:rPr>
          <w:rFonts w:ascii="Times New Roman" w:hAnsi="Times New Roman" w:eastAsia="宋体"/>
          <w:sz w:val="24"/>
          <w:szCs w:val="24"/>
        </w:rPr>
        <w:t>互作关系(Relation)维度的评估处理方式比较特殊。由于关系类型本身已被限定在六类闭集词汇中,使用大模型裁判反而会引入不必要的不确定性,我们最终选择采用 Python 的 collections.Counter 实现实例级计数后再求多重集交集。这一选择经过了一次明确的版本迭代:早期版本使用基于 set 的去重,导致出现“一篇文章提取十次捕食事件只算一次”的指标失真问题——一篇综述讨论了大量捕食关系,在 set 去重下被压缩为一个单一标签,与“只提取了一次”看起来一模一样,但实际抽取质量天差地别。改用 Counter 后,实例级的准确计数得以保留,评估指标对模型的真实表现更敏感。这一修复在评估脚本的注释中被显式标记为“V5 重要修复”。</w:t>
      </w:r>
    </w:p>
    <w:p w14:paraId="6FA3B2A9">
      <w:pPr>
        <w:spacing w:line="360" w:lineRule="auto"/>
        <w:ind w:firstLine="480"/>
        <w:jc w:val="both"/>
      </w:pPr>
      <w:r>
        <w:rPr>
          <w:rFonts w:ascii="Times New Roman" w:hAnsi="Times New Roman" w:eastAsia="宋体"/>
          <w:sz w:val="24"/>
          <w:szCs w:val="24"/>
        </w:rPr>
        <w:t>环境因素(Environment)维度由裁判模型扮演“生态学专家”角色,判断两段环境描述是否指代同一时空场景。研究方法(Method)维度同样由裁判模型识别同一实验或分析手段的多种表达方式。核心三元组(Triplet)维度是最严格的一维,将主体、客体与关系打包后交给裁判模型评估,且不仅要求物种语义一致,还必须保证关系方向一致(即 “A 捕食 B” 不可与 “B 捕食 A” 混淆为同一三元组)才算匹配成功。</w:t>
      </w:r>
    </w:p>
    <w:p w14:paraId="12571B50">
      <w:pPr>
        <w:pStyle w:val="3"/>
        <w:spacing w:before="320" w:after="160"/>
      </w:pPr>
      <w:r>
        <w:rPr>
          <w:rFonts w:ascii="Times New Roman" w:hAnsi="Times New Roman" w:eastAsia="黑体"/>
          <w:b/>
          <w:bCs/>
          <w:sz w:val="28"/>
          <w:szCs w:val="28"/>
        </w:rPr>
        <w:t>7.3 评估流程中的鲁棒性设计</w:t>
      </w:r>
    </w:p>
    <w:p w14:paraId="3743C9AD">
      <w:pPr>
        <w:spacing w:line="360" w:lineRule="auto"/>
        <w:ind w:firstLine="480"/>
        <w:jc w:val="both"/>
      </w:pPr>
      <w:r>
        <w:rPr>
          <w:rFonts w:ascii="Times New Roman" w:hAnsi="Times New Roman" w:eastAsia="宋体"/>
          <w:sz w:val="24"/>
          <w:szCs w:val="24"/>
        </w:rPr>
        <w:t>为保证评估流水线在长文献与大规模批处理下的稳定性,评估脚本在工程层面做了几项专门的鲁棒性处理。一篇文章中可能包含一百以上的物种实体,一次性提交给裁判模型容易触发 token 溢出或幻觉,我们将标准答案列表按每十五个一组(CHUNK_SIZE = 15)切块分批比对。在解析裁判模型返回的索引数组时,强制校验索引落在合法范围内(0 &lt;= pred_idx &lt; len(pd_list)),避免大模型生成的越界索引导致 IndexError。在 JSON 解析失败时,启用基于正则的降级提取路径,从模型输出文本中暴力匹配 [数字, 数字] 这种结构,使评估流程在不可预期的输出格式扰动下仍能继续运行。</w:t>
      </w:r>
    </w:p>
    <w:p w14:paraId="2EDFE0FD">
      <w:pPr>
        <w:spacing w:line="360" w:lineRule="auto"/>
        <w:ind w:firstLine="480"/>
        <w:jc w:val="both"/>
      </w:pPr>
      <w:r>
        <w:rPr>
          <w:rFonts w:ascii="Times New Roman" w:hAnsi="Times New Roman" w:eastAsia="宋体"/>
          <w:sz w:val="24"/>
          <w:szCs w:val="24"/>
        </w:rPr>
        <w:t>最终的指标按精确率、召回率与 F1 三项汇总,每篇文献单独计算后取宏平均(macro-average)作为整体报告值。我们选用宏平均而非微平均(micro-average),是因为微平均会让大文献支配整体分数,小文献的抽取质量被埋没;而宏平均让每篇文献的评估贡献等权重,更符合"评估流水线在多样化文献上的一致性"这一评估目标。</w:t>
      </w:r>
    </w:p>
    <w:p w14:paraId="2F69D519">
      <w:pPr>
        <w:pStyle w:val="3"/>
        <w:spacing w:before="320" w:after="160"/>
      </w:pPr>
      <w:r>
        <w:rPr>
          <w:rFonts w:ascii="Times New Roman" w:hAnsi="Times New Roman" w:eastAsia="黑体"/>
          <w:b/>
          <w:bCs/>
          <w:sz w:val="28"/>
          <w:szCs w:val="28"/>
        </w:rPr>
        <w:t>7.4 六模型横向 benchmark 评测结果</w:t>
      </w:r>
    </w:p>
    <w:p w14:paraId="1C098D44">
      <w:pPr>
        <w:spacing w:line="360" w:lineRule="auto"/>
        <w:ind w:firstLine="480"/>
        <w:jc w:val="both"/>
      </w:pPr>
      <w:r>
        <w:rPr>
          <w:rFonts w:ascii="Times New Roman" w:hAnsi="Times New Roman" w:eastAsia="宋体"/>
          <w:sz w:val="24"/>
          <w:szCs w:val="24"/>
        </w:rPr>
        <w:t>在 v0.1 阶段,我们利用本章描述的五维评估体系,对六款具有代表性的大语言模型进行了完整的横向评估。参与评测的模型包括 Gemini 3 Flash Preview、GPT-5.4 mini、Claude Haiku 4.5、Qwen3.6 Plus、DeepSeek V4 Pro 与 MiniMax M2.7。这一选择覆盖了海外与国内、闭源与部分开源、旗舰与轻量级几种典型的模型类型,使得 benchmark 结果具有跨厂商、跨规模的对比意义。所有模型使用同一份提示词、同一组输入文本块、同一份人工标注的标准答案;评估采用同一份脚本和同一款语义裁判模型(Claude Haiku 4.5),以保证不同模型之间的比较公平性。</w:t>
      </w:r>
    </w:p>
    <w:p w14:paraId="6CBF58AC">
      <w:pPr>
        <w:spacing w:line="360" w:lineRule="auto"/>
        <w:ind w:firstLine="480"/>
        <w:jc w:val="both"/>
      </w:pPr>
      <w:r>
        <w:rPr>
          <w:rFonts w:ascii="Times New Roman" w:hAnsi="Times New Roman" w:eastAsia="宋体"/>
          <w:sz w:val="24"/>
          <w:szCs w:val="24"/>
        </w:rPr>
        <w:t>为方便后续讨论,我们把六款模型的完整 P/R/F1 结果汇总在表 7-1 中。</w:t>
      </w:r>
    </w:p>
    <w:p w14:paraId="6C113BC2">
      <w:pPr>
        <w:spacing w:before="200" w:after="100"/>
        <w:jc w:val="center"/>
      </w:pPr>
      <w:r>
        <w:rPr>
          <w:rFonts w:ascii="Times New Roman" w:hAnsi="Times New Roman" w:eastAsia="黑体"/>
          <w:b/>
          <w:bCs/>
          <w:sz w:val="22"/>
          <w:szCs w:val="22"/>
        </w:rPr>
        <w:t>表 7-1  六款大模型在五维评估指标上的横向对比(P / R / F1)</w:t>
      </w:r>
    </w:p>
    <w:tbl>
      <w:tblPr>
        <w:tblStyle w:val="12"/>
        <w:tblW w:w="940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401"/>
        <w:gridCol w:w="533"/>
        <w:gridCol w:w="533"/>
        <w:gridCol w:w="533"/>
        <w:gridCol w:w="533"/>
        <w:gridCol w:w="533"/>
        <w:gridCol w:w="533"/>
        <w:gridCol w:w="533"/>
        <w:gridCol w:w="533"/>
        <w:gridCol w:w="533"/>
        <w:gridCol w:w="533"/>
        <w:gridCol w:w="533"/>
        <w:gridCol w:w="534"/>
        <w:gridCol w:w="534"/>
        <w:gridCol w:w="534"/>
        <w:gridCol w:w="534"/>
      </w:tblGrid>
      <w:tr w14:paraId="3BDBF2E9">
        <w:tc>
          <w:tcPr>
            <w:tcW w:w="1400" w:type="dxa"/>
            <w:tcBorders>
              <w:top w:val="single" w:color="000000" w:sz="12" w:space="0"/>
              <w:left w:val="nil"/>
              <w:bottom w:val="single" w:color="000000" w:sz="4" w:space="0"/>
              <w:right w:val="nil"/>
            </w:tcBorders>
            <w:tcMar>
              <w:top w:w="60" w:type="dxa"/>
              <w:left w:w="40" w:type="dxa"/>
              <w:bottom w:w="60" w:type="dxa"/>
              <w:right w:w="40" w:type="dxa"/>
            </w:tcMar>
          </w:tcPr>
          <w:p w14:paraId="2DC1D62A">
            <w:pPr>
              <w:spacing w:line="260" w:lineRule="auto"/>
              <w:jc w:val="left"/>
            </w:pPr>
            <w:r>
              <w:rPr>
                <w:rFonts w:ascii="Times New Roman" w:hAnsi="Times New Roman" w:eastAsia="宋体"/>
                <w:b/>
                <w:bCs/>
                <w:sz w:val="18"/>
                <w:szCs w:val="18"/>
              </w:rPr>
              <w:t>模型</w:t>
            </w:r>
          </w:p>
        </w:tc>
        <w:tc>
          <w:tcPr>
            <w:tcW w:w="533" w:type="dxa"/>
            <w:tcBorders>
              <w:top w:val="single" w:color="000000" w:sz="12" w:space="0"/>
              <w:left w:val="nil"/>
              <w:bottom w:val="single" w:color="000000" w:sz="4" w:space="0"/>
              <w:right w:val="nil"/>
            </w:tcBorders>
            <w:tcMar>
              <w:top w:w="60" w:type="dxa"/>
              <w:left w:w="40" w:type="dxa"/>
              <w:bottom w:w="60" w:type="dxa"/>
              <w:right w:w="40" w:type="dxa"/>
            </w:tcMar>
          </w:tcPr>
          <w:p w14:paraId="29F3637B">
            <w:pPr>
              <w:spacing w:line="260" w:lineRule="auto"/>
              <w:jc w:val="center"/>
            </w:pPr>
            <w:r>
              <w:rPr>
                <w:rFonts w:ascii="Times New Roman" w:hAnsi="Times New Roman" w:eastAsia="宋体"/>
                <w:b/>
                <w:bCs/>
                <w:sz w:val="18"/>
                <w:szCs w:val="18"/>
              </w:rPr>
              <w:t>物种 P</w:t>
            </w:r>
          </w:p>
        </w:tc>
        <w:tc>
          <w:tcPr>
            <w:tcW w:w="533" w:type="dxa"/>
            <w:tcBorders>
              <w:top w:val="single" w:color="000000" w:sz="12" w:space="0"/>
              <w:left w:val="nil"/>
              <w:bottom w:val="single" w:color="000000" w:sz="4" w:space="0"/>
              <w:right w:val="nil"/>
            </w:tcBorders>
            <w:tcMar>
              <w:top w:w="60" w:type="dxa"/>
              <w:left w:w="40" w:type="dxa"/>
              <w:bottom w:w="60" w:type="dxa"/>
              <w:right w:w="40" w:type="dxa"/>
            </w:tcMar>
          </w:tcPr>
          <w:p w14:paraId="7B6251D4">
            <w:pPr>
              <w:spacing w:line="260" w:lineRule="auto"/>
              <w:jc w:val="center"/>
            </w:pPr>
            <w:r>
              <w:rPr>
                <w:rFonts w:ascii="Times New Roman" w:hAnsi="Times New Roman" w:eastAsia="宋体"/>
                <w:b/>
                <w:bCs/>
                <w:sz w:val="18"/>
                <w:szCs w:val="18"/>
              </w:rPr>
              <w:t>物种 R</w:t>
            </w:r>
          </w:p>
        </w:tc>
        <w:tc>
          <w:tcPr>
            <w:tcW w:w="533" w:type="dxa"/>
            <w:tcBorders>
              <w:top w:val="single" w:color="000000" w:sz="12" w:space="0"/>
              <w:left w:val="nil"/>
              <w:bottom w:val="single" w:color="000000" w:sz="4" w:space="0"/>
              <w:right w:val="nil"/>
            </w:tcBorders>
            <w:tcMar>
              <w:top w:w="60" w:type="dxa"/>
              <w:left w:w="40" w:type="dxa"/>
              <w:bottom w:w="60" w:type="dxa"/>
              <w:right w:w="40" w:type="dxa"/>
            </w:tcMar>
          </w:tcPr>
          <w:p w14:paraId="19D2EE61">
            <w:pPr>
              <w:spacing w:line="260" w:lineRule="auto"/>
              <w:jc w:val="center"/>
            </w:pPr>
            <w:r>
              <w:rPr>
                <w:rFonts w:ascii="Times New Roman" w:hAnsi="Times New Roman" w:eastAsia="宋体"/>
                <w:b/>
                <w:bCs/>
                <w:sz w:val="18"/>
                <w:szCs w:val="18"/>
              </w:rPr>
              <w:t>物种 F1</w:t>
            </w:r>
          </w:p>
        </w:tc>
        <w:tc>
          <w:tcPr>
            <w:tcW w:w="533" w:type="dxa"/>
            <w:tcBorders>
              <w:top w:val="single" w:color="000000" w:sz="12" w:space="0"/>
              <w:left w:val="nil"/>
              <w:bottom w:val="single" w:color="000000" w:sz="4" w:space="0"/>
              <w:right w:val="nil"/>
            </w:tcBorders>
            <w:tcMar>
              <w:top w:w="60" w:type="dxa"/>
              <w:left w:w="40" w:type="dxa"/>
              <w:bottom w:w="60" w:type="dxa"/>
              <w:right w:w="40" w:type="dxa"/>
            </w:tcMar>
          </w:tcPr>
          <w:p w14:paraId="5B75BFE2">
            <w:pPr>
              <w:spacing w:line="260" w:lineRule="auto"/>
              <w:jc w:val="center"/>
            </w:pPr>
            <w:r>
              <w:rPr>
                <w:rFonts w:ascii="Times New Roman" w:hAnsi="Times New Roman" w:eastAsia="宋体"/>
                <w:b/>
                <w:bCs/>
                <w:sz w:val="18"/>
                <w:szCs w:val="18"/>
              </w:rPr>
              <w:t>关系 P</w:t>
            </w:r>
          </w:p>
        </w:tc>
        <w:tc>
          <w:tcPr>
            <w:tcW w:w="533" w:type="dxa"/>
            <w:tcBorders>
              <w:top w:val="single" w:color="000000" w:sz="12" w:space="0"/>
              <w:left w:val="nil"/>
              <w:bottom w:val="single" w:color="000000" w:sz="4" w:space="0"/>
              <w:right w:val="nil"/>
            </w:tcBorders>
            <w:tcMar>
              <w:top w:w="60" w:type="dxa"/>
              <w:left w:w="40" w:type="dxa"/>
              <w:bottom w:w="60" w:type="dxa"/>
              <w:right w:w="40" w:type="dxa"/>
            </w:tcMar>
          </w:tcPr>
          <w:p w14:paraId="0D069140">
            <w:pPr>
              <w:spacing w:line="260" w:lineRule="auto"/>
              <w:jc w:val="center"/>
            </w:pPr>
            <w:r>
              <w:rPr>
                <w:rFonts w:ascii="Times New Roman" w:hAnsi="Times New Roman" w:eastAsia="宋体"/>
                <w:b/>
                <w:bCs/>
                <w:sz w:val="18"/>
                <w:szCs w:val="18"/>
              </w:rPr>
              <w:t>关系 R</w:t>
            </w:r>
          </w:p>
        </w:tc>
        <w:tc>
          <w:tcPr>
            <w:tcW w:w="533" w:type="dxa"/>
            <w:tcBorders>
              <w:top w:val="single" w:color="000000" w:sz="12" w:space="0"/>
              <w:left w:val="nil"/>
              <w:bottom w:val="single" w:color="000000" w:sz="4" w:space="0"/>
              <w:right w:val="nil"/>
            </w:tcBorders>
            <w:tcMar>
              <w:top w:w="60" w:type="dxa"/>
              <w:left w:w="40" w:type="dxa"/>
              <w:bottom w:w="60" w:type="dxa"/>
              <w:right w:w="40" w:type="dxa"/>
            </w:tcMar>
          </w:tcPr>
          <w:p w14:paraId="6D599557">
            <w:pPr>
              <w:spacing w:line="260" w:lineRule="auto"/>
              <w:jc w:val="center"/>
            </w:pPr>
            <w:r>
              <w:rPr>
                <w:rFonts w:ascii="Times New Roman" w:hAnsi="Times New Roman" w:eastAsia="宋体"/>
                <w:b/>
                <w:bCs/>
                <w:sz w:val="18"/>
                <w:szCs w:val="18"/>
              </w:rPr>
              <w:t>关系 F1</w:t>
            </w:r>
          </w:p>
        </w:tc>
        <w:tc>
          <w:tcPr>
            <w:tcW w:w="533" w:type="dxa"/>
            <w:tcBorders>
              <w:top w:val="single" w:color="000000" w:sz="12" w:space="0"/>
              <w:left w:val="nil"/>
              <w:bottom w:val="single" w:color="000000" w:sz="4" w:space="0"/>
              <w:right w:val="nil"/>
            </w:tcBorders>
            <w:tcMar>
              <w:top w:w="60" w:type="dxa"/>
              <w:left w:w="40" w:type="dxa"/>
              <w:bottom w:w="60" w:type="dxa"/>
              <w:right w:w="40" w:type="dxa"/>
            </w:tcMar>
          </w:tcPr>
          <w:p w14:paraId="0AAA062A">
            <w:pPr>
              <w:spacing w:line="260" w:lineRule="auto"/>
              <w:jc w:val="center"/>
            </w:pPr>
            <w:r>
              <w:rPr>
                <w:rFonts w:ascii="Times New Roman" w:hAnsi="Times New Roman" w:eastAsia="宋体"/>
                <w:b/>
                <w:bCs/>
                <w:sz w:val="18"/>
                <w:szCs w:val="18"/>
              </w:rPr>
              <w:t>环境 P</w:t>
            </w:r>
          </w:p>
        </w:tc>
        <w:tc>
          <w:tcPr>
            <w:tcW w:w="533" w:type="dxa"/>
            <w:tcBorders>
              <w:top w:val="single" w:color="000000" w:sz="12" w:space="0"/>
              <w:left w:val="nil"/>
              <w:bottom w:val="single" w:color="000000" w:sz="4" w:space="0"/>
              <w:right w:val="nil"/>
            </w:tcBorders>
            <w:tcMar>
              <w:top w:w="60" w:type="dxa"/>
              <w:left w:w="40" w:type="dxa"/>
              <w:bottom w:w="60" w:type="dxa"/>
              <w:right w:w="40" w:type="dxa"/>
            </w:tcMar>
          </w:tcPr>
          <w:p w14:paraId="0B1FA0C0">
            <w:pPr>
              <w:spacing w:line="260" w:lineRule="auto"/>
              <w:jc w:val="center"/>
            </w:pPr>
            <w:r>
              <w:rPr>
                <w:rFonts w:ascii="Times New Roman" w:hAnsi="Times New Roman" w:eastAsia="宋体"/>
                <w:b/>
                <w:bCs/>
                <w:sz w:val="18"/>
                <w:szCs w:val="18"/>
              </w:rPr>
              <w:t>环境 R</w:t>
            </w:r>
          </w:p>
        </w:tc>
        <w:tc>
          <w:tcPr>
            <w:tcW w:w="533" w:type="dxa"/>
            <w:tcBorders>
              <w:top w:val="single" w:color="000000" w:sz="12" w:space="0"/>
              <w:left w:val="nil"/>
              <w:bottom w:val="single" w:color="000000" w:sz="4" w:space="0"/>
              <w:right w:val="nil"/>
            </w:tcBorders>
            <w:tcMar>
              <w:top w:w="60" w:type="dxa"/>
              <w:left w:w="40" w:type="dxa"/>
              <w:bottom w:w="60" w:type="dxa"/>
              <w:right w:w="40" w:type="dxa"/>
            </w:tcMar>
          </w:tcPr>
          <w:p w14:paraId="4C2CEA88">
            <w:pPr>
              <w:spacing w:line="260" w:lineRule="auto"/>
              <w:jc w:val="center"/>
            </w:pPr>
            <w:r>
              <w:rPr>
                <w:rFonts w:ascii="Times New Roman" w:hAnsi="Times New Roman" w:eastAsia="宋体"/>
                <w:b/>
                <w:bCs/>
                <w:sz w:val="18"/>
                <w:szCs w:val="18"/>
              </w:rPr>
              <w:t>环境 F1</w:t>
            </w:r>
          </w:p>
        </w:tc>
        <w:tc>
          <w:tcPr>
            <w:tcW w:w="533" w:type="dxa"/>
            <w:tcBorders>
              <w:top w:val="single" w:color="000000" w:sz="12" w:space="0"/>
              <w:left w:val="nil"/>
              <w:bottom w:val="single" w:color="000000" w:sz="4" w:space="0"/>
              <w:right w:val="nil"/>
            </w:tcBorders>
            <w:tcMar>
              <w:top w:w="60" w:type="dxa"/>
              <w:left w:w="40" w:type="dxa"/>
              <w:bottom w:w="60" w:type="dxa"/>
              <w:right w:w="40" w:type="dxa"/>
            </w:tcMar>
          </w:tcPr>
          <w:p w14:paraId="0A5053D9">
            <w:pPr>
              <w:spacing w:line="260" w:lineRule="auto"/>
              <w:jc w:val="center"/>
            </w:pPr>
            <w:r>
              <w:rPr>
                <w:rFonts w:ascii="Times New Roman" w:hAnsi="Times New Roman" w:eastAsia="宋体"/>
                <w:b/>
                <w:bCs/>
                <w:sz w:val="18"/>
                <w:szCs w:val="18"/>
              </w:rPr>
              <w:t>方法 P</w:t>
            </w:r>
          </w:p>
        </w:tc>
        <w:tc>
          <w:tcPr>
            <w:tcW w:w="533" w:type="dxa"/>
            <w:tcBorders>
              <w:top w:val="single" w:color="000000" w:sz="12" w:space="0"/>
              <w:left w:val="nil"/>
              <w:bottom w:val="single" w:color="000000" w:sz="4" w:space="0"/>
              <w:right w:val="nil"/>
            </w:tcBorders>
            <w:tcMar>
              <w:top w:w="60" w:type="dxa"/>
              <w:left w:w="40" w:type="dxa"/>
              <w:bottom w:w="60" w:type="dxa"/>
              <w:right w:w="40" w:type="dxa"/>
            </w:tcMar>
          </w:tcPr>
          <w:p w14:paraId="1E18B114">
            <w:pPr>
              <w:spacing w:line="260" w:lineRule="auto"/>
              <w:jc w:val="center"/>
            </w:pPr>
            <w:r>
              <w:rPr>
                <w:rFonts w:ascii="Times New Roman" w:hAnsi="Times New Roman" w:eastAsia="宋体"/>
                <w:b/>
                <w:bCs/>
                <w:sz w:val="18"/>
                <w:szCs w:val="18"/>
              </w:rPr>
              <w:t>方法 R</w:t>
            </w:r>
          </w:p>
        </w:tc>
        <w:tc>
          <w:tcPr>
            <w:tcW w:w="533" w:type="dxa"/>
            <w:tcBorders>
              <w:top w:val="single" w:color="000000" w:sz="12" w:space="0"/>
              <w:left w:val="nil"/>
              <w:bottom w:val="single" w:color="000000" w:sz="4" w:space="0"/>
              <w:right w:val="nil"/>
            </w:tcBorders>
            <w:tcMar>
              <w:top w:w="60" w:type="dxa"/>
              <w:left w:w="40" w:type="dxa"/>
              <w:bottom w:w="60" w:type="dxa"/>
              <w:right w:w="40" w:type="dxa"/>
            </w:tcMar>
          </w:tcPr>
          <w:p w14:paraId="685F3200">
            <w:pPr>
              <w:spacing w:line="260" w:lineRule="auto"/>
              <w:jc w:val="center"/>
            </w:pPr>
            <w:r>
              <w:rPr>
                <w:rFonts w:ascii="Times New Roman" w:hAnsi="Times New Roman" w:eastAsia="宋体"/>
                <w:b/>
                <w:bCs/>
                <w:sz w:val="18"/>
                <w:szCs w:val="18"/>
              </w:rPr>
              <w:t>方法 F1</w:t>
            </w:r>
          </w:p>
        </w:tc>
        <w:tc>
          <w:tcPr>
            <w:tcW w:w="533" w:type="dxa"/>
            <w:tcBorders>
              <w:top w:val="single" w:color="000000" w:sz="12" w:space="0"/>
              <w:left w:val="nil"/>
              <w:bottom w:val="single" w:color="000000" w:sz="4" w:space="0"/>
              <w:right w:val="nil"/>
            </w:tcBorders>
            <w:tcMar>
              <w:top w:w="60" w:type="dxa"/>
              <w:left w:w="40" w:type="dxa"/>
              <w:bottom w:w="60" w:type="dxa"/>
              <w:right w:w="40" w:type="dxa"/>
            </w:tcMar>
          </w:tcPr>
          <w:p w14:paraId="1410B48A">
            <w:pPr>
              <w:spacing w:line="260" w:lineRule="auto"/>
              <w:jc w:val="center"/>
            </w:pPr>
            <w:r>
              <w:rPr>
                <w:rFonts w:ascii="Times New Roman" w:hAnsi="Times New Roman" w:eastAsia="宋体"/>
                <w:b/>
                <w:bCs/>
                <w:sz w:val="18"/>
                <w:szCs w:val="18"/>
              </w:rPr>
              <w:t>三元组 P</w:t>
            </w:r>
          </w:p>
        </w:tc>
        <w:tc>
          <w:tcPr>
            <w:tcW w:w="533" w:type="dxa"/>
            <w:tcBorders>
              <w:top w:val="single" w:color="000000" w:sz="12" w:space="0"/>
              <w:left w:val="nil"/>
              <w:bottom w:val="single" w:color="000000" w:sz="4" w:space="0"/>
              <w:right w:val="nil"/>
            </w:tcBorders>
            <w:tcMar>
              <w:top w:w="60" w:type="dxa"/>
              <w:left w:w="40" w:type="dxa"/>
              <w:bottom w:w="60" w:type="dxa"/>
              <w:right w:w="40" w:type="dxa"/>
            </w:tcMar>
          </w:tcPr>
          <w:p w14:paraId="68C07BDC">
            <w:pPr>
              <w:spacing w:line="260" w:lineRule="auto"/>
              <w:jc w:val="center"/>
            </w:pPr>
            <w:r>
              <w:rPr>
                <w:rFonts w:ascii="Times New Roman" w:hAnsi="Times New Roman" w:eastAsia="宋体"/>
                <w:b/>
                <w:bCs/>
                <w:sz w:val="18"/>
                <w:szCs w:val="18"/>
              </w:rPr>
              <w:t>三元组 R</w:t>
            </w:r>
          </w:p>
        </w:tc>
        <w:tc>
          <w:tcPr>
            <w:tcW w:w="533" w:type="dxa"/>
            <w:tcBorders>
              <w:top w:val="single" w:color="000000" w:sz="12" w:space="0"/>
              <w:left w:val="nil"/>
              <w:bottom w:val="single" w:color="000000" w:sz="4" w:space="0"/>
              <w:right w:val="nil"/>
            </w:tcBorders>
            <w:tcMar>
              <w:top w:w="60" w:type="dxa"/>
              <w:left w:w="40" w:type="dxa"/>
              <w:bottom w:w="60" w:type="dxa"/>
              <w:right w:w="40" w:type="dxa"/>
            </w:tcMar>
          </w:tcPr>
          <w:p w14:paraId="7DC7CA07">
            <w:pPr>
              <w:spacing w:line="260" w:lineRule="auto"/>
              <w:jc w:val="center"/>
            </w:pPr>
            <w:r>
              <w:rPr>
                <w:rFonts w:ascii="Times New Roman" w:hAnsi="Times New Roman" w:eastAsia="宋体"/>
                <w:b/>
                <w:bCs/>
                <w:sz w:val="18"/>
                <w:szCs w:val="18"/>
              </w:rPr>
              <w:t>三元组 F1</w:t>
            </w:r>
          </w:p>
        </w:tc>
      </w:tr>
      <w:tr w14:paraId="2AA1780B">
        <w:tc>
          <w:tcPr>
            <w:tcW w:w="1400" w:type="dxa"/>
            <w:tcBorders>
              <w:top w:val="nil"/>
              <w:left w:val="nil"/>
              <w:bottom w:val="nil"/>
              <w:right w:val="nil"/>
            </w:tcBorders>
            <w:tcMar>
              <w:top w:w="60" w:type="dxa"/>
              <w:left w:w="40" w:type="dxa"/>
              <w:bottom w:w="60" w:type="dxa"/>
              <w:right w:w="40" w:type="dxa"/>
            </w:tcMar>
          </w:tcPr>
          <w:p w14:paraId="049F2F95">
            <w:pPr>
              <w:spacing w:line="260" w:lineRule="auto"/>
              <w:jc w:val="left"/>
            </w:pPr>
            <w:r>
              <w:rPr>
                <w:rFonts w:ascii="Times New Roman" w:hAnsi="Times New Roman" w:eastAsia="宋体"/>
                <w:sz w:val="16"/>
                <w:szCs w:val="16"/>
              </w:rPr>
              <w:t>Gemini 3 Flash Preview</w:t>
            </w:r>
          </w:p>
        </w:tc>
        <w:tc>
          <w:tcPr>
            <w:tcW w:w="533" w:type="dxa"/>
            <w:tcBorders>
              <w:top w:val="nil"/>
              <w:left w:val="nil"/>
              <w:bottom w:val="nil"/>
              <w:right w:val="nil"/>
            </w:tcBorders>
            <w:tcMar>
              <w:top w:w="60" w:type="dxa"/>
              <w:left w:w="40" w:type="dxa"/>
              <w:bottom w:w="60" w:type="dxa"/>
              <w:right w:w="40" w:type="dxa"/>
            </w:tcMar>
          </w:tcPr>
          <w:p w14:paraId="3E84A1E3">
            <w:pPr>
              <w:spacing w:line="260" w:lineRule="auto"/>
              <w:jc w:val="center"/>
            </w:pPr>
            <w:r>
              <w:rPr>
                <w:rFonts w:ascii="Times New Roman" w:hAnsi="Times New Roman" w:eastAsia="宋体"/>
                <w:sz w:val="16"/>
                <w:szCs w:val="16"/>
              </w:rPr>
              <w:t>0.743</w:t>
            </w:r>
          </w:p>
        </w:tc>
        <w:tc>
          <w:tcPr>
            <w:tcW w:w="533" w:type="dxa"/>
            <w:tcBorders>
              <w:top w:val="nil"/>
              <w:left w:val="nil"/>
              <w:bottom w:val="nil"/>
              <w:right w:val="nil"/>
            </w:tcBorders>
            <w:tcMar>
              <w:top w:w="60" w:type="dxa"/>
              <w:left w:w="40" w:type="dxa"/>
              <w:bottom w:w="60" w:type="dxa"/>
              <w:right w:w="40" w:type="dxa"/>
            </w:tcMar>
          </w:tcPr>
          <w:p w14:paraId="249384C1">
            <w:pPr>
              <w:spacing w:line="260" w:lineRule="auto"/>
              <w:jc w:val="center"/>
            </w:pPr>
            <w:r>
              <w:rPr>
                <w:rFonts w:ascii="Times New Roman" w:hAnsi="Times New Roman" w:eastAsia="宋体"/>
                <w:sz w:val="16"/>
                <w:szCs w:val="16"/>
              </w:rPr>
              <w:t>0.775</w:t>
            </w:r>
          </w:p>
        </w:tc>
        <w:tc>
          <w:tcPr>
            <w:tcW w:w="533" w:type="dxa"/>
            <w:tcBorders>
              <w:top w:val="nil"/>
              <w:left w:val="nil"/>
              <w:bottom w:val="nil"/>
              <w:right w:val="nil"/>
            </w:tcBorders>
            <w:tcMar>
              <w:top w:w="60" w:type="dxa"/>
              <w:left w:w="40" w:type="dxa"/>
              <w:bottom w:w="60" w:type="dxa"/>
              <w:right w:w="40" w:type="dxa"/>
            </w:tcMar>
          </w:tcPr>
          <w:p w14:paraId="7FFE7B7A">
            <w:pPr>
              <w:spacing w:line="260" w:lineRule="auto"/>
              <w:jc w:val="center"/>
            </w:pPr>
            <w:r>
              <w:rPr>
                <w:rFonts w:ascii="Times New Roman" w:hAnsi="Times New Roman" w:eastAsia="宋体"/>
                <w:sz w:val="16"/>
                <w:szCs w:val="16"/>
              </w:rPr>
              <w:t>0.758</w:t>
            </w:r>
          </w:p>
        </w:tc>
        <w:tc>
          <w:tcPr>
            <w:tcW w:w="533" w:type="dxa"/>
            <w:tcBorders>
              <w:top w:val="nil"/>
              <w:left w:val="nil"/>
              <w:bottom w:val="nil"/>
              <w:right w:val="nil"/>
            </w:tcBorders>
            <w:tcMar>
              <w:top w:w="60" w:type="dxa"/>
              <w:left w:w="40" w:type="dxa"/>
              <w:bottom w:w="60" w:type="dxa"/>
              <w:right w:w="40" w:type="dxa"/>
            </w:tcMar>
          </w:tcPr>
          <w:p w14:paraId="3138FAED">
            <w:pPr>
              <w:spacing w:line="260" w:lineRule="auto"/>
              <w:jc w:val="center"/>
            </w:pPr>
            <w:r>
              <w:rPr>
                <w:rFonts w:ascii="Times New Roman" w:hAnsi="Times New Roman" w:eastAsia="宋体"/>
                <w:sz w:val="16"/>
                <w:szCs w:val="16"/>
              </w:rPr>
              <w:t>0.857</w:t>
            </w:r>
          </w:p>
        </w:tc>
        <w:tc>
          <w:tcPr>
            <w:tcW w:w="533" w:type="dxa"/>
            <w:tcBorders>
              <w:top w:val="nil"/>
              <w:left w:val="nil"/>
              <w:bottom w:val="nil"/>
              <w:right w:val="nil"/>
            </w:tcBorders>
            <w:tcMar>
              <w:top w:w="60" w:type="dxa"/>
              <w:left w:w="40" w:type="dxa"/>
              <w:bottom w:w="60" w:type="dxa"/>
              <w:right w:w="40" w:type="dxa"/>
            </w:tcMar>
          </w:tcPr>
          <w:p w14:paraId="5DE64560">
            <w:pPr>
              <w:spacing w:line="260" w:lineRule="auto"/>
              <w:jc w:val="center"/>
            </w:pPr>
            <w:r>
              <w:rPr>
                <w:rFonts w:ascii="Times New Roman" w:hAnsi="Times New Roman" w:eastAsia="宋体"/>
                <w:sz w:val="16"/>
                <w:szCs w:val="16"/>
              </w:rPr>
              <w:t>0.786</w:t>
            </w:r>
          </w:p>
        </w:tc>
        <w:tc>
          <w:tcPr>
            <w:tcW w:w="533" w:type="dxa"/>
            <w:tcBorders>
              <w:top w:val="nil"/>
              <w:left w:val="nil"/>
              <w:bottom w:val="nil"/>
              <w:right w:val="nil"/>
            </w:tcBorders>
            <w:tcMar>
              <w:top w:w="60" w:type="dxa"/>
              <w:left w:w="40" w:type="dxa"/>
              <w:bottom w:w="60" w:type="dxa"/>
              <w:right w:w="40" w:type="dxa"/>
            </w:tcMar>
          </w:tcPr>
          <w:p w14:paraId="384D4009">
            <w:pPr>
              <w:spacing w:line="260" w:lineRule="auto"/>
              <w:jc w:val="center"/>
            </w:pPr>
            <w:r>
              <w:rPr>
                <w:rFonts w:ascii="Times New Roman" w:hAnsi="Times New Roman" w:eastAsia="宋体"/>
                <w:sz w:val="16"/>
                <w:szCs w:val="16"/>
              </w:rPr>
              <w:t>0.820</w:t>
            </w:r>
          </w:p>
        </w:tc>
        <w:tc>
          <w:tcPr>
            <w:tcW w:w="533" w:type="dxa"/>
            <w:tcBorders>
              <w:top w:val="nil"/>
              <w:left w:val="nil"/>
              <w:bottom w:val="nil"/>
              <w:right w:val="nil"/>
            </w:tcBorders>
            <w:tcMar>
              <w:top w:w="60" w:type="dxa"/>
              <w:left w:w="40" w:type="dxa"/>
              <w:bottom w:w="60" w:type="dxa"/>
              <w:right w:w="40" w:type="dxa"/>
            </w:tcMar>
          </w:tcPr>
          <w:p w14:paraId="42881F09">
            <w:pPr>
              <w:spacing w:line="260" w:lineRule="auto"/>
              <w:jc w:val="center"/>
            </w:pPr>
            <w:r>
              <w:rPr>
                <w:rFonts w:ascii="Times New Roman" w:hAnsi="Times New Roman" w:eastAsia="宋体"/>
                <w:sz w:val="16"/>
                <w:szCs w:val="16"/>
              </w:rPr>
              <w:t>0.645</w:t>
            </w:r>
          </w:p>
        </w:tc>
        <w:tc>
          <w:tcPr>
            <w:tcW w:w="533" w:type="dxa"/>
            <w:tcBorders>
              <w:top w:val="nil"/>
              <w:left w:val="nil"/>
              <w:bottom w:val="nil"/>
              <w:right w:val="nil"/>
            </w:tcBorders>
            <w:tcMar>
              <w:top w:w="60" w:type="dxa"/>
              <w:left w:w="40" w:type="dxa"/>
              <w:bottom w:w="60" w:type="dxa"/>
              <w:right w:w="40" w:type="dxa"/>
            </w:tcMar>
          </w:tcPr>
          <w:p w14:paraId="70B7BBCC">
            <w:pPr>
              <w:spacing w:line="260" w:lineRule="auto"/>
              <w:jc w:val="center"/>
            </w:pPr>
            <w:r>
              <w:rPr>
                <w:rFonts w:ascii="Times New Roman" w:hAnsi="Times New Roman" w:eastAsia="宋体"/>
                <w:sz w:val="16"/>
                <w:szCs w:val="16"/>
              </w:rPr>
              <w:t>0.568</w:t>
            </w:r>
          </w:p>
        </w:tc>
        <w:tc>
          <w:tcPr>
            <w:tcW w:w="533" w:type="dxa"/>
            <w:tcBorders>
              <w:top w:val="nil"/>
              <w:left w:val="nil"/>
              <w:bottom w:val="nil"/>
              <w:right w:val="nil"/>
            </w:tcBorders>
            <w:tcMar>
              <w:top w:w="60" w:type="dxa"/>
              <w:left w:w="40" w:type="dxa"/>
              <w:bottom w:w="60" w:type="dxa"/>
              <w:right w:w="40" w:type="dxa"/>
            </w:tcMar>
          </w:tcPr>
          <w:p w14:paraId="7076AA56">
            <w:pPr>
              <w:spacing w:line="260" w:lineRule="auto"/>
              <w:jc w:val="center"/>
            </w:pPr>
            <w:r>
              <w:rPr>
                <w:rFonts w:ascii="Times New Roman" w:hAnsi="Times New Roman" w:eastAsia="宋体"/>
                <w:sz w:val="16"/>
                <w:szCs w:val="16"/>
              </w:rPr>
              <w:t>0.604</w:t>
            </w:r>
          </w:p>
        </w:tc>
        <w:tc>
          <w:tcPr>
            <w:tcW w:w="533" w:type="dxa"/>
            <w:tcBorders>
              <w:top w:val="nil"/>
              <w:left w:val="nil"/>
              <w:bottom w:val="nil"/>
              <w:right w:val="nil"/>
            </w:tcBorders>
            <w:tcMar>
              <w:top w:w="60" w:type="dxa"/>
              <w:left w:w="40" w:type="dxa"/>
              <w:bottom w:w="60" w:type="dxa"/>
              <w:right w:w="40" w:type="dxa"/>
            </w:tcMar>
          </w:tcPr>
          <w:p w14:paraId="0D335EA1">
            <w:pPr>
              <w:spacing w:line="260" w:lineRule="auto"/>
              <w:jc w:val="center"/>
            </w:pPr>
            <w:r>
              <w:rPr>
                <w:rFonts w:ascii="Times New Roman" w:hAnsi="Times New Roman" w:eastAsia="宋体"/>
                <w:sz w:val="16"/>
                <w:szCs w:val="16"/>
              </w:rPr>
              <w:t>0.446</w:t>
            </w:r>
          </w:p>
        </w:tc>
        <w:tc>
          <w:tcPr>
            <w:tcW w:w="533" w:type="dxa"/>
            <w:tcBorders>
              <w:top w:val="nil"/>
              <w:left w:val="nil"/>
              <w:bottom w:val="nil"/>
              <w:right w:val="nil"/>
            </w:tcBorders>
            <w:tcMar>
              <w:top w:w="60" w:type="dxa"/>
              <w:left w:w="40" w:type="dxa"/>
              <w:bottom w:w="60" w:type="dxa"/>
              <w:right w:w="40" w:type="dxa"/>
            </w:tcMar>
          </w:tcPr>
          <w:p w14:paraId="3C3F3DD1">
            <w:pPr>
              <w:spacing w:line="260" w:lineRule="auto"/>
              <w:jc w:val="center"/>
            </w:pPr>
            <w:r>
              <w:rPr>
                <w:rFonts w:ascii="Times New Roman" w:hAnsi="Times New Roman" w:eastAsia="宋体"/>
                <w:sz w:val="16"/>
                <w:szCs w:val="16"/>
              </w:rPr>
              <w:t>0.610</w:t>
            </w:r>
          </w:p>
        </w:tc>
        <w:tc>
          <w:tcPr>
            <w:tcW w:w="533" w:type="dxa"/>
            <w:tcBorders>
              <w:top w:val="nil"/>
              <w:left w:val="nil"/>
              <w:bottom w:val="nil"/>
              <w:right w:val="nil"/>
            </w:tcBorders>
            <w:tcMar>
              <w:top w:w="60" w:type="dxa"/>
              <w:left w:w="40" w:type="dxa"/>
              <w:bottom w:w="60" w:type="dxa"/>
              <w:right w:w="40" w:type="dxa"/>
            </w:tcMar>
          </w:tcPr>
          <w:p w14:paraId="432012DC">
            <w:pPr>
              <w:spacing w:line="260" w:lineRule="auto"/>
              <w:jc w:val="center"/>
            </w:pPr>
            <w:r>
              <w:rPr>
                <w:rFonts w:ascii="Times New Roman" w:hAnsi="Times New Roman" w:eastAsia="宋体"/>
                <w:sz w:val="16"/>
                <w:szCs w:val="16"/>
              </w:rPr>
              <w:t>0.515</w:t>
            </w:r>
          </w:p>
        </w:tc>
        <w:tc>
          <w:tcPr>
            <w:tcW w:w="533" w:type="dxa"/>
            <w:tcBorders>
              <w:top w:val="nil"/>
              <w:left w:val="nil"/>
              <w:bottom w:val="nil"/>
              <w:right w:val="nil"/>
            </w:tcBorders>
            <w:tcMar>
              <w:top w:w="60" w:type="dxa"/>
              <w:left w:w="40" w:type="dxa"/>
              <w:bottom w:w="60" w:type="dxa"/>
              <w:right w:w="40" w:type="dxa"/>
            </w:tcMar>
          </w:tcPr>
          <w:p w14:paraId="33FF91B1">
            <w:pPr>
              <w:spacing w:line="260" w:lineRule="auto"/>
              <w:jc w:val="center"/>
            </w:pPr>
            <w:r>
              <w:rPr>
                <w:rFonts w:ascii="Times New Roman" w:hAnsi="Times New Roman" w:eastAsia="宋体"/>
                <w:sz w:val="16"/>
                <w:szCs w:val="16"/>
              </w:rPr>
              <w:t>0.635</w:t>
            </w:r>
          </w:p>
        </w:tc>
        <w:tc>
          <w:tcPr>
            <w:tcW w:w="533" w:type="dxa"/>
            <w:tcBorders>
              <w:top w:val="nil"/>
              <w:left w:val="nil"/>
              <w:bottom w:val="nil"/>
              <w:right w:val="nil"/>
            </w:tcBorders>
            <w:tcMar>
              <w:top w:w="60" w:type="dxa"/>
              <w:left w:w="40" w:type="dxa"/>
              <w:bottom w:w="60" w:type="dxa"/>
              <w:right w:w="40" w:type="dxa"/>
            </w:tcMar>
          </w:tcPr>
          <w:p w14:paraId="52327120">
            <w:pPr>
              <w:spacing w:line="260" w:lineRule="auto"/>
              <w:jc w:val="center"/>
            </w:pPr>
            <w:r>
              <w:rPr>
                <w:rFonts w:ascii="Times New Roman" w:hAnsi="Times New Roman" w:eastAsia="宋体"/>
                <w:sz w:val="16"/>
                <w:szCs w:val="16"/>
              </w:rPr>
              <w:t>0.582</w:t>
            </w:r>
          </w:p>
        </w:tc>
        <w:tc>
          <w:tcPr>
            <w:tcW w:w="533" w:type="dxa"/>
            <w:tcBorders>
              <w:top w:val="nil"/>
              <w:left w:val="nil"/>
              <w:bottom w:val="nil"/>
              <w:right w:val="nil"/>
            </w:tcBorders>
            <w:tcMar>
              <w:top w:w="60" w:type="dxa"/>
              <w:left w:w="40" w:type="dxa"/>
              <w:bottom w:w="60" w:type="dxa"/>
              <w:right w:w="40" w:type="dxa"/>
            </w:tcMar>
          </w:tcPr>
          <w:p w14:paraId="7CFE4EF5">
            <w:pPr>
              <w:spacing w:line="260" w:lineRule="auto"/>
              <w:jc w:val="center"/>
            </w:pPr>
            <w:r>
              <w:rPr>
                <w:rFonts w:ascii="Times New Roman" w:hAnsi="Times New Roman" w:eastAsia="宋体"/>
                <w:sz w:val="16"/>
                <w:szCs w:val="16"/>
              </w:rPr>
              <w:t>0.607</w:t>
            </w:r>
          </w:p>
        </w:tc>
      </w:tr>
      <w:tr w14:paraId="4A0FA123">
        <w:tc>
          <w:tcPr>
            <w:tcW w:w="1400" w:type="dxa"/>
            <w:tcBorders>
              <w:top w:val="nil"/>
              <w:left w:val="nil"/>
              <w:bottom w:val="nil"/>
              <w:right w:val="nil"/>
            </w:tcBorders>
            <w:tcMar>
              <w:top w:w="60" w:type="dxa"/>
              <w:left w:w="40" w:type="dxa"/>
              <w:bottom w:w="60" w:type="dxa"/>
              <w:right w:w="40" w:type="dxa"/>
            </w:tcMar>
          </w:tcPr>
          <w:p w14:paraId="0D896F78">
            <w:pPr>
              <w:spacing w:line="260" w:lineRule="auto"/>
              <w:jc w:val="left"/>
            </w:pPr>
            <w:r>
              <w:rPr>
                <w:rFonts w:ascii="Times New Roman" w:hAnsi="Times New Roman" w:eastAsia="宋体"/>
                <w:sz w:val="16"/>
                <w:szCs w:val="16"/>
              </w:rPr>
              <w:t>GPT-5.4 mini</w:t>
            </w:r>
          </w:p>
        </w:tc>
        <w:tc>
          <w:tcPr>
            <w:tcW w:w="533" w:type="dxa"/>
            <w:tcBorders>
              <w:top w:val="nil"/>
              <w:left w:val="nil"/>
              <w:bottom w:val="nil"/>
              <w:right w:val="nil"/>
            </w:tcBorders>
            <w:tcMar>
              <w:top w:w="60" w:type="dxa"/>
              <w:left w:w="40" w:type="dxa"/>
              <w:bottom w:w="60" w:type="dxa"/>
              <w:right w:w="40" w:type="dxa"/>
            </w:tcMar>
          </w:tcPr>
          <w:p w14:paraId="34845B08">
            <w:pPr>
              <w:spacing w:line="260" w:lineRule="auto"/>
              <w:jc w:val="center"/>
            </w:pPr>
            <w:r>
              <w:rPr>
                <w:rFonts w:ascii="Times New Roman" w:hAnsi="Times New Roman" w:eastAsia="宋体"/>
                <w:sz w:val="16"/>
                <w:szCs w:val="16"/>
              </w:rPr>
              <w:t>0.753</w:t>
            </w:r>
          </w:p>
        </w:tc>
        <w:tc>
          <w:tcPr>
            <w:tcW w:w="533" w:type="dxa"/>
            <w:tcBorders>
              <w:top w:val="nil"/>
              <w:left w:val="nil"/>
              <w:bottom w:val="nil"/>
              <w:right w:val="nil"/>
            </w:tcBorders>
            <w:tcMar>
              <w:top w:w="60" w:type="dxa"/>
              <w:left w:w="40" w:type="dxa"/>
              <w:bottom w:w="60" w:type="dxa"/>
              <w:right w:w="40" w:type="dxa"/>
            </w:tcMar>
          </w:tcPr>
          <w:p w14:paraId="725D5455">
            <w:pPr>
              <w:spacing w:line="260" w:lineRule="auto"/>
              <w:jc w:val="center"/>
            </w:pPr>
            <w:r>
              <w:rPr>
                <w:rFonts w:ascii="Times New Roman" w:hAnsi="Times New Roman" w:eastAsia="宋体"/>
                <w:sz w:val="16"/>
                <w:szCs w:val="16"/>
              </w:rPr>
              <w:t>0.785</w:t>
            </w:r>
          </w:p>
        </w:tc>
        <w:tc>
          <w:tcPr>
            <w:tcW w:w="533" w:type="dxa"/>
            <w:tcBorders>
              <w:top w:val="nil"/>
              <w:left w:val="nil"/>
              <w:bottom w:val="nil"/>
              <w:right w:val="nil"/>
            </w:tcBorders>
            <w:tcMar>
              <w:top w:w="60" w:type="dxa"/>
              <w:left w:w="40" w:type="dxa"/>
              <w:bottom w:w="60" w:type="dxa"/>
              <w:right w:w="40" w:type="dxa"/>
            </w:tcMar>
          </w:tcPr>
          <w:p w14:paraId="3719DDC4">
            <w:pPr>
              <w:spacing w:line="260" w:lineRule="auto"/>
              <w:jc w:val="center"/>
            </w:pPr>
            <w:r>
              <w:rPr>
                <w:rFonts w:ascii="Times New Roman" w:hAnsi="Times New Roman" w:eastAsia="宋体"/>
                <w:sz w:val="16"/>
                <w:szCs w:val="16"/>
              </w:rPr>
              <w:t>0.769</w:t>
            </w:r>
          </w:p>
        </w:tc>
        <w:tc>
          <w:tcPr>
            <w:tcW w:w="533" w:type="dxa"/>
            <w:tcBorders>
              <w:top w:val="nil"/>
              <w:left w:val="nil"/>
              <w:bottom w:val="nil"/>
              <w:right w:val="nil"/>
            </w:tcBorders>
            <w:tcMar>
              <w:top w:w="60" w:type="dxa"/>
              <w:left w:w="40" w:type="dxa"/>
              <w:bottom w:w="60" w:type="dxa"/>
              <w:right w:w="40" w:type="dxa"/>
            </w:tcMar>
          </w:tcPr>
          <w:p w14:paraId="700143D4">
            <w:pPr>
              <w:spacing w:line="260" w:lineRule="auto"/>
              <w:jc w:val="center"/>
            </w:pPr>
            <w:r>
              <w:rPr>
                <w:rFonts w:ascii="Times New Roman" w:hAnsi="Times New Roman" w:eastAsia="宋体"/>
                <w:sz w:val="16"/>
                <w:szCs w:val="16"/>
              </w:rPr>
              <w:t>0.857</w:t>
            </w:r>
          </w:p>
        </w:tc>
        <w:tc>
          <w:tcPr>
            <w:tcW w:w="533" w:type="dxa"/>
            <w:tcBorders>
              <w:top w:val="nil"/>
              <w:left w:val="nil"/>
              <w:bottom w:val="nil"/>
              <w:right w:val="nil"/>
            </w:tcBorders>
            <w:tcMar>
              <w:top w:w="60" w:type="dxa"/>
              <w:left w:w="40" w:type="dxa"/>
              <w:bottom w:w="60" w:type="dxa"/>
              <w:right w:w="40" w:type="dxa"/>
            </w:tcMar>
          </w:tcPr>
          <w:p w14:paraId="52F6DB9E">
            <w:pPr>
              <w:spacing w:line="260" w:lineRule="auto"/>
              <w:jc w:val="center"/>
            </w:pPr>
            <w:r>
              <w:rPr>
                <w:rFonts w:ascii="Times New Roman" w:hAnsi="Times New Roman" w:eastAsia="宋体"/>
                <w:sz w:val="16"/>
                <w:szCs w:val="16"/>
              </w:rPr>
              <w:t>0.786</w:t>
            </w:r>
          </w:p>
        </w:tc>
        <w:tc>
          <w:tcPr>
            <w:tcW w:w="533" w:type="dxa"/>
            <w:tcBorders>
              <w:top w:val="nil"/>
              <w:left w:val="nil"/>
              <w:bottom w:val="nil"/>
              <w:right w:val="nil"/>
            </w:tcBorders>
            <w:tcMar>
              <w:top w:w="60" w:type="dxa"/>
              <w:left w:w="40" w:type="dxa"/>
              <w:bottom w:w="60" w:type="dxa"/>
              <w:right w:w="40" w:type="dxa"/>
            </w:tcMar>
          </w:tcPr>
          <w:p w14:paraId="5E71AD76">
            <w:pPr>
              <w:spacing w:line="260" w:lineRule="auto"/>
              <w:jc w:val="center"/>
            </w:pPr>
            <w:r>
              <w:rPr>
                <w:rFonts w:ascii="Times New Roman" w:hAnsi="Times New Roman" w:eastAsia="宋体"/>
                <w:sz w:val="16"/>
                <w:szCs w:val="16"/>
              </w:rPr>
              <w:t>0.820</w:t>
            </w:r>
          </w:p>
        </w:tc>
        <w:tc>
          <w:tcPr>
            <w:tcW w:w="533" w:type="dxa"/>
            <w:tcBorders>
              <w:top w:val="nil"/>
              <w:left w:val="nil"/>
              <w:bottom w:val="nil"/>
              <w:right w:val="nil"/>
            </w:tcBorders>
            <w:tcMar>
              <w:top w:w="60" w:type="dxa"/>
              <w:left w:w="40" w:type="dxa"/>
              <w:bottom w:w="60" w:type="dxa"/>
              <w:right w:w="40" w:type="dxa"/>
            </w:tcMar>
          </w:tcPr>
          <w:p w14:paraId="2E318FE1">
            <w:pPr>
              <w:spacing w:line="260" w:lineRule="auto"/>
              <w:jc w:val="center"/>
            </w:pPr>
            <w:r>
              <w:rPr>
                <w:rFonts w:ascii="Times New Roman" w:hAnsi="Times New Roman" w:eastAsia="宋体"/>
                <w:sz w:val="16"/>
                <w:szCs w:val="16"/>
              </w:rPr>
              <w:t>0.601</w:t>
            </w:r>
          </w:p>
        </w:tc>
        <w:tc>
          <w:tcPr>
            <w:tcW w:w="533" w:type="dxa"/>
            <w:tcBorders>
              <w:top w:val="nil"/>
              <w:left w:val="nil"/>
              <w:bottom w:val="nil"/>
              <w:right w:val="nil"/>
            </w:tcBorders>
            <w:tcMar>
              <w:top w:w="60" w:type="dxa"/>
              <w:left w:w="40" w:type="dxa"/>
              <w:bottom w:w="60" w:type="dxa"/>
              <w:right w:w="40" w:type="dxa"/>
            </w:tcMar>
          </w:tcPr>
          <w:p w14:paraId="2225B235">
            <w:pPr>
              <w:spacing w:line="260" w:lineRule="auto"/>
              <w:jc w:val="center"/>
            </w:pPr>
            <w:r>
              <w:rPr>
                <w:rFonts w:ascii="Times New Roman" w:hAnsi="Times New Roman" w:eastAsia="宋体"/>
                <w:sz w:val="16"/>
                <w:szCs w:val="16"/>
              </w:rPr>
              <w:t>0.529</w:t>
            </w:r>
          </w:p>
        </w:tc>
        <w:tc>
          <w:tcPr>
            <w:tcW w:w="533" w:type="dxa"/>
            <w:tcBorders>
              <w:top w:val="nil"/>
              <w:left w:val="nil"/>
              <w:bottom w:val="nil"/>
              <w:right w:val="nil"/>
            </w:tcBorders>
            <w:tcMar>
              <w:top w:w="60" w:type="dxa"/>
              <w:left w:w="40" w:type="dxa"/>
              <w:bottom w:w="60" w:type="dxa"/>
              <w:right w:w="40" w:type="dxa"/>
            </w:tcMar>
          </w:tcPr>
          <w:p w14:paraId="29D41CCF">
            <w:pPr>
              <w:spacing w:line="260" w:lineRule="auto"/>
              <w:jc w:val="center"/>
            </w:pPr>
            <w:r>
              <w:rPr>
                <w:rFonts w:ascii="Times New Roman" w:hAnsi="Times New Roman" w:eastAsia="宋体"/>
                <w:sz w:val="16"/>
                <w:szCs w:val="16"/>
              </w:rPr>
              <w:t>0.563</w:t>
            </w:r>
          </w:p>
        </w:tc>
        <w:tc>
          <w:tcPr>
            <w:tcW w:w="533" w:type="dxa"/>
            <w:tcBorders>
              <w:top w:val="nil"/>
              <w:left w:val="nil"/>
              <w:bottom w:val="nil"/>
              <w:right w:val="nil"/>
            </w:tcBorders>
            <w:tcMar>
              <w:top w:w="60" w:type="dxa"/>
              <w:left w:w="40" w:type="dxa"/>
              <w:bottom w:w="60" w:type="dxa"/>
              <w:right w:w="40" w:type="dxa"/>
            </w:tcMar>
          </w:tcPr>
          <w:p w14:paraId="5198A321">
            <w:pPr>
              <w:spacing w:line="260" w:lineRule="auto"/>
              <w:jc w:val="center"/>
            </w:pPr>
            <w:r>
              <w:rPr>
                <w:rFonts w:ascii="Times New Roman" w:hAnsi="Times New Roman" w:eastAsia="宋体"/>
                <w:sz w:val="16"/>
                <w:szCs w:val="16"/>
              </w:rPr>
              <w:t>0.397</w:t>
            </w:r>
          </w:p>
        </w:tc>
        <w:tc>
          <w:tcPr>
            <w:tcW w:w="533" w:type="dxa"/>
            <w:tcBorders>
              <w:top w:val="nil"/>
              <w:left w:val="nil"/>
              <w:bottom w:val="nil"/>
              <w:right w:val="nil"/>
            </w:tcBorders>
            <w:tcMar>
              <w:top w:w="60" w:type="dxa"/>
              <w:left w:w="40" w:type="dxa"/>
              <w:bottom w:w="60" w:type="dxa"/>
              <w:right w:w="40" w:type="dxa"/>
            </w:tcMar>
          </w:tcPr>
          <w:p w14:paraId="3A7A35B5">
            <w:pPr>
              <w:spacing w:line="260" w:lineRule="auto"/>
              <w:jc w:val="center"/>
            </w:pPr>
            <w:r>
              <w:rPr>
                <w:rFonts w:ascii="Times New Roman" w:hAnsi="Times New Roman" w:eastAsia="宋体"/>
                <w:sz w:val="16"/>
                <w:szCs w:val="16"/>
              </w:rPr>
              <w:t>0.543</w:t>
            </w:r>
          </w:p>
        </w:tc>
        <w:tc>
          <w:tcPr>
            <w:tcW w:w="533" w:type="dxa"/>
            <w:tcBorders>
              <w:top w:val="nil"/>
              <w:left w:val="nil"/>
              <w:bottom w:val="nil"/>
              <w:right w:val="nil"/>
            </w:tcBorders>
            <w:tcMar>
              <w:top w:w="60" w:type="dxa"/>
              <w:left w:w="40" w:type="dxa"/>
              <w:bottom w:w="60" w:type="dxa"/>
              <w:right w:w="40" w:type="dxa"/>
            </w:tcMar>
          </w:tcPr>
          <w:p w14:paraId="327726DF">
            <w:pPr>
              <w:spacing w:line="260" w:lineRule="auto"/>
              <w:jc w:val="center"/>
            </w:pPr>
            <w:r>
              <w:rPr>
                <w:rFonts w:ascii="Times New Roman" w:hAnsi="Times New Roman" w:eastAsia="宋体"/>
                <w:sz w:val="16"/>
                <w:szCs w:val="16"/>
              </w:rPr>
              <w:t>0.459</w:t>
            </w:r>
          </w:p>
        </w:tc>
        <w:tc>
          <w:tcPr>
            <w:tcW w:w="533" w:type="dxa"/>
            <w:tcBorders>
              <w:top w:val="nil"/>
              <w:left w:val="nil"/>
              <w:bottom w:val="nil"/>
              <w:right w:val="nil"/>
            </w:tcBorders>
            <w:tcMar>
              <w:top w:w="60" w:type="dxa"/>
              <w:left w:w="40" w:type="dxa"/>
              <w:bottom w:w="60" w:type="dxa"/>
              <w:right w:w="40" w:type="dxa"/>
            </w:tcMar>
          </w:tcPr>
          <w:p w14:paraId="660FEE7D">
            <w:pPr>
              <w:spacing w:line="260" w:lineRule="auto"/>
              <w:jc w:val="center"/>
            </w:pPr>
            <w:r>
              <w:rPr>
                <w:rFonts w:ascii="Times New Roman" w:hAnsi="Times New Roman" w:eastAsia="宋体"/>
                <w:sz w:val="16"/>
                <w:szCs w:val="16"/>
              </w:rPr>
              <w:t>0.647</w:t>
            </w:r>
          </w:p>
        </w:tc>
        <w:tc>
          <w:tcPr>
            <w:tcW w:w="533" w:type="dxa"/>
            <w:tcBorders>
              <w:top w:val="nil"/>
              <w:left w:val="nil"/>
              <w:bottom w:val="nil"/>
              <w:right w:val="nil"/>
            </w:tcBorders>
            <w:tcMar>
              <w:top w:w="60" w:type="dxa"/>
              <w:left w:w="40" w:type="dxa"/>
              <w:bottom w:w="60" w:type="dxa"/>
              <w:right w:w="40" w:type="dxa"/>
            </w:tcMar>
          </w:tcPr>
          <w:p w14:paraId="6A13A5C5">
            <w:pPr>
              <w:spacing w:line="260" w:lineRule="auto"/>
              <w:jc w:val="center"/>
            </w:pPr>
            <w:r>
              <w:rPr>
                <w:rFonts w:ascii="Times New Roman" w:hAnsi="Times New Roman" w:eastAsia="宋体"/>
                <w:sz w:val="16"/>
                <w:szCs w:val="16"/>
              </w:rPr>
              <w:t>0.594</w:t>
            </w:r>
          </w:p>
        </w:tc>
        <w:tc>
          <w:tcPr>
            <w:tcW w:w="533" w:type="dxa"/>
            <w:tcBorders>
              <w:top w:val="nil"/>
              <w:left w:val="nil"/>
              <w:bottom w:val="nil"/>
              <w:right w:val="nil"/>
            </w:tcBorders>
            <w:tcMar>
              <w:top w:w="60" w:type="dxa"/>
              <w:left w:w="40" w:type="dxa"/>
              <w:bottom w:w="60" w:type="dxa"/>
              <w:right w:w="40" w:type="dxa"/>
            </w:tcMar>
          </w:tcPr>
          <w:p w14:paraId="4432BCE0">
            <w:pPr>
              <w:spacing w:line="260" w:lineRule="auto"/>
              <w:jc w:val="center"/>
            </w:pPr>
            <w:r>
              <w:rPr>
                <w:rFonts w:ascii="Times New Roman" w:hAnsi="Times New Roman" w:eastAsia="宋体"/>
                <w:sz w:val="16"/>
                <w:szCs w:val="16"/>
              </w:rPr>
              <w:t>0.620</w:t>
            </w:r>
          </w:p>
        </w:tc>
      </w:tr>
      <w:tr w14:paraId="3F4CAAA0">
        <w:tc>
          <w:tcPr>
            <w:tcW w:w="1400" w:type="dxa"/>
            <w:tcBorders>
              <w:top w:val="nil"/>
              <w:left w:val="nil"/>
              <w:bottom w:val="nil"/>
              <w:right w:val="nil"/>
            </w:tcBorders>
            <w:tcMar>
              <w:top w:w="60" w:type="dxa"/>
              <w:left w:w="40" w:type="dxa"/>
              <w:bottom w:w="60" w:type="dxa"/>
              <w:right w:w="40" w:type="dxa"/>
            </w:tcMar>
          </w:tcPr>
          <w:p w14:paraId="149C77F9">
            <w:pPr>
              <w:spacing w:line="260" w:lineRule="auto"/>
              <w:jc w:val="left"/>
            </w:pPr>
            <w:r>
              <w:rPr>
                <w:rFonts w:ascii="Times New Roman" w:hAnsi="Times New Roman" w:eastAsia="宋体"/>
                <w:sz w:val="16"/>
                <w:szCs w:val="16"/>
              </w:rPr>
              <w:t>Claude Haiku 4.5</w:t>
            </w:r>
          </w:p>
        </w:tc>
        <w:tc>
          <w:tcPr>
            <w:tcW w:w="533" w:type="dxa"/>
            <w:tcBorders>
              <w:top w:val="nil"/>
              <w:left w:val="nil"/>
              <w:bottom w:val="nil"/>
              <w:right w:val="nil"/>
            </w:tcBorders>
            <w:tcMar>
              <w:top w:w="60" w:type="dxa"/>
              <w:left w:w="40" w:type="dxa"/>
              <w:bottom w:w="60" w:type="dxa"/>
              <w:right w:w="40" w:type="dxa"/>
            </w:tcMar>
          </w:tcPr>
          <w:p w14:paraId="33828179">
            <w:pPr>
              <w:spacing w:line="260" w:lineRule="auto"/>
              <w:jc w:val="center"/>
            </w:pPr>
            <w:r>
              <w:rPr>
                <w:rFonts w:ascii="Times New Roman" w:hAnsi="Times New Roman" w:eastAsia="宋体"/>
                <w:sz w:val="16"/>
                <w:szCs w:val="16"/>
              </w:rPr>
              <w:t>0.658</w:t>
            </w:r>
          </w:p>
        </w:tc>
        <w:tc>
          <w:tcPr>
            <w:tcW w:w="533" w:type="dxa"/>
            <w:tcBorders>
              <w:top w:val="nil"/>
              <w:left w:val="nil"/>
              <w:bottom w:val="nil"/>
              <w:right w:val="nil"/>
            </w:tcBorders>
            <w:tcMar>
              <w:top w:w="60" w:type="dxa"/>
              <w:left w:w="40" w:type="dxa"/>
              <w:bottom w:w="60" w:type="dxa"/>
              <w:right w:w="40" w:type="dxa"/>
            </w:tcMar>
          </w:tcPr>
          <w:p w14:paraId="585C2B3F">
            <w:pPr>
              <w:spacing w:line="260" w:lineRule="auto"/>
              <w:jc w:val="center"/>
            </w:pPr>
            <w:r>
              <w:rPr>
                <w:rFonts w:ascii="Times New Roman" w:hAnsi="Times New Roman" w:eastAsia="宋体"/>
                <w:sz w:val="16"/>
                <w:szCs w:val="16"/>
              </w:rPr>
              <w:t>0.653</w:t>
            </w:r>
          </w:p>
        </w:tc>
        <w:tc>
          <w:tcPr>
            <w:tcW w:w="533" w:type="dxa"/>
            <w:tcBorders>
              <w:top w:val="nil"/>
              <w:left w:val="nil"/>
              <w:bottom w:val="nil"/>
              <w:right w:val="nil"/>
            </w:tcBorders>
            <w:tcMar>
              <w:top w:w="60" w:type="dxa"/>
              <w:left w:w="40" w:type="dxa"/>
              <w:bottom w:w="60" w:type="dxa"/>
              <w:right w:w="40" w:type="dxa"/>
            </w:tcMar>
          </w:tcPr>
          <w:p w14:paraId="462F7577">
            <w:pPr>
              <w:spacing w:line="260" w:lineRule="auto"/>
              <w:jc w:val="center"/>
            </w:pPr>
            <w:r>
              <w:rPr>
                <w:rFonts w:ascii="Times New Roman" w:hAnsi="Times New Roman" w:eastAsia="宋体"/>
                <w:sz w:val="16"/>
                <w:szCs w:val="16"/>
              </w:rPr>
              <w:t>0.656</w:t>
            </w:r>
          </w:p>
        </w:tc>
        <w:tc>
          <w:tcPr>
            <w:tcW w:w="533" w:type="dxa"/>
            <w:tcBorders>
              <w:top w:val="nil"/>
              <w:left w:val="nil"/>
              <w:bottom w:val="nil"/>
              <w:right w:val="nil"/>
            </w:tcBorders>
            <w:tcMar>
              <w:top w:w="60" w:type="dxa"/>
              <w:left w:w="40" w:type="dxa"/>
              <w:bottom w:w="60" w:type="dxa"/>
              <w:right w:w="40" w:type="dxa"/>
            </w:tcMar>
          </w:tcPr>
          <w:p w14:paraId="66FD68F1">
            <w:pPr>
              <w:spacing w:line="260" w:lineRule="auto"/>
              <w:jc w:val="center"/>
            </w:pPr>
            <w:r>
              <w:rPr>
                <w:rFonts w:ascii="Times New Roman" w:hAnsi="Times New Roman" w:eastAsia="宋体"/>
                <w:sz w:val="16"/>
                <w:szCs w:val="16"/>
              </w:rPr>
              <w:t>0.851</w:t>
            </w:r>
          </w:p>
        </w:tc>
        <w:tc>
          <w:tcPr>
            <w:tcW w:w="533" w:type="dxa"/>
            <w:tcBorders>
              <w:top w:val="nil"/>
              <w:left w:val="nil"/>
              <w:bottom w:val="nil"/>
              <w:right w:val="nil"/>
            </w:tcBorders>
            <w:tcMar>
              <w:top w:w="60" w:type="dxa"/>
              <w:left w:w="40" w:type="dxa"/>
              <w:bottom w:w="60" w:type="dxa"/>
              <w:right w:w="40" w:type="dxa"/>
            </w:tcMar>
          </w:tcPr>
          <w:p w14:paraId="7B9675B6">
            <w:pPr>
              <w:spacing w:line="260" w:lineRule="auto"/>
              <w:jc w:val="center"/>
            </w:pPr>
            <w:r>
              <w:rPr>
                <w:rFonts w:ascii="Times New Roman" w:hAnsi="Times New Roman" w:eastAsia="宋体"/>
                <w:sz w:val="16"/>
                <w:szCs w:val="16"/>
              </w:rPr>
              <w:t>0.780</w:t>
            </w:r>
          </w:p>
        </w:tc>
        <w:tc>
          <w:tcPr>
            <w:tcW w:w="533" w:type="dxa"/>
            <w:tcBorders>
              <w:top w:val="nil"/>
              <w:left w:val="nil"/>
              <w:bottom w:val="nil"/>
              <w:right w:val="nil"/>
            </w:tcBorders>
            <w:tcMar>
              <w:top w:w="60" w:type="dxa"/>
              <w:left w:w="40" w:type="dxa"/>
              <w:bottom w:w="60" w:type="dxa"/>
              <w:right w:w="40" w:type="dxa"/>
            </w:tcMar>
          </w:tcPr>
          <w:p w14:paraId="111ABE3A">
            <w:pPr>
              <w:spacing w:line="260" w:lineRule="auto"/>
              <w:jc w:val="center"/>
            </w:pPr>
            <w:r>
              <w:rPr>
                <w:rFonts w:ascii="Times New Roman" w:hAnsi="Times New Roman" w:eastAsia="宋体"/>
                <w:sz w:val="16"/>
                <w:szCs w:val="16"/>
              </w:rPr>
              <w:t>0.814</w:t>
            </w:r>
          </w:p>
        </w:tc>
        <w:tc>
          <w:tcPr>
            <w:tcW w:w="533" w:type="dxa"/>
            <w:tcBorders>
              <w:top w:val="nil"/>
              <w:left w:val="nil"/>
              <w:bottom w:val="nil"/>
              <w:right w:val="nil"/>
            </w:tcBorders>
            <w:tcMar>
              <w:top w:w="60" w:type="dxa"/>
              <w:left w:w="40" w:type="dxa"/>
              <w:bottom w:w="60" w:type="dxa"/>
              <w:right w:w="40" w:type="dxa"/>
            </w:tcMar>
          </w:tcPr>
          <w:p w14:paraId="538132E3">
            <w:pPr>
              <w:spacing w:line="260" w:lineRule="auto"/>
              <w:jc w:val="center"/>
            </w:pPr>
            <w:r>
              <w:rPr>
                <w:rFonts w:ascii="Times New Roman" w:hAnsi="Times New Roman" w:eastAsia="宋体"/>
                <w:sz w:val="16"/>
                <w:szCs w:val="16"/>
              </w:rPr>
              <w:t>0.643</w:t>
            </w:r>
          </w:p>
        </w:tc>
        <w:tc>
          <w:tcPr>
            <w:tcW w:w="533" w:type="dxa"/>
            <w:tcBorders>
              <w:top w:val="nil"/>
              <w:left w:val="nil"/>
              <w:bottom w:val="nil"/>
              <w:right w:val="nil"/>
            </w:tcBorders>
            <w:tcMar>
              <w:top w:w="60" w:type="dxa"/>
              <w:left w:w="40" w:type="dxa"/>
              <w:bottom w:w="60" w:type="dxa"/>
              <w:right w:w="40" w:type="dxa"/>
            </w:tcMar>
          </w:tcPr>
          <w:p w14:paraId="181E6EAB">
            <w:pPr>
              <w:spacing w:line="260" w:lineRule="auto"/>
              <w:jc w:val="center"/>
            </w:pPr>
            <w:r>
              <w:rPr>
                <w:rFonts w:ascii="Times New Roman" w:hAnsi="Times New Roman" w:eastAsia="宋体"/>
                <w:sz w:val="16"/>
                <w:szCs w:val="16"/>
              </w:rPr>
              <w:t>0.536</w:t>
            </w:r>
          </w:p>
        </w:tc>
        <w:tc>
          <w:tcPr>
            <w:tcW w:w="533" w:type="dxa"/>
            <w:tcBorders>
              <w:top w:val="nil"/>
              <w:left w:val="nil"/>
              <w:bottom w:val="nil"/>
              <w:right w:val="nil"/>
            </w:tcBorders>
            <w:tcMar>
              <w:top w:w="60" w:type="dxa"/>
              <w:left w:w="40" w:type="dxa"/>
              <w:bottom w:w="60" w:type="dxa"/>
              <w:right w:w="40" w:type="dxa"/>
            </w:tcMar>
          </w:tcPr>
          <w:p w14:paraId="1369357B">
            <w:pPr>
              <w:spacing w:line="260" w:lineRule="auto"/>
              <w:jc w:val="center"/>
            </w:pPr>
            <w:r>
              <w:rPr>
                <w:rFonts w:ascii="Times New Roman" w:hAnsi="Times New Roman" w:eastAsia="宋体"/>
                <w:sz w:val="16"/>
                <w:szCs w:val="16"/>
              </w:rPr>
              <w:t>0.584</w:t>
            </w:r>
          </w:p>
        </w:tc>
        <w:tc>
          <w:tcPr>
            <w:tcW w:w="533" w:type="dxa"/>
            <w:tcBorders>
              <w:top w:val="nil"/>
              <w:left w:val="nil"/>
              <w:bottom w:val="nil"/>
              <w:right w:val="nil"/>
            </w:tcBorders>
            <w:tcMar>
              <w:top w:w="60" w:type="dxa"/>
              <w:left w:w="40" w:type="dxa"/>
              <w:bottom w:w="60" w:type="dxa"/>
              <w:right w:w="40" w:type="dxa"/>
            </w:tcMar>
          </w:tcPr>
          <w:p w14:paraId="4DA9E438">
            <w:pPr>
              <w:spacing w:line="260" w:lineRule="auto"/>
              <w:jc w:val="center"/>
            </w:pPr>
            <w:r>
              <w:rPr>
                <w:rFonts w:ascii="Times New Roman" w:hAnsi="Times New Roman" w:eastAsia="宋体"/>
                <w:sz w:val="16"/>
                <w:szCs w:val="16"/>
              </w:rPr>
              <w:t>0.492</w:t>
            </w:r>
          </w:p>
        </w:tc>
        <w:tc>
          <w:tcPr>
            <w:tcW w:w="533" w:type="dxa"/>
            <w:tcBorders>
              <w:top w:val="nil"/>
              <w:left w:val="nil"/>
              <w:bottom w:val="nil"/>
              <w:right w:val="nil"/>
            </w:tcBorders>
            <w:tcMar>
              <w:top w:w="60" w:type="dxa"/>
              <w:left w:w="40" w:type="dxa"/>
              <w:bottom w:w="60" w:type="dxa"/>
              <w:right w:w="40" w:type="dxa"/>
            </w:tcMar>
          </w:tcPr>
          <w:p w14:paraId="0763C6FC">
            <w:pPr>
              <w:spacing w:line="260" w:lineRule="auto"/>
              <w:jc w:val="center"/>
            </w:pPr>
            <w:r>
              <w:rPr>
                <w:rFonts w:ascii="Times New Roman" w:hAnsi="Times New Roman" w:eastAsia="宋体"/>
                <w:sz w:val="16"/>
                <w:szCs w:val="16"/>
              </w:rPr>
              <w:t>0.608</w:t>
            </w:r>
          </w:p>
        </w:tc>
        <w:tc>
          <w:tcPr>
            <w:tcW w:w="533" w:type="dxa"/>
            <w:tcBorders>
              <w:top w:val="nil"/>
              <w:left w:val="nil"/>
              <w:bottom w:val="nil"/>
              <w:right w:val="nil"/>
            </w:tcBorders>
            <w:tcMar>
              <w:top w:w="60" w:type="dxa"/>
              <w:left w:w="40" w:type="dxa"/>
              <w:bottom w:w="60" w:type="dxa"/>
              <w:right w:w="40" w:type="dxa"/>
            </w:tcMar>
          </w:tcPr>
          <w:p w14:paraId="454E73AC">
            <w:pPr>
              <w:spacing w:line="260" w:lineRule="auto"/>
              <w:jc w:val="center"/>
            </w:pPr>
            <w:r>
              <w:rPr>
                <w:rFonts w:ascii="Times New Roman" w:hAnsi="Times New Roman" w:eastAsia="宋体"/>
                <w:sz w:val="16"/>
                <w:szCs w:val="16"/>
              </w:rPr>
              <w:t>0.544</w:t>
            </w:r>
          </w:p>
        </w:tc>
        <w:tc>
          <w:tcPr>
            <w:tcW w:w="533" w:type="dxa"/>
            <w:tcBorders>
              <w:top w:val="nil"/>
              <w:left w:val="nil"/>
              <w:bottom w:val="nil"/>
              <w:right w:val="nil"/>
            </w:tcBorders>
            <w:tcMar>
              <w:top w:w="60" w:type="dxa"/>
              <w:left w:w="40" w:type="dxa"/>
              <w:bottom w:w="60" w:type="dxa"/>
              <w:right w:w="40" w:type="dxa"/>
            </w:tcMar>
          </w:tcPr>
          <w:p w14:paraId="7F6D2855">
            <w:pPr>
              <w:spacing w:line="260" w:lineRule="auto"/>
              <w:jc w:val="center"/>
            </w:pPr>
            <w:r>
              <w:rPr>
                <w:rFonts w:ascii="Times New Roman" w:hAnsi="Times New Roman" w:eastAsia="宋体"/>
                <w:sz w:val="16"/>
                <w:szCs w:val="16"/>
              </w:rPr>
              <w:t>0.665</w:t>
            </w:r>
          </w:p>
        </w:tc>
        <w:tc>
          <w:tcPr>
            <w:tcW w:w="533" w:type="dxa"/>
            <w:tcBorders>
              <w:top w:val="nil"/>
              <w:left w:val="nil"/>
              <w:bottom w:val="nil"/>
              <w:right w:val="nil"/>
            </w:tcBorders>
            <w:tcMar>
              <w:top w:w="60" w:type="dxa"/>
              <w:left w:w="40" w:type="dxa"/>
              <w:bottom w:w="60" w:type="dxa"/>
              <w:right w:w="40" w:type="dxa"/>
            </w:tcMar>
          </w:tcPr>
          <w:p w14:paraId="4B9467F0">
            <w:pPr>
              <w:spacing w:line="260" w:lineRule="auto"/>
              <w:jc w:val="center"/>
            </w:pPr>
            <w:r>
              <w:rPr>
                <w:rFonts w:ascii="Times New Roman" w:hAnsi="Times New Roman" w:eastAsia="宋体"/>
                <w:sz w:val="16"/>
                <w:szCs w:val="16"/>
              </w:rPr>
              <w:t>0.610</w:t>
            </w:r>
          </w:p>
        </w:tc>
        <w:tc>
          <w:tcPr>
            <w:tcW w:w="533" w:type="dxa"/>
            <w:tcBorders>
              <w:top w:val="nil"/>
              <w:left w:val="nil"/>
              <w:bottom w:val="nil"/>
              <w:right w:val="nil"/>
            </w:tcBorders>
            <w:tcMar>
              <w:top w:w="60" w:type="dxa"/>
              <w:left w:w="40" w:type="dxa"/>
              <w:bottom w:w="60" w:type="dxa"/>
              <w:right w:w="40" w:type="dxa"/>
            </w:tcMar>
          </w:tcPr>
          <w:p w14:paraId="7506BBD3">
            <w:pPr>
              <w:spacing w:line="260" w:lineRule="auto"/>
              <w:jc w:val="center"/>
            </w:pPr>
            <w:r>
              <w:rPr>
                <w:rFonts w:ascii="Times New Roman" w:hAnsi="Times New Roman" w:eastAsia="宋体"/>
                <w:sz w:val="16"/>
                <w:szCs w:val="16"/>
              </w:rPr>
              <w:t>0.637</w:t>
            </w:r>
          </w:p>
        </w:tc>
      </w:tr>
      <w:tr w14:paraId="4A5D1339">
        <w:tc>
          <w:tcPr>
            <w:tcW w:w="1400" w:type="dxa"/>
            <w:tcBorders>
              <w:top w:val="nil"/>
              <w:left w:val="nil"/>
              <w:bottom w:val="nil"/>
              <w:right w:val="nil"/>
            </w:tcBorders>
            <w:tcMar>
              <w:top w:w="60" w:type="dxa"/>
              <w:left w:w="40" w:type="dxa"/>
              <w:bottom w:w="60" w:type="dxa"/>
              <w:right w:w="40" w:type="dxa"/>
            </w:tcMar>
          </w:tcPr>
          <w:p w14:paraId="3AF276CA">
            <w:pPr>
              <w:spacing w:line="260" w:lineRule="auto"/>
              <w:jc w:val="left"/>
            </w:pPr>
            <w:r>
              <w:rPr>
                <w:rFonts w:ascii="Times New Roman" w:hAnsi="Times New Roman" w:eastAsia="宋体"/>
                <w:sz w:val="16"/>
                <w:szCs w:val="16"/>
              </w:rPr>
              <w:t>Qwen3.6 Plus</w:t>
            </w:r>
          </w:p>
        </w:tc>
        <w:tc>
          <w:tcPr>
            <w:tcW w:w="533" w:type="dxa"/>
            <w:tcBorders>
              <w:top w:val="nil"/>
              <w:left w:val="nil"/>
              <w:bottom w:val="nil"/>
              <w:right w:val="nil"/>
            </w:tcBorders>
            <w:tcMar>
              <w:top w:w="60" w:type="dxa"/>
              <w:left w:w="40" w:type="dxa"/>
              <w:bottom w:w="60" w:type="dxa"/>
              <w:right w:w="40" w:type="dxa"/>
            </w:tcMar>
          </w:tcPr>
          <w:p w14:paraId="564018CC">
            <w:pPr>
              <w:spacing w:line="260" w:lineRule="auto"/>
              <w:jc w:val="center"/>
            </w:pPr>
            <w:r>
              <w:rPr>
                <w:rFonts w:ascii="Times New Roman" w:hAnsi="Times New Roman" w:eastAsia="宋体"/>
                <w:sz w:val="16"/>
                <w:szCs w:val="16"/>
              </w:rPr>
              <w:t>0.855</w:t>
            </w:r>
          </w:p>
        </w:tc>
        <w:tc>
          <w:tcPr>
            <w:tcW w:w="533" w:type="dxa"/>
            <w:tcBorders>
              <w:top w:val="nil"/>
              <w:left w:val="nil"/>
              <w:bottom w:val="nil"/>
              <w:right w:val="nil"/>
            </w:tcBorders>
            <w:tcMar>
              <w:top w:w="60" w:type="dxa"/>
              <w:left w:w="40" w:type="dxa"/>
              <w:bottom w:w="60" w:type="dxa"/>
              <w:right w:w="40" w:type="dxa"/>
            </w:tcMar>
          </w:tcPr>
          <w:p w14:paraId="4F7B9BE5">
            <w:pPr>
              <w:spacing w:line="260" w:lineRule="auto"/>
              <w:jc w:val="center"/>
            </w:pPr>
            <w:r>
              <w:rPr>
                <w:rFonts w:ascii="Times New Roman" w:hAnsi="Times New Roman" w:eastAsia="宋体"/>
                <w:sz w:val="16"/>
                <w:szCs w:val="16"/>
              </w:rPr>
              <w:t>0.532</w:t>
            </w:r>
          </w:p>
        </w:tc>
        <w:tc>
          <w:tcPr>
            <w:tcW w:w="533" w:type="dxa"/>
            <w:tcBorders>
              <w:top w:val="nil"/>
              <w:left w:val="nil"/>
              <w:bottom w:val="nil"/>
              <w:right w:val="nil"/>
            </w:tcBorders>
            <w:tcMar>
              <w:top w:w="60" w:type="dxa"/>
              <w:left w:w="40" w:type="dxa"/>
              <w:bottom w:w="60" w:type="dxa"/>
              <w:right w:w="40" w:type="dxa"/>
            </w:tcMar>
          </w:tcPr>
          <w:p w14:paraId="116CB707">
            <w:pPr>
              <w:spacing w:line="260" w:lineRule="auto"/>
              <w:jc w:val="center"/>
            </w:pPr>
            <w:r>
              <w:rPr>
                <w:rFonts w:ascii="Times New Roman" w:hAnsi="Times New Roman" w:eastAsia="宋体"/>
                <w:sz w:val="16"/>
                <w:szCs w:val="16"/>
              </w:rPr>
              <w:t>0.656</w:t>
            </w:r>
          </w:p>
        </w:tc>
        <w:tc>
          <w:tcPr>
            <w:tcW w:w="533" w:type="dxa"/>
            <w:tcBorders>
              <w:top w:val="nil"/>
              <w:left w:val="nil"/>
              <w:bottom w:val="nil"/>
              <w:right w:val="nil"/>
            </w:tcBorders>
            <w:tcMar>
              <w:top w:w="60" w:type="dxa"/>
              <w:left w:w="40" w:type="dxa"/>
              <w:bottom w:w="60" w:type="dxa"/>
              <w:right w:w="40" w:type="dxa"/>
            </w:tcMar>
          </w:tcPr>
          <w:p w14:paraId="156A2510">
            <w:pPr>
              <w:spacing w:line="260" w:lineRule="auto"/>
              <w:jc w:val="center"/>
            </w:pPr>
            <w:r>
              <w:rPr>
                <w:rFonts w:ascii="Times New Roman" w:hAnsi="Times New Roman" w:eastAsia="宋体"/>
                <w:sz w:val="16"/>
                <w:szCs w:val="16"/>
              </w:rPr>
              <w:t>0.981</w:t>
            </w:r>
          </w:p>
        </w:tc>
        <w:tc>
          <w:tcPr>
            <w:tcW w:w="533" w:type="dxa"/>
            <w:tcBorders>
              <w:top w:val="nil"/>
              <w:left w:val="nil"/>
              <w:bottom w:val="nil"/>
              <w:right w:val="nil"/>
            </w:tcBorders>
            <w:tcMar>
              <w:top w:w="60" w:type="dxa"/>
              <w:left w:w="40" w:type="dxa"/>
              <w:bottom w:w="60" w:type="dxa"/>
              <w:right w:w="40" w:type="dxa"/>
            </w:tcMar>
          </w:tcPr>
          <w:p w14:paraId="1B13794C">
            <w:pPr>
              <w:spacing w:line="260" w:lineRule="auto"/>
              <w:jc w:val="center"/>
            </w:pPr>
            <w:r>
              <w:rPr>
                <w:rFonts w:ascii="Times New Roman" w:hAnsi="Times New Roman" w:eastAsia="宋体"/>
                <w:sz w:val="16"/>
                <w:szCs w:val="16"/>
              </w:rPr>
              <w:t>0.475</w:t>
            </w:r>
          </w:p>
        </w:tc>
        <w:tc>
          <w:tcPr>
            <w:tcW w:w="533" w:type="dxa"/>
            <w:tcBorders>
              <w:top w:val="nil"/>
              <w:left w:val="nil"/>
              <w:bottom w:val="nil"/>
              <w:right w:val="nil"/>
            </w:tcBorders>
            <w:tcMar>
              <w:top w:w="60" w:type="dxa"/>
              <w:left w:w="40" w:type="dxa"/>
              <w:bottom w:w="60" w:type="dxa"/>
              <w:right w:w="40" w:type="dxa"/>
            </w:tcMar>
          </w:tcPr>
          <w:p w14:paraId="7DBF27A9">
            <w:pPr>
              <w:spacing w:line="260" w:lineRule="auto"/>
              <w:jc w:val="center"/>
            </w:pPr>
            <w:r>
              <w:rPr>
                <w:rFonts w:ascii="Times New Roman" w:hAnsi="Times New Roman" w:eastAsia="宋体"/>
                <w:sz w:val="16"/>
                <w:szCs w:val="16"/>
              </w:rPr>
              <w:t>0.640</w:t>
            </w:r>
          </w:p>
        </w:tc>
        <w:tc>
          <w:tcPr>
            <w:tcW w:w="533" w:type="dxa"/>
            <w:tcBorders>
              <w:top w:val="nil"/>
              <w:left w:val="nil"/>
              <w:bottom w:val="nil"/>
              <w:right w:val="nil"/>
            </w:tcBorders>
            <w:tcMar>
              <w:top w:w="60" w:type="dxa"/>
              <w:left w:w="40" w:type="dxa"/>
              <w:bottom w:w="60" w:type="dxa"/>
              <w:right w:w="40" w:type="dxa"/>
            </w:tcMar>
          </w:tcPr>
          <w:p w14:paraId="120CDA94">
            <w:pPr>
              <w:spacing w:line="260" w:lineRule="auto"/>
              <w:jc w:val="center"/>
            </w:pPr>
            <w:r>
              <w:rPr>
                <w:rFonts w:ascii="Times New Roman" w:hAnsi="Times New Roman" w:eastAsia="宋体"/>
                <w:sz w:val="16"/>
                <w:szCs w:val="16"/>
              </w:rPr>
              <w:t>0.720</w:t>
            </w:r>
          </w:p>
        </w:tc>
        <w:tc>
          <w:tcPr>
            <w:tcW w:w="533" w:type="dxa"/>
            <w:tcBorders>
              <w:top w:val="nil"/>
              <w:left w:val="nil"/>
              <w:bottom w:val="nil"/>
              <w:right w:val="nil"/>
            </w:tcBorders>
            <w:tcMar>
              <w:top w:w="60" w:type="dxa"/>
              <w:left w:w="40" w:type="dxa"/>
              <w:bottom w:w="60" w:type="dxa"/>
              <w:right w:w="40" w:type="dxa"/>
            </w:tcMar>
          </w:tcPr>
          <w:p w14:paraId="5475763C">
            <w:pPr>
              <w:spacing w:line="260" w:lineRule="auto"/>
              <w:jc w:val="center"/>
            </w:pPr>
            <w:r>
              <w:rPr>
                <w:rFonts w:ascii="Times New Roman" w:hAnsi="Times New Roman" w:eastAsia="宋体"/>
                <w:sz w:val="16"/>
                <w:szCs w:val="16"/>
              </w:rPr>
              <w:t>0.378</w:t>
            </w:r>
          </w:p>
        </w:tc>
        <w:tc>
          <w:tcPr>
            <w:tcW w:w="533" w:type="dxa"/>
            <w:tcBorders>
              <w:top w:val="nil"/>
              <w:left w:val="nil"/>
              <w:bottom w:val="nil"/>
              <w:right w:val="nil"/>
            </w:tcBorders>
            <w:tcMar>
              <w:top w:w="60" w:type="dxa"/>
              <w:left w:w="40" w:type="dxa"/>
              <w:bottom w:w="60" w:type="dxa"/>
              <w:right w:w="40" w:type="dxa"/>
            </w:tcMar>
          </w:tcPr>
          <w:p w14:paraId="0D755B93">
            <w:pPr>
              <w:spacing w:line="260" w:lineRule="auto"/>
              <w:jc w:val="center"/>
            </w:pPr>
            <w:r>
              <w:rPr>
                <w:rFonts w:ascii="Times New Roman" w:hAnsi="Times New Roman" w:eastAsia="宋体"/>
                <w:sz w:val="16"/>
                <w:szCs w:val="16"/>
              </w:rPr>
              <w:t>0.496</w:t>
            </w:r>
          </w:p>
        </w:tc>
        <w:tc>
          <w:tcPr>
            <w:tcW w:w="533" w:type="dxa"/>
            <w:tcBorders>
              <w:top w:val="nil"/>
              <w:left w:val="nil"/>
              <w:bottom w:val="nil"/>
              <w:right w:val="nil"/>
            </w:tcBorders>
            <w:tcMar>
              <w:top w:w="60" w:type="dxa"/>
              <w:left w:w="40" w:type="dxa"/>
              <w:bottom w:w="60" w:type="dxa"/>
              <w:right w:w="40" w:type="dxa"/>
            </w:tcMar>
          </w:tcPr>
          <w:p w14:paraId="0808303A">
            <w:pPr>
              <w:spacing w:line="260" w:lineRule="auto"/>
              <w:jc w:val="center"/>
            </w:pPr>
            <w:r>
              <w:rPr>
                <w:rFonts w:ascii="Times New Roman" w:hAnsi="Times New Roman" w:eastAsia="宋体"/>
                <w:sz w:val="16"/>
                <w:szCs w:val="16"/>
              </w:rPr>
              <w:t>0.622</w:t>
            </w:r>
          </w:p>
        </w:tc>
        <w:tc>
          <w:tcPr>
            <w:tcW w:w="533" w:type="dxa"/>
            <w:tcBorders>
              <w:top w:val="nil"/>
              <w:left w:val="nil"/>
              <w:bottom w:val="nil"/>
              <w:right w:val="nil"/>
            </w:tcBorders>
            <w:tcMar>
              <w:top w:w="60" w:type="dxa"/>
              <w:left w:w="40" w:type="dxa"/>
              <w:bottom w:w="60" w:type="dxa"/>
              <w:right w:w="40" w:type="dxa"/>
            </w:tcMar>
          </w:tcPr>
          <w:p w14:paraId="46951C61">
            <w:pPr>
              <w:spacing w:line="260" w:lineRule="auto"/>
              <w:jc w:val="center"/>
            </w:pPr>
            <w:r>
              <w:rPr>
                <w:rFonts w:ascii="Times New Roman" w:hAnsi="Times New Roman" w:eastAsia="宋体"/>
                <w:sz w:val="16"/>
                <w:szCs w:val="16"/>
              </w:rPr>
              <w:t>0.452</w:t>
            </w:r>
          </w:p>
        </w:tc>
        <w:tc>
          <w:tcPr>
            <w:tcW w:w="533" w:type="dxa"/>
            <w:tcBorders>
              <w:top w:val="nil"/>
              <w:left w:val="nil"/>
              <w:bottom w:val="nil"/>
              <w:right w:val="nil"/>
            </w:tcBorders>
            <w:tcMar>
              <w:top w:w="60" w:type="dxa"/>
              <w:left w:w="40" w:type="dxa"/>
              <w:bottom w:w="60" w:type="dxa"/>
              <w:right w:w="40" w:type="dxa"/>
            </w:tcMar>
          </w:tcPr>
          <w:p w14:paraId="0365529B">
            <w:pPr>
              <w:spacing w:line="260" w:lineRule="auto"/>
              <w:jc w:val="center"/>
            </w:pPr>
            <w:r>
              <w:rPr>
                <w:rFonts w:ascii="Times New Roman" w:hAnsi="Times New Roman" w:eastAsia="宋体"/>
                <w:sz w:val="16"/>
                <w:szCs w:val="16"/>
              </w:rPr>
              <w:t>0.523</w:t>
            </w:r>
          </w:p>
        </w:tc>
        <w:tc>
          <w:tcPr>
            <w:tcW w:w="533" w:type="dxa"/>
            <w:tcBorders>
              <w:top w:val="nil"/>
              <w:left w:val="nil"/>
              <w:bottom w:val="nil"/>
              <w:right w:val="nil"/>
            </w:tcBorders>
            <w:tcMar>
              <w:top w:w="60" w:type="dxa"/>
              <w:left w:w="40" w:type="dxa"/>
              <w:bottom w:w="60" w:type="dxa"/>
              <w:right w:w="40" w:type="dxa"/>
            </w:tcMar>
          </w:tcPr>
          <w:p w14:paraId="31666F85">
            <w:pPr>
              <w:spacing w:line="260" w:lineRule="auto"/>
              <w:jc w:val="center"/>
            </w:pPr>
            <w:r>
              <w:rPr>
                <w:rFonts w:ascii="Times New Roman" w:hAnsi="Times New Roman" w:eastAsia="宋体"/>
                <w:sz w:val="16"/>
                <w:szCs w:val="16"/>
              </w:rPr>
              <w:t>0.866</w:t>
            </w:r>
          </w:p>
        </w:tc>
        <w:tc>
          <w:tcPr>
            <w:tcW w:w="533" w:type="dxa"/>
            <w:tcBorders>
              <w:top w:val="nil"/>
              <w:left w:val="nil"/>
              <w:bottom w:val="nil"/>
              <w:right w:val="nil"/>
            </w:tcBorders>
            <w:tcMar>
              <w:top w:w="60" w:type="dxa"/>
              <w:left w:w="40" w:type="dxa"/>
              <w:bottom w:w="60" w:type="dxa"/>
              <w:right w:w="40" w:type="dxa"/>
            </w:tcMar>
          </w:tcPr>
          <w:p w14:paraId="01D1C0FC">
            <w:pPr>
              <w:spacing w:line="260" w:lineRule="auto"/>
              <w:jc w:val="center"/>
            </w:pPr>
            <w:r>
              <w:rPr>
                <w:rFonts w:ascii="Times New Roman" w:hAnsi="Times New Roman" w:eastAsia="宋体"/>
                <w:sz w:val="16"/>
                <w:szCs w:val="16"/>
              </w:rPr>
              <w:t>0.419</w:t>
            </w:r>
          </w:p>
        </w:tc>
        <w:tc>
          <w:tcPr>
            <w:tcW w:w="533" w:type="dxa"/>
            <w:tcBorders>
              <w:top w:val="nil"/>
              <w:left w:val="nil"/>
              <w:bottom w:val="nil"/>
              <w:right w:val="nil"/>
            </w:tcBorders>
            <w:tcMar>
              <w:top w:w="60" w:type="dxa"/>
              <w:left w:w="40" w:type="dxa"/>
              <w:bottom w:w="60" w:type="dxa"/>
              <w:right w:w="40" w:type="dxa"/>
            </w:tcMar>
          </w:tcPr>
          <w:p w14:paraId="2A8E170A">
            <w:pPr>
              <w:spacing w:line="260" w:lineRule="auto"/>
              <w:jc w:val="center"/>
            </w:pPr>
            <w:r>
              <w:rPr>
                <w:rFonts w:ascii="Times New Roman" w:hAnsi="Times New Roman" w:eastAsia="宋体"/>
                <w:sz w:val="16"/>
                <w:szCs w:val="16"/>
              </w:rPr>
              <w:t>0.565</w:t>
            </w:r>
          </w:p>
        </w:tc>
      </w:tr>
      <w:tr w14:paraId="7558288C">
        <w:tc>
          <w:tcPr>
            <w:tcW w:w="1400" w:type="dxa"/>
            <w:tcBorders>
              <w:top w:val="nil"/>
              <w:left w:val="nil"/>
              <w:bottom w:val="nil"/>
              <w:right w:val="nil"/>
            </w:tcBorders>
            <w:tcMar>
              <w:top w:w="60" w:type="dxa"/>
              <w:left w:w="40" w:type="dxa"/>
              <w:bottom w:w="60" w:type="dxa"/>
              <w:right w:w="40" w:type="dxa"/>
            </w:tcMar>
          </w:tcPr>
          <w:p w14:paraId="51A25D29">
            <w:pPr>
              <w:spacing w:line="260" w:lineRule="auto"/>
              <w:jc w:val="left"/>
            </w:pPr>
            <w:r>
              <w:rPr>
                <w:rFonts w:ascii="Times New Roman" w:hAnsi="Times New Roman" w:eastAsia="宋体"/>
                <w:sz w:val="16"/>
                <w:szCs w:val="16"/>
              </w:rPr>
              <w:t>DeepSeek V4 Pro</w:t>
            </w:r>
          </w:p>
        </w:tc>
        <w:tc>
          <w:tcPr>
            <w:tcW w:w="533" w:type="dxa"/>
            <w:tcBorders>
              <w:top w:val="nil"/>
              <w:left w:val="nil"/>
              <w:bottom w:val="nil"/>
              <w:right w:val="nil"/>
            </w:tcBorders>
            <w:tcMar>
              <w:top w:w="60" w:type="dxa"/>
              <w:left w:w="40" w:type="dxa"/>
              <w:bottom w:w="60" w:type="dxa"/>
              <w:right w:w="40" w:type="dxa"/>
            </w:tcMar>
          </w:tcPr>
          <w:p w14:paraId="2599247F">
            <w:pPr>
              <w:spacing w:line="260" w:lineRule="auto"/>
              <w:jc w:val="center"/>
            </w:pPr>
            <w:r>
              <w:rPr>
                <w:rFonts w:ascii="Times New Roman" w:hAnsi="Times New Roman" w:eastAsia="宋体"/>
                <w:sz w:val="16"/>
                <w:szCs w:val="16"/>
              </w:rPr>
              <w:t>0.752</w:t>
            </w:r>
          </w:p>
        </w:tc>
        <w:tc>
          <w:tcPr>
            <w:tcW w:w="533" w:type="dxa"/>
            <w:tcBorders>
              <w:top w:val="nil"/>
              <w:left w:val="nil"/>
              <w:bottom w:val="nil"/>
              <w:right w:val="nil"/>
            </w:tcBorders>
            <w:tcMar>
              <w:top w:w="60" w:type="dxa"/>
              <w:left w:w="40" w:type="dxa"/>
              <w:bottom w:w="60" w:type="dxa"/>
              <w:right w:w="40" w:type="dxa"/>
            </w:tcMar>
          </w:tcPr>
          <w:p w14:paraId="172DD4E9">
            <w:pPr>
              <w:spacing w:line="260" w:lineRule="auto"/>
              <w:jc w:val="center"/>
            </w:pPr>
            <w:r>
              <w:rPr>
                <w:rFonts w:ascii="Times New Roman" w:hAnsi="Times New Roman" w:eastAsia="宋体"/>
                <w:sz w:val="16"/>
                <w:szCs w:val="16"/>
              </w:rPr>
              <w:t>0.577</w:t>
            </w:r>
          </w:p>
        </w:tc>
        <w:tc>
          <w:tcPr>
            <w:tcW w:w="533" w:type="dxa"/>
            <w:tcBorders>
              <w:top w:val="nil"/>
              <w:left w:val="nil"/>
              <w:bottom w:val="nil"/>
              <w:right w:val="nil"/>
            </w:tcBorders>
            <w:tcMar>
              <w:top w:w="60" w:type="dxa"/>
              <w:left w:w="40" w:type="dxa"/>
              <w:bottom w:w="60" w:type="dxa"/>
              <w:right w:w="40" w:type="dxa"/>
            </w:tcMar>
          </w:tcPr>
          <w:p w14:paraId="22747A52">
            <w:pPr>
              <w:spacing w:line="260" w:lineRule="auto"/>
              <w:jc w:val="center"/>
            </w:pPr>
            <w:r>
              <w:rPr>
                <w:rFonts w:ascii="Times New Roman" w:hAnsi="Times New Roman" w:eastAsia="宋体"/>
                <w:sz w:val="16"/>
                <w:szCs w:val="16"/>
              </w:rPr>
              <w:t>0.653</w:t>
            </w:r>
          </w:p>
        </w:tc>
        <w:tc>
          <w:tcPr>
            <w:tcW w:w="533" w:type="dxa"/>
            <w:tcBorders>
              <w:top w:val="nil"/>
              <w:left w:val="nil"/>
              <w:bottom w:val="nil"/>
              <w:right w:val="nil"/>
            </w:tcBorders>
            <w:tcMar>
              <w:top w:w="60" w:type="dxa"/>
              <w:left w:w="40" w:type="dxa"/>
              <w:bottom w:w="60" w:type="dxa"/>
              <w:right w:w="40" w:type="dxa"/>
            </w:tcMar>
          </w:tcPr>
          <w:p w14:paraId="0BB92B0E">
            <w:pPr>
              <w:spacing w:line="260" w:lineRule="auto"/>
              <w:jc w:val="center"/>
            </w:pPr>
            <w:r>
              <w:rPr>
                <w:rFonts w:ascii="Times New Roman" w:hAnsi="Times New Roman" w:eastAsia="宋体"/>
                <w:sz w:val="16"/>
                <w:szCs w:val="16"/>
              </w:rPr>
              <w:t>0.863</w:t>
            </w:r>
          </w:p>
        </w:tc>
        <w:tc>
          <w:tcPr>
            <w:tcW w:w="533" w:type="dxa"/>
            <w:tcBorders>
              <w:top w:val="nil"/>
              <w:left w:val="nil"/>
              <w:bottom w:val="nil"/>
              <w:right w:val="nil"/>
            </w:tcBorders>
            <w:tcMar>
              <w:top w:w="60" w:type="dxa"/>
              <w:left w:w="40" w:type="dxa"/>
              <w:bottom w:w="60" w:type="dxa"/>
              <w:right w:w="40" w:type="dxa"/>
            </w:tcMar>
          </w:tcPr>
          <w:p w14:paraId="16E02CAC">
            <w:pPr>
              <w:spacing w:line="260" w:lineRule="auto"/>
              <w:jc w:val="center"/>
            </w:pPr>
            <w:r>
              <w:rPr>
                <w:rFonts w:ascii="Times New Roman" w:hAnsi="Times New Roman" w:eastAsia="宋体"/>
                <w:sz w:val="16"/>
                <w:szCs w:val="16"/>
              </w:rPr>
              <w:t>0.570</w:t>
            </w:r>
          </w:p>
        </w:tc>
        <w:tc>
          <w:tcPr>
            <w:tcW w:w="533" w:type="dxa"/>
            <w:tcBorders>
              <w:top w:val="nil"/>
              <w:left w:val="nil"/>
              <w:bottom w:val="nil"/>
              <w:right w:val="nil"/>
            </w:tcBorders>
            <w:tcMar>
              <w:top w:w="60" w:type="dxa"/>
              <w:left w:w="40" w:type="dxa"/>
              <w:bottom w:w="60" w:type="dxa"/>
              <w:right w:w="40" w:type="dxa"/>
            </w:tcMar>
          </w:tcPr>
          <w:p w14:paraId="562B885D">
            <w:pPr>
              <w:spacing w:line="260" w:lineRule="auto"/>
              <w:jc w:val="center"/>
            </w:pPr>
            <w:r>
              <w:rPr>
                <w:rFonts w:ascii="Times New Roman" w:hAnsi="Times New Roman" w:eastAsia="宋体"/>
                <w:sz w:val="16"/>
                <w:szCs w:val="16"/>
              </w:rPr>
              <w:t>0.687</w:t>
            </w:r>
          </w:p>
        </w:tc>
        <w:tc>
          <w:tcPr>
            <w:tcW w:w="533" w:type="dxa"/>
            <w:tcBorders>
              <w:top w:val="nil"/>
              <w:left w:val="nil"/>
              <w:bottom w:val="nil"/>
              <w:right w:val="nil"/>
            </w:tcBorders>
            <w:tcMar>
              <w:top w:w="60" w:type="dxa"/>
              <w:left w:w="40" w:type="dxa"/>
              <w:bottom w:w="60" w:type="dxa"/>
              <w:right w:w="40" w:type="dxa"/>
            </w:tcMar>
          </w:tcPr>
          <w:p w14:paraId="703AC0FC">
            <w:pPr>
              <w:spacing w:line="260" w:lineRule="auto"/>
              <w:jc w:val="center"/>
            </w:pPr>
            <w:r>
              <w:rPr>
                <w:rFonts w:ascii="Times New Roman" w:hAnsi="Times New Roman" w:eastAsia="宋体"/>
                <w:sz w:val="16"/>
                <w:szCs w:val="16"/>
              </w:rPr>
              <w:t>0.668</w:t>
            </w:r>
          </w:p>
        </w:tc>
        <w:tc>
          <w:tcPr>
            <w:tcW w:w="533" w:type="dxa"/>
            <w:tcBorders>
              <w:top w:val="nil"/>
              <w:left w:val="nil"/>
              <w:bottom w:val="nil"/>
              <w:right w:val="nil"/>
            </w:tcBorders>
            <w:tcMar>
              <w:top w:w="60" w:type="dxa"/>
              <w:left w:w="40" w:type="dxa"/>
              <w:bottom w:w="60" w:type="dxa"/>
              <w:right w:w="40" w:type="dxa"/>
            </w:tcMar>
          </w:tcPr>
          <w:p w14:paraId="33B0F708">
            <w:pPr>
              <w:spacing w:line="260" w:lineRule="auto"/>
              <w:jc w:val="center"/>
            </w:pPr>
            <w:r>
              <w:rPr>
                <w:rFonts w:ascii="Times New Roman" w:hAnsi="Times New Roman" w:eastAsia="宋体"/>
                <w:sz w:val="16"/>
                <w:szCs w:val="16"/>
              </w:rPr>
              <w:t>0.322</w:t>
            </w:r>
          </w:p>
        </w:tc>
        <w:tc>
          <w:tcPr>
            <w:tcW w:w="533" w:type="dxa"/>
            <w:tcBorders>
              <w:top w:val="nil"/>
              <w:left w:val="nil"/>
              <w:bottom w:val="nil"/>
              <w:right w:val="nil"/>
            </w:tcBorders>
            <w:tcMar>
              <w:top w:w="60" w:type="dxa"/>
              <w:left w:w="40" w:type="dxa"/>
              <w:bottom w:w="60" w:type="dxa"/>
              <w:right w:w="40" w:type="dxa"/>
            </w:tcMar>
          </w:tcPr>
          <w:p w14:paraId="543F13E5">
            <w:pPr>
              <w:spacing w:line="260" w:lineRule="auto"/>
              <w:jc w:val="center"/>
            </w:pPr>
            <w:r>
              <w:rPr>
                <w:rFonts w:ascii="Times New Roman" w:hAnsi="Times New Roman" w:eastAsia="宋体"/>
                <w:sz w:val="16"/>
                <w:szCs w:val="16"/>
              </w:rPr>
              <w:t>0.434</w:t>
            </w:r>
          </w:p>
        </w:tc>
        <w:tc>
          <w:tcPr>
            <w:tcW w:w="533" w:type="dxa"/>
            <w:tcBorders>
              <w:top w:val="nil"/>
              <w:left w:val="nil"/>
              <w:bottom w:val="nil"/>
              <w:right w:val="nil"/>
            </w:tcBorders>
            <w:tcMar>
              <w:top w:w="60" w:type="dxa"/>
              <w:left w:w="40" w:type="dxa"/>
              <w:bottom w:w="60" w:type="dxa"/>
              <w:right w:w="40" w:type="dxa"/>
            </w:tcMar>
          </w:tcPr>
          <w:p w14:paraId="1699C031">
            <w:pPr>
              <w:spacing w:line="260" w:lineRule="auto"/>
              <w:jc w:val="center"/>
            </w:pPr>
            <w:r>
              <w:rPr>
                <w:rFonts w:ascii="Times New Roman" w:hAnsi="Times New Roman" w:eastAsia="宋体"/>
                <w:sz w:val="16"/>
                <w:szCs w:val="16"/>
              </w:rPr>
              <w:t>0.563</w:t>
            </w:r>
          </w:p>
        </w:tc>
        <w:tc>
          <w:tcPr>
            <w:tcW w:w="533" w:type="dxa"/>
            <w:tcBorders>
              <w:top w:val="nil"/>
              <w:left w:val="nil"/>
              <w:bottom w:val="nil"/>
              <w:right w:val="nil"/>
            </w:tcBorders>
            <w:tcMar>
              <w:top w:w="60" w:type="dxa"/>
              <w:left w:w="40" w:type="dxa"/>
              <w:bottom w:w="60" w:type="dxa"/>
              <w:right w:w="40" w:type="dxa"/>
            </w:tcMar>
          </w:tcPr>
          <w:p w14:paraId="7C11451C">
            <w:pPr>
              <w:spacing w:line="260" w:lineRule="auto"/>
              <w:jc w:val="center"/>
            </w:pPr>
            <w:r>
              <w:rPr>
                <w:rFonts w:ascii="Times New Roman" w:hAnsi="Times New Roman" w:eastAsia="宋体"/>
                <w:sz w:val="16"/>
                <w:szCs w:val="16"/>
              </w:rPr>
              <w:t>0.430</w:t>
            </w:r>
          </w:p>
        </w:tc>
        <w:tc>
          <w:tcPr>
            <w:tcW w:w="533" w:type="dxa"/>
            <w:tcBorders>
              <w:top w:val="nil"/>
              <w:left w:val="nil"/>
              <w:bottom w:val="nil"/>
              <w:right w:val="nil"/>
            </w:tcBorders>
            <w:tcMar>
              <w:top w:w="60" w:type="dxa"/>
              <w:left w:w="40" w:type="dxa"/>
              <w:bottom w:w="60" w:type="dxa"/>
              <w:right w:w="40" w:type="dxa"/>
            </w:tcMar>
          </w:tcPr>
          <w:p w14:paraId="0A0894F0">
            <w:pPr>
              <w:spacing w:line="260" w:lineRule="auto"/>
              <w:jc w:val="center"/>
            </w:pPr>
            <w:r>
              <w:rPr>
                <w:rFonts w:ascii="Times New Roman" w:hAnsi="Times New Roman" w:eastAsia="宋体"/>
                <w:sz w:val="16"/>
                <w:szCs w:val="16"/>
              </w:rPr>
              <w:t>0.488</w:t>
            </w:r>
          </w:p>
        </w:tc>
        <w:tc>
          <w:tcPr>
            <w:tcW w:w="533" w:type="dxa"/>
            <w:tcBorders>
              <w:top w:val="nil"/>
              <w:left w:val="nil"/>
              <w:bottom w:val="nil"/>
              <w:right w:val="nil"/>
            </w:tcBorders>
            <w:tcMar>
              <w:top w:w="60" w:type="dxa"/>
              <w:left w:w="40" w:type="dxa"/>
              <w:bottom w:w="60" w:type="dxa"/>
              <w:right w:w="40" w:type="dxa"/>
            </w:tcMar>
          </w:tcPr>
          <w:p w14:paraId="60EC3DAC">
            <w:pPr>
              <w:spacing w:line="260" w:lineRule="auto"/>
              <w:jc w:val="center"/>
            </w:pPr>
            <w:r>
              <w:rPr>
                <w:rFonts w:ascii="Times New Roman" w:hAnsi="Times New Roman" w:eastAsia="宋体"/>
                <w:sz w:val="16"/>
                <w:szCs w:val="16"/>
              </w:rPr>
              <w:t>0.702</w:t>
            </w:r>
          </w:p>
        </w:tc>
        <w:tc>
          <w:tcPr>
            <w:tcW w:w="533" w:type="dxa"/>
            <w:tcBorders>
              <w:top w:val="nil"/>
              <w:left w:val="nil"/>
              <w:bottom w:val="nil"/>
              <w:right w:val="nil"/>
            </w:tcBorders>
            <w:tcMar>
              <w:top w:w="60" w:type="dxa"/>
              <w:left w:w="40" w:type="dxa"/>
              <w:bottom w:w="60" w:type="dxa"/>
              <w:right w:w="40" w:type="dxa"/>
            </w:tcMar>
          </w:tcPr>
          <w:p w14:paraId="7053706B">
            <w:pPr>
              <w:spacing w:line="260" w:lineRule="auto"/>
              <w:jc w:val="center"/>
            </w:pPr>
            <w:r>
              <w:rPr>
                <w:rFonts w:ascii="Times New Roman" w:hAnsi="Times New Roman" w:eastAsia="宋体"/>
                <w:sz w:val="16"/>
                <w:szCs w:val="16"/>
              </w:rPr>
              <w:t>0.464</w:t>
            </w:r>
          </w:p>
        </w:tc>
        <w:tc>
          <w:tcPr>
            <w:tcW w:w="533" w:type="dxa"/>
            <w:tcBorders>
              <w:top w:val="nil"/>
              <w:left w:val="nil"/>
              <w:bottom w:val="nil"/>
              <w:right w:val="nil"/>
            </w:tcBorders>
            <w:tcMar>
              <w:top w:w="60" w:type="dxa"/>
              <w:left w:w="40" w:type="dxa"/>
              <w:bottom w:w="60" w:type="dxa"/>
              <w:right w:w="40" w:type="dxa"/>
            </w:tcMar>
          </w:tcPr>
          <w:p w14:paraId="22CF36F0">
            <w:pPr>
              <w:spacing w:line="260" w:lineRule="auto"/>
              <w:jc w:val="center"/>
            </w:pPr>
            <w:r>
              <w:rPr>
                <w:rFonts w:ascii="Times New Roman" w:hAnsi="Times New Roman" w:eastAsia="宋体"/>
                <w:sz w:val="16"/>
                <w:szCs w:val="16"/>
              </w:rPr>
              <w:t>0.559</w:t>
            </w:r>
          </w:p>
        </w:tc>
      </w:tr>
      <w:tr w14:paraId="600139B5">
        <w:tc>
          <w:tcPr>
            <w:tcW w:w="1400" w:type="dxa"/>
            <w:tcBorders>
              <w:top w:val="nil"/>
              <w:left w:val="nil"/>
              <w:bottom w:val="single" w:color="000000" w:sz="12" w:space="0"/>
              <w:right w:val="nil"/>
            </w:tcBorders>
            <w:tcMar>
              <w:top w:w="60" w:type="dxa"/>
              <w:left w:w="40" w:type="dxa"/>
              <w:bottom w:w="60" w:type="dxa"/>
              <w:right w:w="40" w:type="dxa"/>
            </w:tcMar>
          </w:tcPr>
          <w:p w14:paraId="02EBAAB7">
            <w:pPr>
              <w:spacing w:line="260" w:lineRule="auto"/>
              <w:jc w:val="left"/>
            </w:pPr>
            <w:r>
              <w:rPr>
                <w:rFonts w:ascii="Times New Roman" w:hAnsi="Times New Roman" w:eastAsia="宋体"/>
                <w:sz w:val="16"/>
                <w:szCs w:val="16"/>
              </w:rPr>
              <w:t>MiniMax M2.7</w:t>
            </w:r>
          </w:p>
        </w:tc>
        <w:tc>
          <w:tcPr>
            <w:tcW w:w="533" w:type="dxa"/>
            <w:tcBorders>
              <w:top w:val="nil"/>
              <w:left w:val="nil"/>
              <w:bottom w:val="single" w:color="000000" w:sz="12" w:space="0"/>
              <w:right w:val="nil"/>
            </w:tcBorders>
            <w:tcMar>
              <w:top w:w="60" w:type="dxa"/>
              <w:left w:w="40" w:type="dxa"/>
              <w:bottom w:w="60" w:type="dxa"/>
              <w:right w:w="40" w:type="dxa"/>
            </w:tcMar>
          </w:tcPr>
          <w:p w14:paraId="060C94AD">
            <w:pPr>
              <w:spacing w:line="260" w:lineRule="auto"/>
              <w:jc w:val="center"/>
            </w:pPr>
            <w:r>
              <w:rPr>
                <w:rFonts w:ascii="Times New Roman" w:hAnsi="Times New Roman" w:eastAsia="宋体"/>
                <w:sz w:val="16"/>
                <w:szCs w:val="16"/>
              </w:rPr>
              <w:t>0.708</w:t>
            </w:r>
          </w:p>
        </w:tc>
        <w:tc>
          <w:tcPr>
            <w:tcW w:w="533" w:type="dxa"/>
            <w:tcBorders>
              <w:top w:val="nil"/>
              <w:left w:val="nil"/>
              <w:bottom w:val="single" w:color="000000" w:sz="12" w:space="0"/>
              <w:right w:val="nil"/>
            </w:tcBorders>
            <w:tcMar>
              <w:top w:w="60" w:type="dxa"/>
              <w:left w:w="40" w:type="dxa"/>
              <w:bottom w:w="60" w:type="dxa"/>
              <w:right w:w="40" w:type="dxa"/>
            </w:tcMar>
          </w:tcPr>
          <w:p w14:paraId="2E25D350">
            <w:pPr>
              <w:spacing w:line="260" w:lineRule="auto"/>
              <w:jc w:val="center"/>
            </w:pPr>
            <w:r>
              <w:rPr>
                <w:rFonts w:ascii="Times New Roman" w:hAnsi="Times New Roman" w:eastAsia="宋体"/>
                <w:sz w:val="16"/>
                <w:szCs w:val="16"/>
              </w:rPr>
              <w:t>0.481</w:t>
            </w:r>
          </w:p>
        </w:tc>
        <w:tc>
          <w:tcPr>
            <w:tcW w:w="533" w:type="dxa"/>
            <w:tcBorders>
              <w:top w:val="nil"/>
              <w:left w:val="nil"/>
              <w:bottom w:val="single" w:color="000000" w:sz="12" w:space="0"/>
              <w:right w:val="nil"/>
            </w:tcBorders>
            <w:tcMar>
              <w:top w:w="60" w:type="dxa"/>
              <w:left w:w="40" w:type="dxa"/>
              <w:bottom w:w="60" w:type="dxa"/>
              <w:right w:w="40" w:type="dxa"/>
            </w:tcMar>
          </w:tcPr>
          <w:p w14:paraId="757DAC17">
            <w:pPr>
              <w:spacing w:line="260" w:lineRule="auto"/>
              <w:jc w:val="center"/>
            </w:pPr>
            <w:r>
              <w:rPr>
                <w:rFonts w:ascii="Times New Roman" w:hAnsi="Times New Roman" w:eastAsia="宋体"/>
                <w:sz w:val="16"/>
                <w:szCs w:val="16"/>
              </w:rPr>
              <w:t>0.573</w:t>
            </w:r>
          </w:p>
        </w:tc>
        <w:tc>
          <w:tcPr>
            <w:tcW w:w="533" w:type="dxa"/>
            <w:tcBorders>
              <w:top w:val="nil"/>
              <w:left w:val="nil"/>
              <w:bottom w:val="single" w:color="000000" w:sz="12" w:space="0"/>
              <w:right w:val="nil"/>
            </w:tcBorders>
            <w:tcMar>
              <w:top w:w="60" w:type="dxa"/>
              <w:left w:w="40" w:type="dxa"/>
              <w:bottom w:w="60" w:type="dxa"/>
              <w:right w:w="40" w:type="dxa"/>
            </w:tcMar>
          </w:tcPr>
          <w:p w14:paraId="261209AC">
            <w:pPr>
              <w:spacing w:line="260" w:lineRule="auto"/>
              <w:jc w:val="center"/>
            </w:pPr>
            <w:r>
              <w:rPr>
                <w:rFonts w:ascii="Times New Roman" w:hAnsi="Times New Roman" w:eastAsia="宋体"/>
                <w:sz w:val="16"/>
                <w:szCs w:val="16"/>
              </w:rPr>
              <w:t>0.898</w:t>
            </w:r>
          </w:p>
        </w:tc>
        <w:tc>
          <w:tcPr>
            <w:tcW w:w="533" w:type="dxa"/>
            <w:tcBorders>
              <w:top w:val="nil"/>
              <w:left w:val="nil"/>
              <w:bottom w:val="single" w:color="000000" w:sz="12" w:space="0"/>
              <w:right w:val="nil"/>
            </w:tcBorders>
            <w:tcMar>
              <w:top w:w="60" w:type="dxa"/>
              <w:left w:w="40" w:type="dxa"/>
              <w:bottom w:w="60" w:type="dxa"/>
              <w:right w:w="40" w:type="dxa"/>
            </w:tcMar>
          </w:tcPr>
          <w:p w14:paraId="6AE00063">
            <w:pPr>
              <w:spacing w:line="260" w:lineRule="auto"/>
              <w:jc w:val="center"/>
            </w:pPr>
            <w:r>
              <w:rPr>
                <w:rFonts w:ascii="Times New Roman" w:hAnsi="Times New Roman" w:eastAsia="宋体"/>
                <w:sz w:val="16"/>
                <w:szCs w:val="16"/>
              </w:rPr>
              <w:t>0.509</w:t>
            </w:r>
          </w:p>
        </w:tc>
        <w:tc>
          <w:tcPr>
            <w:tcW w:w="533" w:type="dxa"/>
            <w:tcBorders>
              <w:top w:val="nil"/>
              <w:left w:val="nil"/>
              <w:bottom w:val="single" w:color="000000" w:sz="12" w:space="0"/>
              <w:right w:val="nil"/>
            </w:tcBorders>
            <w:tcMar>
              <w:top w:w="60" w:type="dxa"/>
              <w:left w:w="40" w:type="dxa"/>
              <w:bottom w:w="60" w:type="dxa"/>
              <w:right w:w="40" w:type="dxa"/>
            </w:tcMar>
          </w:tcPr>
          <w:p w14:paraId="27512FF9">
            <w:pPr>
              <w:spacing w:line="260" w:lineRule="auto"/>
              <w:jc w:val="center"/>
            </w:pPr>
            <w:r>
              <w:rPr>
                <w:rFonts w:ascii="Times New Roman" w:hAnsi="Times New Roman" w:eastAsia="宋体"/>
                <w:sz w:val="16"/>
                <w:szCs w:val="16"/>
              </w:rPr>
              <w:t>0.650</w:t>
            </w:r>
          </w:p>
        </w:tc>
        <w:tc>
          <w:tcPr>
            <w:tcW w:w="533" w:type="dxa"/>
            <w:tcBorders>
              <w:top w:val="nil"/>
              <w:left w:val="nil"/>
              <w:bottom w:val="single" w:color="000000" w:sz="12" w:space="0"/>
              <w:right w:val="nil"/>
            </w:tcBorders>
            <w:tcMar>
              <w:top w:w="60" w:type="dxa"/>
              <w:left w:w="40" w:type="dxa"/>
              <w:bottom w:w="60" w:type="dxa"/>
              <w:right w:w="40" w:type="dxa"/>
            </w:tcMar>
          </w:tcPr>
          <w:p w14:paraId="475918FA">
            <w:pPr>
              <w:spacing w:line="260" w:lineRule="auto"/>
              <w:jc w:val="center"/>
            </w:pPr>
            <w:r>
              <w:rPr>
                <w:rFonts w:ascii="Times New Roman" w:hAnsi="Times New Roman" w:eastAsia="宋体"/>
                <w:sz w:val="16"/>
                <w:szCs w:val="16"/>
              </w:rPr>
              <w:t>0.636</w:t>
            </w:r>
          </w:p>
        </w:tc>
        <w:tc>
          <w:tcPr>
            <w:tcW w:w="533" w:type="dxa"/>
            <w:tcBorders>
              <w:top w:val="nil"/>
              <w:left w:val="nil"/>
              <w:bottom w:val="single" w:color="000000" w:sz="12" w:space="0"/>
              <w:right w:val="nil"/>
            </w:tcBorders>
            <w:tcMar>
              <w:top w:w="60" w:type="dxa"/>
              <w:left w:w="40" w:type="dxa"/>
              <w:bottom w:w="60" w:type="dxa"/>
              <w:right w:w="40" w:type="dxa"/>
            </w:tcMar>
          </w:tcPr>
          <w:p w14:paraId="66DAAC81">
            <w:pPr>
              <w:spacing w:line="260" w:lineRule="auto"/>
              <w:jc w:val="center"/>
            </w:pPr>
            <w:r>
              <w:rPr>
                <w:rFonts w:ascii="Times New Roman" w:hAnsi="Times New Roman" w:eastAsia="宋体"/>
                <w:sz w:val="16"/>
                <w:szCs w:val="16"/>
              </w:rPr>
              <w:t>0.419</w:t>
            </w:r>
          </w:p>
        </w:tc>
        <w:tc>
          <w:tcPr>
            <w:tcW w:w="533" w:type="dxa"/>
            <w:tcBorders>
              <w:top w:val="nil"/>
              <w:left w:val="nil"/>
              <w:bottom w:val="single" w:color="000000" w:sz="12" w:space="0"/>
              <w:right w:val="nil"/>
            </w:tcBorders>
            <w:tcMar>
              <w:top w:w="60" w:type="dxa"/>
              <w:left w:w="40" w:type="dxa"/>
              <w:bottom w:w="60" w:type="dxa"/>
              <w:right w:w="40" w:type="dxa"/>
            </w:tcMar>
          </w:tcPr>
          <w:p w14:paraId="0AED8BFA">
            <w:pPr>
              <w:spacing w:line="260" w:lineRule="auto"/>
              <w:jc w:val="center"/>
            </w:pPr>
            <w:r>
              <w:rPr>
                <w:rFonts w:ascii="Times New Roman" w:hAnsi="Times New Roman" w:eastAsia="宋体"/>
                <w:sz w:val="16"/>
                <w:szCs w:val="16"/>
              </w:rPr>
              <w:t>0.505</w:t>
            </w:r>
          </w:p>
        </w:tc>
        <w:tc>
          <w:tcPr>
            <w:tcW w:w="533" w:type="dxa"/>
            <w:tcBorders>
              <w:top w:val="nil"/>
              <w:left w:val="nil"/>
              <w:bottom w:val="single" w:color="000000" w:sz="12" w:space="0"/>
              <w:right w:val="nil"/>
            </w:tcBorders>
            <w:tcMar>
              <w:top w:w="60" w:type="dxa"/>
              <w:left w:w="40" w:type="dxa"/>
              <w:bottom w:w="60" w:type="dxa"/>
              <w:right w:w="40" w:type="dxa"/>
            </w:tcMar>
          </w:tcPr>
          <w:p w14:paraId="42C19783">
            <w:pPr>
              <w:spacing w:line="260" w:lineRule="auto"/>
              <w:jc w:val="center"/>
            </w:pPr>
            <w:r>
              <w:rPr>
                <w:rFonts w:ascii="Times New Roman" w:hAnsi="Times New Roman" w:eastAsia="宋体"/>
                <w:sz w:val="16"/>
                <w:szCs w:val="16"/>
              </w:rPr>
              <w:t>0.443</w:t>
            </w:r>
          </w:p>
        </w:tc>
        <w:tc>
          <w:tcPr>
            <w:tcW w:w="533" w:type="dxa"/>
            <w:tcBorders>
              <w:top w:val="nil"/>
              <w:left w:val="nil"/>
              <w:bottom w:val="single" w:color="000000" w:sz="12" w:space="0"/>
              <w:right w:val="nil"/>
            </w:tcBorders>
            <w:tcMar>
              <w:top w:w="60" w:type="dxa"/>
              <w:left w:w="40" w:type="dxa"/>
              <w:bottom w:w="60" w:type="dxa"/>
              <w:right w:w="40" w:type="dxa"/>
            </w:tcMar>
          </w:tcPr>
          <w:p w14:paraId="702AE486">
            <w:pPr>
              <w:spacing w:line="260" w:lineRule="auto"/>
              <w:jc w:val="center"/>
            </w:pPr>
            <w:r>
              <w:rPr>
                <w:rFonts w:ascii="Times New Roman" w:hAnsi="Times New Roman" w:eastAsia="宋体"/>
                <w:sz w:val="16"/>
                <w:szCs w:val="16"/>
              </w:rPr>
              <w:t>0.395</w:t>
            </w:r>
          </w:p>
        </w:tc>
        <w:tc>
          <w:tcPr>
            <w:tcW w:w="533" w:type="dxa"/>
            <w:tcBorders>
              <w:top w:val="nil"/>
              <w:left w:val="nil"/>
              <w:bottom w:val="single" w:color="000000" w:sz="12" w:space="0"/>
              <w:right w:val="nil"/>
            </w:tcBorders>
            <w:tcMar>
              <w:top w:w="60" w:type="dxa"/>
              <w:left w:w="40" w:type="dxa"/>
              <w:bottom w:w="60" w:type="dxa"/>
              <w:right w:w="40" w:type="dxa"/>
            </w:tcMar>
          </w:tcPr>
          <w:p w14:paraId="519352A3">
            <w:pPr>
              <w:spacing w:line="260" w:lineRule="auto"/>
              <w:jc w:val="center"/>
            </w:pPr>
            <w:r>
              <w:rPr>
                <w:rFonts w:ascii="Times New Roman" w:hAnsi="Times New Roman" w:eastAsia="宋体"/>
                <w:sz w:val="16"/>
                <w:szCs w:val="16"/>
              </w:rPr>
              <w:t>0.418</w:t>
            </w:r>
          </w:p>
        </w:tc>
        <w:tc>
          <w:tcPr>
            <w:tcW w:w="533" w:type="dxa"/>
            <w:tcBorders>
              <w:top w:val="nil"/>
              <w:left w:val="nil"/>
              <w:bottom w:val="single" w:color="000000" w:sz="12" w:space="0"/>
              <w:right w:val="nil"/>
            </w:tcBorders>
            <w:tcMar>
              <w:top w:w="60" w:type="dxa"/>
              <w:left w:w="40" w:type="dxa"/>
              <w:bottom w:w="60" w:type="dxa"/>
              <w:right w:w="40" w:type="dxa"/>
            </w:tcMar>
          </w:tcPr>
          <w:p w14:paraId="5CC634A4">
            <w:pPr>
              <w:spacing w:line="260" w:lineRule="auto"/>
              <w:jc w:val="center"/>
            </w:pPr>
            <w:r>
              <w:rPr>
                <w:rFonts w:ascii="Times New Roman" w:hAnsi="Times New Roman" w:eastAsia="宋体"/>
                <w:sz w:val="16"/>
                <w:szCs w:val="16"/>
              </w:rPr>
              <w:t>0.719</w:t>
            </w:r>
          </w:p>
        </w:tc>
        <w:tc>
          <w:tcPr>
            <w:tcW w:w="533" w:type="dxa"/>
            <w:tcBorders>
              <w:top w:val="nil"/>
              <w:left w:val="nil"/>
              <w:bottom w:val="single" w:color="000000" w:sz="12" w:space="0"/>
              <w:right w:val="nil"/>
            </w:tcBorders>
            <w:tcMar>
              <w:top w:w="60" w:type="dxa"/>
              <w:left w:w="40" w:type="dxa"/>
              <w:bottom w:w="60" w:type="dxa"/>
              <w:right w:w="40" w:type="dxa"/>
            </w:tcMar>
          </w:tcPr>
          <w:p w14:paraId="10741CA8">
            <w:pPr>
              <w:spacing w:line="260" w:lineRule="auto"/>
              <w:jc w:val="center"/>
            </w:pPr>
            <w:r>
              <w:rPr>
                <w:rFonts w:ascii="Times New Roman" w:hAnsi="Times New Roman" w:eastAsia="宋体"/>
                <w:sz w:val="16"/>
                <w:szCs w:val="16"/>
              </w:rPr>
              <w:t>0.407</w:t>
            </w:r>
          </w:p>
        </w:tc>
        <w:tc>
          <w:tcPr>
            <w:tcW w:w="533" w:type="dxa"/>
            <w:tcBorders>
              <w:top w:val="nil"/>
              <w:left w:val="nil"/>
              <w:bottom w:val="single" w:color="000000" w:sz="12" w:space="0"/>
              <w:right w:val="nil"/>
            </w:tcBorders>
            <w:tcMar>
              <w:top w:w="60" w:type="dxa"/>
              <w:left w:w="40" w:type="dxa"/>
              <w:bottom w:w="60" w:type="dxa"/>
              <w:right w:w="40" w:type="dxa"/>
            </w:tcMar>
          </w:tcPr>
          <w:p w14:paraId="4870FFAD">
            <w:pPr>
              <w:spacing w:line="260" w:lineRule="auto"/>
              <w:jc w:val="center"/>
            </w:pPr>
            <w:r>
              <w:rPr>
                <w:rFonts w:ascii="Times New Roman" w:hAnsi="Times New Roman" w:eastAsia="宋体"/>
                <w:sz w:val="16"/>
                <w:szCs w:val="16"/>
              </w:rPr>
              <w:t>0.520</w:t>
            </w:r>
          </w:p>
        </w:tc>
      </w:tr>
    </w:tbl>
    <w:p w14:paraId="7CDA6818"/>
    <w:p w14:paraId="5230988A">
      <w:pPr>
        <w:spacing w:line="360" w:lineRule="auto"/>
        <w:ind w:firstLine="480"/>
        <w:jc w:val="both"/>
      </w:pPr>
      <w:r>
        <w:rPr>
          <w:rFonts w:ascii="Times New Roman" w:hAnsi="Times New Roman" w:eastAsia="宋体"/>
          <w:sz w:val="24"/>
          <w:szCs w:val="24"/>
        </w:rPr>
        <w:t>具体而言,在物种实体维度上,GPT-5.4 mini 取得 F1 = 0.769 的最佳表现,Gemini 3 Flash Preview 紧随其后达到 0.758,二者均在 0.76 上下,Qwen3.6 Plus、Claude Haiku 4.5、DeepSeek V4 Pro 三款集中在 0.65 至 0.66 区间,MiniMax M2.7 以 0.573 落后。在互作关系维度上,Gemini 3 Flash Preview 与 GPT-5.4 mini 并列以 F1 = 0.820 领先,Claude Haiku 4.5 以 0.814 紧随,DeepSeek V4 Pro 与 MiniMax M2.7 在 0.65 至 0.69 区间,Qwen3.6 Plus 以 0.640 居末——值得关注的是,Qwen3.6 Plus 在该维度的精确率高达 0.981,但召回率仅 0.475,呈现出明显的“保守抽取、宁缺毋滥”倾向。在环境因素维度上,所有六款模型的 F1 都在 0.43 至 0.61 之间,整体显著低于物种与关系两项;Gemini 3 Flash Preview 以 0.604 领先,DeepSeek V4 Pro 以 0.434 落后。在研究方法维度上,所有模型的 F1 都低于 0.55,这是六个维度中表现最为吃力的一项,Claude Haiku 4.5 以 0.544 暂居第一,GPT-5.4 mini 以 0.459 落后。在最严格的核心三元组维度上,Claude Haiku 4.5 以 F1 = 0.637 拔得头筹,GPT-5.4 mini 以 0.620 紧随,Gemini 3 Flash Preview 为 0.607,其他三款均在 0.52 至 0.56 区间。</w:t>
      </w:r>
    </w:p>
    <w:p w14:paraId="21A36C7B">
      <w:pPr>
        <w:pStyle w:val="3"/>
        <w:spacing w:before="320" w:after="160"/>
      </w:pPr>
      <w:r>
        <w:rPr>
          <w:rFonts w:ascii="Times New Roman" w:hAnsi="Times New Roman" w:eastAsia="黑体"/>
          <w:b/>
          <w:bCs/>
          <w:sz w:val="28"/>
          <w:szCs w:val="28"/>
        </w:rPr>
        <w:t>7.5 评测发现与分析</w:t>
      </w:r>
    </w:p>
    <w:p w14:paraId="075FF19A">
      <w:pPr>
        <w:spacing w:line="360" w:lineRule="auto"/>
        <w:ind w:firstLine="480"/>
        <w:jc w:val="both"/>
      </w:pPr>
      <w:r>
        <w:rPr>
          <w:rFonts w:ascii="Times New Roman" w:hAnsi="Times New Roman" w:eastAsia="宋体"/>
          <w:sz w:val="24"/>
          <w:szCs w:val="24"/>
        </w:rPr>
        <w:t>完整的六模型评测带来了三点值得在数据集报告中专门讨论的发现,这些发现既影响数据集后续的主力模型选择,也对生态学领域大模型能力的认识具有独立价值。</w:t>
      </w:r>
    </w:p>
    <w:p w14:paraId="094EE458">
      <w:pPr>
        <w:spacing w:line="360" w:lineRule="auto"/>
        <w:ind w:firstLine="480"/>
        <w:jc w:val="both"/>
      </w:pPr>
      <w:r>
        <w:rPr>
          <w:rFonts w:ascii="Times New Roman" w:hAnsi="Times New Roman" w:eastAsia="宋体"/>
          <w:sz w:val="24"/>
          <w:szCs w:val="24"/>
        </w:rPr>
        <w:t>第一点发现是综合最优模型与价格最低模型在本任务上是同一款。Gemini 3 Flash Preview 在物种、关系、环境三个维度上均位居前两位,而它的 token 单价又是六款模型中最低的一档。这意味着对于大规模文献抽取这种 token 消耗与质量同样敏感的场景,Gemini 3 Flash Preview 是当前最具性价比的选择。出于这一原因,主流水线后续将以该模型作为默认抽取后端,GPT-5.4 mini 作为兜底替代。</w:t>
      </w:r>
    </w:p>
    <w:p w14:paraId="5B3BBB6E">
      <w:pPr>
        <w:spacing w:line="360" w:lineRule="auto"/>
        <w:ind w:firstLine="480"/>
        <w:jc w:val="both"/>
      </w:pPr>
      <w:r>
        <w:rPr>
          <w:rFonts w:ascii="Times New Roman" w:hAnsi="Times New Roman" w:eastAsia="宋体"/>
          <w:sz w:val="24"/>
          <w:szCs w:val="24"/>
        </w:rPr>
        <w:t>第二点发现是精确率与召回率之间的取舍模式因模型而异。Qwen3.6 Plus 与 DeepSeek V4 Pro 表现出明显的“精确率优势型”模式——前者在关系维度上精确率高达 0.981,后者在核心三元组上精确率达 0.702,但两款模型的召回率普遍只能达到 0.40 至 0.55 的水平,意味着它们倾向于只输出非常确定的事件、而漏掉大量边界事件。与此相反,GPT-5.4 mini 表现出“召回均衡型”模式,在所有五维上的召回率都稳定在 0.53 至 0.79 区间。这种模式差异背后,可能反映了不同模型在对待“严格 JSON 输出”约束时的不同保守度,也可能反映了训练数据中科学文献占比的差异。对于希望“宁滥勿缺”的下游应用,Qwen3.6 Plus 与 DeepSeek V4 Pro 是更合适的选择;对于希望“全面覆盖”的应用,GPT-5.4 mini 与 Gemini 3 Flash Preview 是更合适的选择。</w:t>
      </w:r>
    </w:p>
    <w:p w14:paraId="2961B1FA">
      <w:pPr>
        <w:spacing w:line="360" w:lineRule="auto"/>
        <w:ind w:firstLine="480"/>
        <w:jc w:val="both"/>
      </w:pPr>
      <w:r>
        <w:rPr>
          <w:rFonts w:ascii="Times New Roman" w:hAnsi="Times New Roman" w:eastAsia="宋体"/>
          <w:sz w:val="24"/>
          <w:szCs w:val="24"/>
        </w:rPr>
        <w:t>第三点发现是所有六款模型在“研究方法”维度上 F1 普遍低于 0.55,显著弱于其他四维。这是一个值得领域研究者注意的能力空白——研究方法字段在原文中通常以一段叙述的形式表达(例如“通过 24 小时摄食实验并使用稳定同位素 ¹⁵N 示踪,我们发现……”),既不像物种名那样具有规范化的双名法,也不像关系类型那样属于闭集词汇,而是一种半开放的领域术语。即便是综合表现最好的几款模型,在这一维上也只能达到中等偏下水平。这一发现指向了未来工作的两个方向:一是在数据集层面建立更细颗粒度的“方法类型”标签词典;二是在模型层面针对领域方法术语做专门的对齐微调。</w:t>
      </w:r>
    </w:p>
    <w:p w14:paraId="7F04046C">
      <w:r>
        <w:br w:type="page"/>
      </w:r>
    </w:p>
    <w:p w14:paraId="26ED8AD8">
      <w:pPr>
        <w:pStyle w:val="2"/>
        <w:spacing w:before="480" w:after="240"/>
      </w:pPr>
      <w:r>
        <w:rPr>
          <w:rFonts w:ascii="Times New Roman" w:hAnsi="Times New Roman" w:eastAsia="黑体"/>
          <w:b/>
          <w:bCs/>
          <w:sz w:val="32"/>
          <w:szCs w:val="32"/>
        </w:rPr>
        <w:t>第八章 应用场景与下游使用</w:t>
      </w:r>
    </w:p>
    <w:p w14:paraId="044BDADF">
      <w:pPr>
        <w:spacing w:line="360" w:lineRule="auto"/>
        <w:ind w:firstLine="480"/>
        <w:jc w:val="both"/>
      </w:pPr>
      <w:r>
        <w:rPr>
          <w:rFonts w:ascii="Times New Roman" w:hAnsi="Times New Roman" w:eastAsia="宋体"/>
          <w:sz w:val="24"/>
          <w:szCs w:val="24"/>
        </w:rPr>
        <w:t>本章讨论 v0.1 数据集与配套流水线在下游的具体使用方式。我们刻意把这一章独立出来,是因为评审框架中“AI-Ready 与科学推理支持能力”维度的核心关切就是数据集能否被 AI 系统直接消费;同时这也回应“科学价值与探索创新性”维度对数据下游影响力的关注。</w:t>
      </w:r>
    </w:p>
    <w:p w14:paraId="2B3E15A9">
      <w:pPr>
        <w:pStyle w:val="3"/>
        <w:spacing w:before="320" w:after="160"/>
      </w:pPr>
      <w:r>
        <w:rPr>
          <w:rFonts w:ascii="Times New Roman" w:hAnsi="Times New Roman" w:eastAsia="黑体"/>
          <w:b/>
          <w:bCs/>
          <w:sz w:val="28"/>
          <w:szCs w:val="28"/>
        </w:rPr>
        <w:t>8.1 跨模态科学知识检索</w:t>
      </w:r>
    </w:p>
    <w:p w14:paraId="0B4F2B98">
      <w:pPr>
        <w:spacing w:line="360" w:lineRule="auto"/>
        <w:ind w:firstLine="480"/>
        <w:jc w:val="both"/>
      </w:pPr>
      <w:r>
        <w:rPr>
          <w:rFonts w:ascii="Times New Roman" w:hAnsi="Times New Roman" w:eastAsia="宋体"/>
          <w:sz w:val="24"/>
          <w:szCs w:val="24"/>
        </w:rPr>
        <w:t>数据集最直接的应用场景是支持基于自然语言的跨模态科学知识检索。在传统的关键词检索范式下,研究者想要回答“在限磷条件下,哪些蓝藻能够通过偏害作用抑制其他藻类的生长”这种带条件的问题,需要阅读数十甚至上百篇文献并自行综合。在本数据集与下游 Text2Cypher 系统的支持下,这种问题可以被直接翻译为一条 Cypher 查询,在 Neo4j 图谱上得到结构化答案。Neo4j 自带的 APOC 插件与开源的 Text2Cypher 模型,可以让这一应用在 v0.1 数据上立即可用。</w:t>
      </w:r>
    </w:p>
    <w:p w14:paraId="68D7EDD3">
      <w:pPr>
        <w:spacing w:line="360" w:lineRule="auto"/>
        <w:ind w:firstLine="480"/>
        <w:jc w:val="both"/>
      </w:pPr>
      <w:r>
        <w:rPr>
          <w:rFonts w:ascii="Times New Roman" w:hAnsi="Times New Roman" w:eastAsia="宋体"/>
          <w:sz w:val="24"/>
          <w:szCs w:val="24"/>
        </w:rPr>
        <w:t>一个具体的查询范例如下:</w:t>
      </w:r>
    </w:p>
    <w:p w14:paraId="48C1BB6C">
      <w:pPr>
        <w:spacing w:line="280" w:lineRule="auto"/>
        <w:ind w:left="360"/>
      </w:pPr>
      <w:r>
        <w:rPr>
          <w:rFonts w:ascii="Consolas" w:hAnsi="Consolas" w:eastAsia="Consolas" w:cs="Consolas"/>
          <w:sz w:val="18"/>
          <w:szCs w:val="18"/>
        </w:rPr>
        <w:t>MATCH (t1:Taxa {category: "藻类"})-[:PARTICIPATE_IN]-&gt;</w:t>
      </w:r>
    </w:p>
    <w:p w14:paraId="3E23C7BB">
      <w:pPr>
        <w:spacing w:line="280" w:lineRule="auto"/>
        <w:ind w:left="360"/>
      </w:pPr>
      <w:r>
        <w:rPr>
          <w:rFonts w:ascii="Consolas" w:hAnsi="Consolas" w:eastAsia="Consolas" w:cs="Consolas"/>
          <w:sz w:val="18"/>
          <w:szCs w:val="18"/>
        </w:rPr>
        <w:t xml:space="preserve">      (e:InteractionEvent {relation: "偏害共生"})</w:t>
      </w:r>
    </w:p>
    <w:p w14:paraId="229494D2">
      <w:pPr>
        <w:spacing w:line="280" w:lineRule="auto"/>
        <w:ind w:left="360"/>
      </w:pPr>
      <w:r>
        <w:rPr>
          <w:rFonts w:ascii="Consolas" w:hAnsi="Consolas" w:eastAsia="Consolas" w:cs="Consolas"/>
          <w:sz w:val="18"/>
          <w:szCs w:val="18"/>
        </w:rPr>
        <w:t xml:space="preserve">      &lt;-[:PARTICIPATE_IN]-(t2:Taxa {category: "藻类"})</w:t>
      </w:r>
    </w:p>
    <w:p w14:paraId="4FD04499">
      <w:pPr>
        <w:spacing w:line="280" w:lineRule="auto"/>
        <w:ind w:left="360"/>
      </w:pPr>
      <w:r>
        <w:rPr>
          <w:rFonts w:ascii="Consolas" w:hAnsi="Consolas" w:eastAsia="Consolas" w:cs="Consolas"/>
          <w:sz w:val="18"/>
          <w:szCs w:val="18"/>
        </w:rPr>
        <w:t>MATCH (e)-[:UNDER_ENVIRONMENT]-&gt;(env:Environment)</w:t>
      </w:r>
    </w:p>
    <w:p w14:paraId="0C70BC18">
      <w:pPr>
        <w:spacing w:line="280" w:lineRule="auto"/>
        <w:ind w:left="360"/>
      </w:pPr>
      <w:r>
        <w:rPr>
          <w:rFonts w:ascii="Consolas" w:hAnsi="Consolas" w:eastAsia="Consolas" w:cs="Consolas"/>
          <w:sz w:val="18"/>
          <w:szCs w:val="18"/>
        </w:rPr>
        <w:t>MATCH (e)-[:SUPPORTED_BY]-&gt;(s:Source)</w:t>
      </w:r>
    </w:p>
    <w:p w14:paraId="02A79670">
      <w:pPr>
        <w:spacing w:line="280" w:lineRule="auto"/>
        <w:ind w:left="360"/>
      </w:pPr>
      <w:r>
        <w:rPr>
          <w:rFonts w:ascii="Consolas" w:hAnsi="Consolas" w:eastAsia="Consolas" w:cs="Consolas"/>
          <w:sz w:val="18"/>
          <w:szCs w:val="18"/>
        </w:rPr>
        <w:t>WHERE env.chemical CONTAINS "限磷" OR env.chemical CONTAINS "P-limited"</w:t>
      </w:r>
    </w:p>
    <w:p w14:paraId="3DCA2902">
      <w:pPr>
        <w:spacing w:line="280" w:lineRule="auto"/>
        <w:ind w:left="360"/>
      </w:pPr>
      <w:r>
        <w:rPr>
          <w:rFonts w:ascii="Consolas" w:hAnsi="Consolas" w:eastAsia="Consolas" w:cs="Consolas"/>
          <w:sz w:val="18"/>
          <w:szCs w:val="18"/>
        </w:rPr>
        <w:t>RETURN t1.name AS suppressor, t2.name AS suppressed,</w:t>
      </w:r>
    </w:p>
    <w:p w14:paraId="254488C5">
      <w:pPr>
        <w:spacing w:line="280" w:lineRule="auto"/>
        <w:ind w:left="360"/>
      </w:pPr>
      <w:r>
        <w:rPr>
          <w:rFonts w:ascii="Consolas" w:hAnsi="Consolas" w:eastAsia="Consolas" w:cs="Consolas"/>
          <w:sz w:val="18"/>
          <w:szCs w:val="18"/>
        </w:rPr>
        <w:t xml:space="preserve">       env.chemical AS condition, s.doi AS source;</w:t>
      </w:r>
    </w:p>
    <w:p w14:paraId="23F7BE1C">
      <w:pPr>
        <w:spacing w:line="360" w:lineRule="auto"/>
        <w:ind w:firstLine="480"/>
        <w:jc w:val="both"/>
      </w:pPr>
      <w:r>
        <w:rPr>
          <w:rFonts w:ascii="Times New Roman" w:hAnsi="Times New Roman" w:eastAsia="宋体"/>
          <w:sz w:val="24"/>
          <w:szCs w:val="24"/>
        </w:rPr>
        <w:t>这种查询同时利用了事件中心型拓扑(因为环境条件挂在事件节点上而非物种节点上)与 TRAES 五元组的语义完备性(返回结果同时包含主客体、环境条件和文献来源)。</w:t>
      </w:r>
    </w:p>
    <w:p w14:paraId="36E09AC3">
      <w:pPr>
        <w:pStyle w:val="3"/>
        <w:spacing w:before="320" w:after="160"/>
      </w:pPr>
      <w:r>
        <w:rPr>
          <w:rFonts w:ascii="Times New Roman" w:hAnsi="Times New Roman" w:eastAsia="黑体"/>
          <w:b/>
          <w:bCs/>
          <w:sz w:val="28"/>
          <w:szCs w:val="28"/>
        </w:rPr>
        <w:t>8.2 物种互作关系预测模型的训练数据</w:t>
      </w:r>
    </w:p>
    <w:p w14:paraId="2EEA5176">
      <w:pPr>
        <w:spacing w:line="360" w:lineRule="auto"/>
        <w:ind w:firstLine="480"/>
        <w:jc w:val="both"/>
      </w:pPr>
      <w:r>
        <w:rPr>
          <w:rFonts w:ascii="Times New Roman" w:hAnsi="Times New Roman" w:eastAsia="宋体"/>
          <w:sz w:val="24"/>
          <w:szCs w:val="24"/>
        </w:rPr>
        <w:t>数据集的第二类应用是作为物种互作预测模型的训练数据。在 v0.1 规模下,八百四十七条事件还不足以训练任意模型,但配套的抽取流水线可以让任意一个有 API 预算的下游团队,把流水线应用到自己的文献集合上,产出更大规模的训练语料。我们在 GitHub 仓库中公开了完整的抽取代码、提示词、配置参数,以及处理过程中遇到的若干 corner case 的处理方式,使得任何下游研究者都可以以最低成本复现整条流水线。</w:t>
      </w:r>
    </w:p>
    <w:p w14:paraId="22FD6330">
      <w:pPr>
        <w:spacing w:line="360" w:lineRule="auto"/>
        <w:ind w:firstLine="480"/>
        <w:jc w:val="both"/>
      </w:pPr>
      <w:r>
        <w:rPr>
          <w:rFonts w:ascii="Times New Roman" w:hAnsi="Times New Roman" w:eastAsia="宋体"/>
          <w:sz w:val="24"/>
          <w:szCs w:val="24"/>
        </w:rPr>
        <w:t>从长期看,当数据集扩展到万级以上事件规模后,基于 TRAES 五元组的结构化数据可以直接用于训练以下几类下游模型:基于物种对的关系类型预测模型(给定一对物种和环境,预测最可能的关系)、基于关系的物种推荐模型(给定一个物种和目标关系,推荐可能的互作对象)、基于环境的关系演变模型(给定环境参数变化,预测关系的稳定性)。这些模型的训练目标与本数据集的字段设计是天然对齐的,数据可以无须额外特征工程直接喂给模型。</w:t>
      </w:r>
    </w:p>
    <w:p w14:paraId="42FE808D">
      <w:pPr>
        <w:pStyle w:val="3"/>
        <w:spacing w:before="320" w:after="160"/>
      </w:pPr>
      <w:r>
        <w:rPr>
          <w:rFonts w:ascii="Times New Roman" w:hAnsi="Times New Roman" w:eastAsia="黑体"/>
          <w:b/>
          <w:bCs/>
          <w:sz w:val="28"/>
          <w:szCs w:val="28"/>
        </w:rPr>
        <w:t>8.3 生态学领域大模型微调与评测基准</w:t>
      </w:r>
    </w:p>
    <w:p w14:paraId="323D401B">
      <w:pPr>
        <w:spacing w:line="360" w:lineRule="auto"/>
        <w:ind w:firstLine="480"/>
        <w:jc w:val="both"/>
      </w:pPr>
      <w:r>
        <w:rPr>
          <w:rFonts w:ascii="Times New Roman" w:hAnsi="Times New Roman" w:eastAsia="宋体"/>
          <w:sz w:val="24"/>
          <w:szCs w:val="24"/>
        </w:rPr>
        <w:t>数据集的第三类应用是作为生态学领域大模型微调与评测的基础数据。微生物互作的事件级结构化数据,可以被转换为多种微调任务的训练样本:从文献片段反推 TRAES 五元组的事件抽取任务,从五元组反生成自然语言描述的事件叙述任务,基于事件多跳推理的生态学问答任务等。这些任务都可以从本数据集自动生成对应的训练样本,无须额外的人工标注。</w:t>
      </w:r>
    </w:p>
    <w:p w14:paraId="5500BE2F">
      <w:pPr>
        <w:spacing w:line="360" w:lineRule="auto"/>
        <w:ind w:firstLine="480"/>
        <w:jc w:val="both"/>
      </w:pPr>
      <w:r>
        <w:rPr>
          <w:rFonts w:ascii="Times New Roman" w:hAnsi="Times New Roman" w:eastAsia="宋体"/>
          <w:sz w:val="24"/>
          <w:szCs w:val="24"/>
        </w:rPr>
        <w:t>对于评测基准而言,本数据集的多模态对齐字段(在后续版本完整回填后)可以作为评测大模型在生态学领域跨模态推理能力的标准测试集——例如,可以测试模型在给定一段正文和一张图的情况下,能否准确推断出该事件的关系类型与方向性,这是当前通用大模型基准中没有覆盖的细分能力。</w:t>
      </w:r>
    </w:p>
    <w:p w14:paraId="4F036A13">
      <w:pPr>
        <w:pStyle w:val="3"/>
        <w:spacing w:before="320" w:after="160"/>
      </w:pPr>
      <w:r>
        <w:rPr>
          <w:rFonts w:ascii="Times New Roman" w:hAnsi="Times New Roman" w:eastAsia="黑体"/>
          <w:b/>
          <w:bCs/>
          <w:sz w:val="28"/>
          <w:szCs w:val="28"/>
        </w:rPr>
        <w:t>8.4 与已有数据库的互补关系</w:t>
      </w:r>
    </w:p>
    <w:p w14:paraId="6DAEFAA4">
      <w:pPr>
        <w:spacing w:line="360" w:lineRule="auto"/>
        <w:ind w:firstLine="480"/>
        <w:jc w:val="both"/>
      </w:pPr>
      <w:r>
        <w:rPr>
          <w:rFonts w:ascii="Times New Roman" w:hAnsi="Times New Roman" w:eastAsia="宋体"/>
          <w:sz w:val="24"/>
          <w:szCs w:val="24"/>
        </w:rPr>
        <w:t>我们要诚实交代本数据集与 GLOBI 等已有公开数据库的关系。GLOBI 累积了数百万条物种互作记录,在规模上远超本数据集,但它的记录形式是扁平的二元关系,不带环境上下文和实验方法证据。本数据集与 GLOBI 在结构上是互补而非替代:本数据集擅长保留事件级证据链与跨模态对齐,适合需要带条件查询和深度溯源的应用;GLOBI 擅长大规模的物种对级汇总,适合需要广泛覆盖率的应用。两者可以在下游应用中以组合方式使用——基于 GLOBI 做粗粒度筛选,再基于本数据集做精细化的事件级查询。</w:t>
      </w:r>
    </w:p>
    <w:p w14:paraId="300C6928">
      <w:r>
        <w:br w:type="page"/>
      </w:r>
    </w:p>
    <w:p w14:paraId="332D6353">
      <w:pPr>
        <w:pStyle w:val="2"/>
        <w:spacing w:before="480" w:after="240"/>
      </w:pPr>
      <w:r>
        <w:rPr>
          <w:rFonts w:ascii="Times New Roman" w:hAnsi="Times New Roman" w:eastAsia="黑体"/>
          <w:b/>
          <w:bCs/>
          <w:sz w:val="32"/>
          <w:szCs w:val="32"/>
        </w:rPr>
        <w:t>第九章 局限性与扩展路线图</w:t>
      </w:r>
    </w:p>
    <w:p w14:paraId="06885D27">
      <w:pPr>
        <w:spacing w:line="360" w:lineRule="auto"/>
        <w:ind w:firstLine="480"/>
        <w:jc w:val="both"/>
      </w:pPr>
      <w:r>
        <w:rPr>
          <w:rFonts w:ascii="Times New Roman" w:hAnsi="Times New Roman" w:eastAsia="宋体"/>
          <w:sz w:val="24"/>
          <w:szCs w:val="24"/>
        </w:rPr>
        <w:t>本期 v0.1 在数据规模上止步于二十篇文献、八百四十七条互作事件。这一规模决定了 v0.1 的主要价值落在本体设计、抽取流水线工程实现以及试点验证的方法学贡献上,而尚不构成可直接用于下游模型训练的领域语料库。这一点我们已经在前文反复诚实交代,这里再做一次明确——v0.1 是种子集加可复现方法,不是训练集。</w:t>
      </w:r>
    </w:p>
    <w:p w14:paraId="7E6BD13D">
      <w:pPr>
        <w:spacing w:line="360" w:lineRule="auto"/>
        <w:ind w:firstLine="480"/>
        <w:jc w:val="both"/>
      </w:pPr>
      <w:r>
        <w:rPr>
          <w:rFonts w:ascii="Times New Roman" w:hAnsi="Times New Roman" w:eastAsia="宋体"/>
          <w:sz w:val="24"/>
          <w:szCs w:val="24"/>
        </w:rPr>
        <w:t>v0.1 已识别的具体局限包括以下几方面。第一,关系类型分布存在如 6.3 节所述的偏倚,后续版本将通过文献检索式的均衡设计与抽取提示词的边界判别指引共同纠正。第二,多模态对齐字段在 v0.1 阶段尚未完整回填到事件节点上,字符偏移指针(char_span)与图像、表格、公式的具体关联信息留待后续版本补齐;所需的上游素材已在本期产出并归档,回填工作不需要重新调用任何外部 API。第三,语种范围仅限英文,中文文献的处理流程未在本期开发。第四,关系粒度被限定为六类生态学标准术语,牺牲了诸如“干扰竞争”与“资源竞争”等细分子类型的区分能力,这是在 v0.1 阶段为追求闭集严谨性所做的取舍。第五,事件本身不携带显式的时间戳与采样地理坐标维度,仅通过 DOI 间接关联到出版时间,这一维度的扩展在后续版本中会被纳入考虑。</w:t>
      </w:r>
    </w:p>
    <w:p w14:paraId="4D5252ED">
      <w:pPr>
        <w:spacing w:line="360" w:lineRule="auto"/>
        <w:ind w:firstLine="480"/>
        <w:jc w:val="both"/>
      </w:pPr>
      <w:r>
        <w:rPr>
          <w:rFonts w:ascii="Times New Roman" w:hAnsi="Times New Roman" w:eastAsia="宋体"/>
          <w:sz w:val="24"/>
          <w:szCs w:val="24"/>
        </w:rPr>
        <w:t>从 v0.1 到大规模版本的扩展路线图,按优先级分为三条线推进。第一条线是按现有流水线扩充文献规模,把抽取从二十篇逐步扩展到上千篇直至两万篇全集,同步完成多模态对齐字段的回填与关系类型分布的均衡。第二条线是把 Sci-Align 数据扩展到 Sci-Evo 范式——淡水微生物文献中往往隐含完整的“问题提出 — 假设形成 — 方法设计 — 实验执行 — 结果讨论 — 结论修正”研究链路,适当的提示词工程可以将其抽取为研究链路数据集,对模型在领域推理、实验设计与失败修正等高阶任务上的训练具有独特价值。第三条线是引入领域专家在线众包审核,提升 Taxa 与 Environment 维度的标注质量,并与 GLOBI、World Register of Marine Species 等公开数据库做交叉验证与互补合并。</w:t>
      </w:r>
    </w:p>
    <w:p w14:paraId="10A8C3EF">
      <w:r>
        <w:br w:type="page"/>
      </w:r>
    </w:p>
    <w:p w14:paraId="3ED0E373">
      <w:pPr>
        <w:pStyle w:val="2"/>
        <w:spacing w:before="480" w:after="240"/>
      </w:pPr>
      <w:r>
        <w:rPr>
          <w:rFonts w:ascii="Times New Roman" w:hAnsi="Times New Roman" w:eastAsia="黑体"/>
          <w:b/>
          <w:bCs/>
          <w:sz w:val="32"/>
          <w:szCs w:val="32"/>
        </w:rPr>
        <w:t>第十章 依赖项、开源与可复现性</w:t>
      </w:r>
    </w:p>
    <w:p w14:paraId="5E2F6BB5">
      <w:pPr>
        <w:pStyle w:val="3"/>
        <w:spacing w:before="320" w:after="160"/>
      </w:pPr>
      <w:r>
        <w:rPr>
          <w:rFonts w:ascii="Times New Roman" w:hAnsi="Times New Roman" w:eastAsia="黑体"/>
          <w:b/>
          <w:bCs/>
          <w:sz w:val="28"/>
          <w:szCs w:val="28"/>
        </w:rPr>
        <w:t>10.1 工具与模型版本清单</w:t>
      </w:r>
    </w:p>
    <w:p w14:paraId="70F99402">
      <w:pPr>
        <w:spacing w:line="360" w:lineRule="auto"/>
        <w:ind w:firstLine="480"/>
        <w:jc w:val="both"/>
      </w:pPr>
      <w:r>
        <w:rPr>
          <w:rFonts w:ascii="Times New Roman" w:hAnsi="Times New Roman" w:eastAsia="宋体"/>
          <w:sz w:val="24"/>
          <w:szCs w:val="24"/>
        </w:rPr>
        <w:t>为支持下游研究者复现本数据集的构建过程,我们在此完整列出 v0.1 流水线所使用的全部工具、模型与软件依赖。MinerU 工具链对应赛题硬性要求,使用的是 MinerU 开源项目的 Docker 部署版本,负责 PDF 文献的版面解析。Qwen3.5-VL(122B-A10B 版本)作为多模态视觉语言模型,通过官方 API 调用,负责对 MinerU 切出的图像生成中文语义描述。事件抽取阶段采用可插拔架构,在 v0.1 阶段对六款主流大语言模型做了完整的横向评测:Gemini 3 Flash Preview、GPT-5.4 mini、Claude Haiku 4.5、Qwen3.6 Plus、DeepSeek V4 Pro、MiniMax M2.7;经综合 F1 比较后,主流水线采用 Gemini 3 Flash Preview 作为默认抽取模型、GPT-5.4 mini 作为兜底替代。评估裁判模型独立使用 Claude Haiku 4.5,负责五维评估中的语义匹配裁判。图数据库使用 Neo4j Community 版本,启用 APOC 插件支持高级图算法与数据导入导出。</w:t>
      </w:r>
    </w:p>
    <w:p w14:paraId="22D15FAC">
      <w:pPr>
        <w:spacing w:line="360" w:lineRule="auto"/>
        <w:ind w:firstLine="480"/>
        <w:jc w:val="both"/>
      </w:pPr>
      <w:r>
        <w:rPr>
          <w:rFonts w:ascii="Times New Roman" w:hAnsi="Times New Roman" w:eastAsia="宋体"/>
          <w:sz w:val="24"/>
          <w:szCs w:val="24"/>
        </w:rPr>
        <w:t>Python 端的主要依赖包括:Python 运行时(&gt;= 3.10)、neo4j 驱动(&gt;= 5.0)、openai 兼容客户端(&gt;= 1.0,用于调用 MiniMax 与 Qwen 的兼容接口)、requests(HTTP 调用)、tqdm(进度显示)、jsonschema(schema 校验)、pandas(统计与数据整理)。基础设施层面,流水线在 Ubuntu 22.04 操作系统上以 Docker Compose 容器化部署。</w:t>
      </w:r>
    </w:p>
    <w:p w14:paraId="2D56BAE6">
      <w:pPr>
        <w:pStyle w:val="3"/>
        <w:spacing w:before="320" w:after="160"/>
      </w:pPr>
      <w:r>
        <w:rPr>
          <w:rFonts w:ascii="Times New Roman" w:hAnsi="Times New Roman" w:eastAsia="黑体"/>
          <w:b/>
          <w:bCs/>
          <w:sz w:val="28"/>
          <w:szCs w:val="28"/>
        </w:rPr>
        <w:t>10.2 开源去向与协议</w:t>
      </w:r>
    </w:p>
    <w:p w14:paraId="1C26F2F8">
      <w:pPr>
        <w:spacing w:line="360" w:lineRule="auto"/>
        <w:ind w:firstLine="480"/>
        <w:jc w:val="both"/>
      </w:pPr>
      <w:r>
        <w:rPr>
          <w:rFonts w:ascii="Times New Roman" w:hAnsi="Times New Roman" w:eastAsia="宋体"/>
          <w:sz w:val="24"/>
          <w:szCs w:val="24"/>
        </w:rPr>
        <w:t>数据集与配套代码以开源方式向社区公开。数据集的主分发渠道为 OpenDataLab,以 CC-BY-4.0 协议授权;同时在 HuggingFace Datasets 提供镜像,供海外研究者获取。抽取流水线与评估脚本的源代码以 Apache 2.0 协议开源至 GitHub,与数据集主页通过双向链接互相引用。原始 PDF 文献版权归各出版商所有,本数据集仅分发从文献中抽取的结构化事实信息及字符偏移指针,不分发文献原文。</w:t>
      </w:r>
    </w:p>
    <w:p w14:paraId="26AB6B5E">
      <w:pPr>
        <w:spacing w:line="360" w:lineRule="auto"/>
        <w:ind w:firstLine="480"/>
        <w:jc w:val="both"/>
      </w:pPr>
      <w:r>
        <w:rPr>
          <w:rFonts w:ascii="Times New Roman" w:hAnsi="Times New Roman" w:eastAsia="宋体"/>
          <w:sz w:val="24"/>
          <w:szCs w:val="24"/>
        </w:rPr>
        <w:t>我们选择 CC-BY-4.0 作为数据集协议,而非更宽松的 CC0 或更严格的 CC-BY-SA,有两点考虑。一是 CC-BY-4.0 是赛题推荐的协议,也是 OpenDataLab 平台上多数数据集采用的协议,选择它有利于下游使用者在熟悉的协议体系下使用;二是 CC-BY-4.0 要求署名但允许商业使用,这对促进数据集在工业界的下游应用是友好的。代码端选择 Apache 2.0 而非 MIT,是为了在专利保护方面提供更明确的条款,以适应可能的工业界采纳。</w:t>
      </w:r>
    </w:p>
    <w:p w14:paraId="295634B4">
      <w:pPr>
        <w:pStyle w:val="3"/>
        <w:spacing w:before="320" w:after="160"/>
      </w:pPr>
      <w:r>
        <w:rPr>
          <w:rFonts w:ascii="Times New Roman" w:hAnsi="Times New Roman" w:eastAsia="黑体"/>
          <w:b/>
          <w:bCs/>
          <w:sz w:val="28"/>
          <w:szCs w:val="28"/>
        </w:rPr>
        <w:t>10.3 可复现性保障</w:t>
      </w:r>
    </w:p>
    <w:p w14:paraId="350458F7">
      <w:pPr>
        <w:spacing w:line="360" w:lineRule="auto"/>
        <w:ind w:firstLine="480"/>
        <w:jc w:val="both"/>
      </w:pPr>
      <w:r>
        <w:rPr>
          <w:rFonts w:ascii="Times New Roman" w:hAnsi="Times New Roman" w:eastAsia="宋体"/>
          <w:sz w:val="24"/>
          <w:szCs w:val="24"/>
        </w:rPr>
        <w:t>为支持研究者复现本数据集的构建过程,我们在 GitHub 仓库中提供了完整的配置文件:抽取阶段所使用的提示词模板、各阶段所使用的模型版本、自适应分块的字数与重叠参数(MAX_CHARS = 8000、OVERLAP_SIZE = 1000)、评估阶段的分块大小(CHUNK_SIZE = 15),均集中在 config.yaml 中以版本化方式管理。大语言模型的采样温度被固定为 0.1,以减少随机性对复现结果的影响;评估脚本所使用的标准答案文献也以独立目录的形式开放,供同行直接对比。数据集本身随附一份 Cypher 重建脚本,使用者在本地拉起 Neo4j 容器后,一条命令即可重建完整的事件中心型图谱实例。</w:t>
      </w:r>
    </w:p>
    <w:p w14:paraId="558474D1">
      <w:pPr>
        <w:spacing w:line="360" w:lineRule="auto"/>
        <w:ind w:firstLine="480"/>
        <w:jc w:val="both"/>
      </w:pPr>
      <w:r>
        <w:rPr>
          <w:rFonts w:ascii="Times New Roman" w:hAnsi="Times New Roman" w:eastAsia="宋体"/>
          <w:sz w:val="24"/>
          <w:szCs w:val="24"/>
        </w:rPr>
        <w:t>我们认为可复现性不仅是一项工程要求,更是数据集长期可信度的基础。在 v0.1 阶段把所有可能影响结果的参数全部明确化、开源化,可以让任何下游研究者在不同时间、不同硬件、不同 API 配额条件下,得到与本数据集一致的产出。这种透明度是本作品在数据集生态中能够积累信任的根本。</w:t>
      </w:r>
    </w:p>
    <w:p w14:paraId="40274156">
      <w:r>
        <w:br w:type="page"/>
      </w:r>
    </w:p>
    <w:p w14:paraId="216C602C">
      <w:pPr>
        <w:pStyle w:val="2"/>
        <w:spacing w:before="480" w:after="240"/>
      </w:pPr>
      <w:r>
        <w:rPr>
          <w:rFonts w:ascii="Times New Roman" w:hAnsi="Times New Roman" w:eastAsia="黑体"/>
          <w:b/>
          <w:bCs/>
          <w:sz w:val="32"/>
          <w:szCs w:val="32"/>
        </w:rPr>
        <w:t>第十一章 合规性、原创性与已有成果</w:t>
      </w:r>
    </w:p>
    <w:p w14:paraId="19000D47">
      <w:pPr>
        <w:pStyle w:val="3"/>
        <w:spacing w:before="320" w:after="160"/>
      </w:pPr>
      <w:r>
        <w:rPr>
          <w:rFonts w:ascii="Times New Roman" w:hAnsi="Times New Roman" w:eastAsia="黑体"/>
          <w:b/>
          <w:bCs/>
          <w:sz w:val="28"/>
          <w:szCs w:val="28"/>
        </w:rPr>
        <w:t>11.1 数据来源合规性</w:t>
      </w:r>
    </w:p>
    <w:p w14:paraId="1D8DF7A9">
      <w:pPr>
        <w:spacing w:line="360" w:lineRule="auto"/>
        <w:ind w:firstLine="480"/>
        <w:jc w:val="both"/>
      </w:pPr>
      <w:r>
        <w:rPr>
          <w:rFonts w:ascii="Times New Roman" w:hAnsi="Times New Roman" w:eastAsia="宋体"/>
          <w:sz w:val="24"/>
          <w:szCs w:val="24"/>
        </w:rPr>
        <w:t>本数据集所使用的全部原始文献,均来源于 Web of Science 商业数据库的标准检索结果。我们以参赛队伍所在机构的合法订阅账号进行检索与下载,所有 PDF 文献的获取过程均符合 Web of Science 与各出版商的使用条款。原始文献的版权归各出版商及作者所有,本数据集不分发任何 PDF 原文,也不在 evidence_text 字段中存放超出合理引用范围的连续文本片段——所有 evidence_text 摘录均为支撑事实结论的简短引用(通常单条不超过两到三个句子),符合各国版权法关于"合理引用"的范畴。</w:t>
      </w:r>
    </w:p>
    <w:p w14:paraId="6A7935F7">
      <w:pPr>
        <w:spacing w:line="360" w:lineRule="auto"/>
        <w:ind w:firstLine="480"/>
        <w:jc w:val="both"/>
      </w:pPr>
      <w:r>
        <w:rPr>
          <w:rFonts w:ascii="Times New Roman" w:hAnsi="Times New Roman" w:eastAsia="宋体"/>
          <w:sz w:val="24"/>
          <w:szCs w:val="24"/>
        </w:rPr>
        <w:t>我们在数据集中保留了每条事件对应的 DOI 字段,以便研究者通过该字段在自己有订阅权限的平台上回查原文。这种"事实数据可分发、文献原文需自行获取"的安排,既保护了出版商的版权权益,也维护了数据集本身的开放性。</w:t>
      </w:r>
    </w:p>
    <w:p w14:paraId="59FB6253">
      <w:pPr>
        <w:pStyle w:val="3"/>
        <w:spacing w:before="320" w:after="160"/>
      </w:pPr>
      <w:r>
        <w:rPr>
          <w:rFonts w:ascii="Times New Roman" w:hAnsi="Times New Roman" w:eastAsia="黑体"/>
          <w:b/>
          <w:bCs/>
          <w:sz w:val="28"/>
          <w:szCs w:val="28"/>
        </w:rPr>
        <w:t>11.2 原创性与诚实性声明</w:t>
      </w:r>
    </w:p>
    <w:p w14:paraId="43101AE2">
      <w:pPr>
        <w:spacing w:line="360" w:lineRule="auto"/>
        <w:ind w:firstLine="480"/>
        <w:jc w:val="both"/>
      </w:pPr>
      <w:r>
        <w:rPr>
          <w:rFonts w:ascii="Times New Roman" w:hAnsi="Times New Roman" w:eastAsia="宋体"/>
          <w:sz w:val="24"/>
          <w:szCs w:val="24"/>
        </w:rPr>
        <w:t>本作品在数据生成与处理流程中,严格遵守科学诚信的基本原则,具体声明如下三点。</w:t>
      </w:r>
    </w:p>
    <w:p w14:paraId="227E29AD">
      <w:pPr>
        <w:spacing w:line="360" w:lineRule="auto"/>
        <w:ind w:firstLine="480"/>
        <w:jc w:val="both"/>
      </w:pPr>
      <w:r>
        <w:rPr>
          <w:rFonts w:ascii="Times New Roman" w:hAnsi="Times New Roman" w:eastAsia="宋体"/>
          <w:sz w:val="24"/>
          <w:szCs w:val="24"/>
        </w:rPr>
        <w:t>第一,数据集中的所有互作事件,均来自大语言模型对真实学术文献文本块的事实抽取,没有任何一条事件是由模型基于背景知识或常识虚构而来的。这一点由我们在提示词工程中明确加入的"原文未明确给出的字段统一输出'未提及',不允许基于常识填充"约束所保证(详见 §3.6),并在 §6 节的数据统计中可以验证——许多 environment 与 method 字段在 v0.1 数据中确实保留了"未提及"取值,而非被模型补成默认值。</w:t>
      </w:r>
    </w:p>
    <w:p w14:paraId="14095A3F">
      <w:pPr>
        <w:spacing w:line="360" w:lineRule="auto"/>
        <w:ind w:firstLine="480"/>
        <w:jc w:val="both"/>
      </w:pPr>
      <w:r>
        <w:rPr>
          <w:rFonts w:ascii="Times New Roman" w:hAnsi="Times New Roman" w:eastAsia="宋体"/>
          <w:sz w:val="24"/>
          <w:szCs w:val="24"/>
        </w:rPr>
        <w:t>第二,本作品不存在任何形式的实验结果伪造。本数据集的核心交付物是从已发表文献中抽取的结构化事件,而非任何由我们自行设计与执行的实验。第七章中给出的六模型横向 benchmark 评测结果,所有数字均为我们在统一实验设置下真实运行后的产出,评估脚本与所使用的人工标注真值集均纳入开源范围,接受同行复现与质疑。</w:t>
      </w:r>
    </w:p>
    <w:p w14:paraId="2DFB727D">
      <w:pPr>
        <w:spacing w:line="360" w:lineRule="auto"/>
        <w:ind w:firstLine="480"/>
        <w:jc w:val="both"/>
      </w:pPr>
      <w:r>
        <w:rPr>
          <w:rFonts w:ascii="Times New Roman" w:hAnsi="Times New Roman" w:eastAsia="宋体"/>
          <w:sz w:val="24"/>
          <w:szCs w:val="24"/>
        </w:rPr>
        <w:t>第三,本作品不使用任何未经授权的数据。MinerU 工具链使用其开源版本;Qwen3.5-VL、Gemini 3 Flash Preview、GPT-5.4 mini、Claude Haiku 4.5、Qwen3.6 Plus、DeepSeek V4 Pro、MiniMax M2.7 等大模型均通过各厂商提供的官方付费 API 调用,调用日志在审计需要时可提供;Neo4j 使用其 Community 开源版本;Web of Science 检索通过合法订阅渠道进行。</w:t>
      </w:r>
    </w:p>
    <w:p w14:paraId="74962266">
      <w:pPr>
        <w:pStyle w:val="3"/>
        <w:spacing w:before="320" w:after="160"/>
      </w:pPr>
      <w:r>
        <w:rPr>
          <w:rFonts w:ascii="Times New Roman" w:hAnsi="Times New Roman" w:eastAsia="黑体"/>
          <w:b/>
          <w:bCs/>
          <w:sz w:val="28"/>
          <w:szCs w:val="28"/>
        </w:rPr>
        <w:t>11.3 评估真值集的标注规范</w:t>
      </w:r>
    </w:p>
    <w:p w14:paraId="0D9C55F5">
      <w:pPr>
        <w:spacing w:line="360" w:lineRule="auto"/>
        <w:ind w:firstLine="480"/>
        <w:jc w:val="both"/>
      </w:pPr>
      <w:r>
        <w:rPr>
          <w:rFonts w:ascii="Times New Roman" w:hAnsi="Times New Roman" w:eastAsia="宋体"/>
          <w:sz w:val="24"/>
          <w:szCs w:val="24"/>
        </w:rPr>
        <w:t>本节补充说明第七章评估方法中,所使用的人工标注真值集(Ground Truth Set)的标注规范,以保证评估结果的可复现性。</w:t>
      </w:r>
    </w:p>
    <w:p w14:paraId="2CA06264">
      <w:pPr>
        <w:spacing w:line="360" w:lineRule="auto"/>
        <w:ind w:firstLine="480"/>
        <w:jc w:val="both"/>
      </w:pPr>
      <w:r>
        <w:rPr>
          <w:rFonts w:ascii="Times New Roman" w:hAnsi="Times New Roman" w:eastAsia="宋体"/>
          <w:sz w:val="24"/>
          <w:szCs w:val="24"/>
        </w:rPr>
        <w:t>真值集的标注由本团队具备生态学或微生物学背景的成员承担,标注流程遵循以下规则:每篇待标注文献由两名标注员独立标注,两份标注结果在物种实体、互作关系、环境、方法、三元组五个维度上分别做一致性比对,不一致的条目由第三名标注员裁定,以减少单一标注员主观偏差。标注员在标注前需阅读本数据集的本体规范(即第二章 TRAES 五元组与六类闭集关系的定义),并按照与抽取阶段完全一致的字段约定填写,以保证真值集与模型输出在格式层面可直接对比。对于原文中明确给出的事件,标注员需如实记录;对于原文叙述存在歧义的事件(例如关系类型既可被解读为捕食也可被解读为偏害),标注员会同时记录两种可能并标记"歧义",在后续评估中作为单独类别处理。</w:t>
      </w:r>
    </w:p>
    <w:p w14:paraId="6EFEF497">
      <w:pPr>
        <w:spacing w:line="360" w:lineRule="auto"/>
        <w:ind w:firstLine="480"/>
        <w:jc w:val="both"/>
      </w:pPr>
      <w:r>
        <w:rPr>
          <w:rFonts w:ascii="Times New Roman" w:hAnsi="Times New Roman" w:eastAsia="宋体"/>
          <w:sz w:val="24"/>
          <w:szCs w:val="24"/>
        </w:rPr>
        <w:t>需要诚实交代的是,v0.1 阶段的人工标注覆盖范围有限,只完成了二十篇文献中的一部分作为评估基准。后续版本将随着文献规模扩大同步扩展真值集,标注规范也将在与领域专家协作过程中持续打磨与公开。</w:t>
      </w:r>
    </w:p>
    <w:p w14:paraId="6159090C">
      <w:pPr>
        <w:pStyle w:val="3"/>
        <w:spacing w:before="320" w:after="160"/>
      </w:pPr>
      <w:r>
        <w:rPr>
          <w:rFonts w:ascii="Times New Roman" w:hAnsi="Times New Roman" w:eastAsia="黑体"/>
          <w:b/>
          <w:bCs/>
          <w:sz w:val="28"/>
          <w:szCs w:val="28"/>
        </w:rPr>
        <w:t>11.4 已有成果与影响力</w:t>
      </w:r>
    </w:p>
    <w:p w14:paraId="42209380">
      <w:pPr>
        <w:spacing w:line="360" w:lineRule="auto"/>
        <w:ind w:firstLine="480"/>
        <w:jc w:val="both"/>
      </w:pPr>
      <w:r>
        <w:rPr>
          <w:rFonts w:ascii="Times New Roman" w:hAnsi="Times New Roman" w:eastAsia="宋体"/>
          <w:sz w:val="24"/>
          <w:szCs w:val="24"/>
        </w:rPr>
        <w:t>本作品为首次公开发布,在比赛截止前尚无正式的论文、专利、标准或其他形式的已发表成果。我们在 v0.1 阶段的工作重心放在本体设计、抽取流水线的工程实现以及六模型横向 benchmark 的完整运行上,论文撰写与提交将作为后续阶段的工作。</w:t>
      </w:r>
    </w:p>
    <w:p w14:paraId="1C5D870C">
      <w:pPr>
        <w:spacing w:line="360" w:lineRule="auto"/>
        <w:ind w:firstLine="480"/>
        <w:jc w:val="both"/>
      </w:pPr>
      <w:r>
        <w:rPr>
          <w:rFonts w:ascii="Times New Roman" w:hAnsi="Times New Roman" w:eastAsia="宋体"/>
          <w:sz w:val="24"/>
          <w:szCs w:val="24"/>
        </w:rPr>
        <w:t>我们对未来成果发布的计划是:在数据集扩展到更大文献规模(目标五千篇以上)并完成完整 benchmark 之后,撰写一篇方法学论文投稿至生物信息学或环境科学领域的开放获取期刊,与本作品的开源数据集与代码仓库形成双向引用。在数据集层面,我们计划将 MicroEco-KG 纳入 OpenDataLab 的科学数据集集合,并在 HuggingFace Datasets 提供镜像,使其能够通过标准的科学数据集分发渠道被检索与使用。</w:t>
      </w:r>
    </w:p>
    <w:p w14:paraId="42374214">
      <w:pPr>
        <w:spacing w:line="360" w:lineRule="auto"/>
        <w:ind w:firstLine="480"/>
        <w:jc w:val="both"/>
      </w:pPr>
      <w:r>
        <w:rPr>
          <w:rFonts w:ascii="Times New Roman" w:hAnsi="Times New Roman" w:eastAsia="宋体"/>
          <w:sz w:val="24"/>
          <w:szCs w:val="24"/>
        </w:rPr>
        <w:t>虽然 v0.1 阶段尚无正式成果发布,但我们认为本作品在以下三个方面具有独立的影响力潜力。首先,事件中心型图谱本体为微生物互作领域提供了一种新的数据组织范式,相对于以 GLOBI 为代表的扁平二元关系模型具有更强的环境上下文承载能力与多模态对齐能力。其次,六模型横向 benchmark 提供了对国内外主流大模型在生态学领域抽取任务上的首份完整对比,所揭示的"研究方法维度普遍偏低"的能力空白,对领域大模型评测体系的构建具有参考价值。第三,MinerU 与多模态 VLM 协同的分工流水线经过本作品的实测验证,其工程模式可被复用于其他领域的多模态文献抽取任务,具有跨学科的方法学迁移潜力。</w:t>
      </w:r>
    </w:p>
    <w:p w14:paraId="313A2374">
      <w:r>
        <w:br w:type="page"/>
      </w:r>
    </w:p>
    <w:p w14:paraId="7CCEFF0C">
      <w:pPr>
        <w:pStyle w:val="2"/>
        <w:spacing w:before="480" w:after="240"/>
      </w:pPr>
      <w:r>
        <w:rPr>
          <w:rFonts w:ascii="Times New Roman" w:hAnsi="Times New Roman" w:eastAsia="黑体"/>
          <w:b/>
          <w:bCs/>
          <w:sz w:val="32"/>
          <w:szCs w:val="32"/>
        </w:rPr>
        <w:t>附录 A:Cypher Schema 创建脚本</w:t>
      </w:r>
    </w:p>
    <w:p w14:paraId="7D7C1158">
      <w:pPr>
        <w:spacing w:line="360" w:lineRule="auto"/>
        <w:ind w:firstLine="480"/>
        <w:jc w:val="both"/>
      </w:pPr>
      <w:r>
        <w:rPr>
          <w:rFonts w:ascii="Times New Roman" w:hAnsi="Times New Roman" w:eastAsia="宋体"/>
          <w:sz w:val="24"/>
          <w:szCs w:val="24"/>
        </w:rPr>
        <w:t>下方脚本用于在空白 Neo4j 实例上建立本数据集所需的唯一性约束与查询索引。脚本中所有 IF NOT EXISTS 子句保证脚本可重复执行而不会因约束已存在而中断。</w:t>
      </w:r>
    </w:p>
    <w:p w14:paraId="369AFFE6">
      <w:pPr>
        <w:spacing w:line="280" w:lineRule="auto"/>
        <w:ind w:left="360"/>
      </w:pPr>
      <w:r>
        <w:rPr>
          <w:rFonts w:ascii="Consolas" w:hAnsi="Consolas" w:eastAsia="Consolas" w:cs="Consolas"/>
          <w:sz w:val="18"/>
          <w:szCs w:val="18"/>
        </w:rPr>
        <w:t>CREATE CONSTRAINT taxa_name IF NOT EXISTS</w:t>
      </w:r>
    </w:p>
    <w:p w14:paraId="7FF68E21">
      <w:pPr>
        <w:spacing w:line="280" w:lineRule="auto"/>
        <w:ind w:left="360"/>
      </w:pPr>
      <w:r>
        <w:rPr>
          <w:rFonts w:ascii="Consolas" w:hAnsi="Consolas" w:eastAsia="Consolas" w:cs="Consolas"/>
          <w:sz w:val="18"/>
          <w:szCs w:val="18"/>
        </w:rPr>
        <w:t xml:space="preserve">  FOR (t:Taxa) REQUIRE t.name IS UNIQUE;</w:t>
      </w:r>
    </w:p>
    <w:p w14:paraId="63B3A51E">
      <w:pPr>
        <w:spacing w:line="280" w:lineRule="auto"/>
        <w:ind w:left="360"/>
      </w:pPr>
      <w:r>
        <w:rPr>
          <w:rFonts w:ascii="Consolas" w:hAnsi="Consolas" w:eastAsia="Consolas" w:cs="Consolas"/>
          <w:sz w:val="18"/>
          <w:szCs w:val="18"/>
        </w:rPr>
        <w:t xml:space="preserve"> </w:t>
      </w:r>
    </w:p>
    <w:p w14:paraId="3A9C553C">
      <w:pPr>
        <w:spacing w:line="280" w:lineRule="auto"/>
        <w:ind w:left="360"/>
      </w:pPr>
      <w:r>
        <w:rPr>
          <w:rFonts w:ascii="Consolas" w:hAnsi="Consolas" w:eastAsia="Consolas" w:cs="Consolas"/>
          <w:sz w:val="18"/>
          <w:szCs w:val="18"/>
        </w:rPr>
        <w:t>CREATE CONSTRAINT event_id IF NOT EXISTS</w:t>
      </w:r>
    </w:p>
    <w:p w14:paraId="2E4FD949">
      <w:pPr>
        <w:spacing w:line="280" w:lineRule="auto"/>
        <w:ind w:left="360"/>
      </w:pPr>
      <w:r>
        <w:rPr>
          <w:rFonts w:ascii="Consolas" w:hAnsi="Consolas" w:eastAsia="Consolas" w:cs="Consolas"/>
          <w:sz w:val="18"/>
          <w:szCs w:val="18"/>
        </w:rPr>
        <w:t xml:space="preserve">  FOR (e:InteractionEvent) REQUIRE e.event_id IS UNIQUE;</w:t>
      </w:r>
    </w:p>
    <w:p w14:paraId="4FDF2852">
      <w:pPr>
        <w:spacing w:line="280" w:lineRule="auto"/>
        <w:ind w:left="360"/>
      </w:pPr>
      <w:r>
        <w:rPr>
          <w:rFonts w:ascii="Consolas" w:hAnsi="Consolas" w:eastAsia="Consolas" w:cs="Consolas"/>
          <w:sz w:val="18"/>
          <w:szCs w:val="18"/>
        </w:rPr>
        <w:t xml:space="preserve"> </w:t>
      </w:r>
    </w:p>
    <w:p w14:paraId="16FEB6DF">
      <w:pPr>
        <w:spacing w:line="280" w:lineRule="auto"/>
        <w:ind w:left="360"/>
      </w:pPr>
      <w:r>
        <w:rPr>
          <w:rFonts w:ascii="Consolas" w:hAnsi="Consolas" w:eastAsia="Consolas" w:cs="Consolas"/>
          <w:sz w:val="18"/>
          <w:szCs w:val="18"/>
        </w:rPr>
        <w:t>CREATE CONSTRAINT source_doi IF NOT EXISTS</w:t>
      </w:r>
    </w:p>
    <w:p w14:paraId="2A00CB46">
      <w:pPr>
        <w:spacing w:line="280" w:lineRule="auto"/>
        <w:ind w:left="360"/>
      </w:pPr>
      <w:r>
        <w:rPr>
          <w:rFonts w:ascii="Consolas" w:hAnsi="Consolas" w:eastAsia="Consolas" w:cs="Consolas"/>
          <w:sz w:val="18"/>
          <w:szCs w:val="18"/>
        </w:rPr>
        <w:t xml:space="preserve">  FOR (s:Source) REQUIRE s.doi IS UNIQUE;</w:t>
      </w:r>
    </w:p>
    <w:p w14:paraId="71AF3F26">
      <w:pPr>
        <w:spacing w:line="280" w:lineRule="auto"/>
        <w:ind w:left="360"/>
      </w:pPr>
      <w:r>
        <w:rPr>
          <w:rFonts w:ascii="Consolas" w:hAnsi="Consolas" w:eastAsia="Consolas" w:cs="Consolas"/>
          <w:sz w:val="18"/>
          <w:szCs w:val="18"/>
        </w:rPr>
        <w:t xml:space="preserve"> </w:t>
      </w:r>
    </w:p>
    <w:p w14:paraId="59AE3616">
      <w:pPr>
        <w:spacing w:line="280" w:lineRule="auto"/>
        <w:ind w:left="360"/>
      </w:pPr>
      <w:r>
        <w:rPr>
          <w:rFonts w:ascii="Consolas" w:hAnsi="Consolas" w:eastAsia="Consolas" w:cs="Consolas"/>
          <w:sz w:val="18"/>
          <w:szCs w:val="18"/>
        </w:rPr>
        <w:t>CREATE INDEX taxa_category IF NOT EXISTS</w:t>
      </w:r>
    </w:p>
    <w:p w14:paraId="592C7259">
      <w:pPr>
        <w:spacing w:line="280" w:lineRule="auto"/>
        <w:ind w:left="360"/>
      </w:pPr>
      <w:r>
        <w:rPr>
          <w:rFonts w:ascii="Consolas" w:hAnsi="Consolas" w:eastAsia="Consolas" w:cs="Consolas"/>
          <w:sz w:val="18"/>
          <w:szCs w:val="18"/>
        </w:rPr>
        <w:t xml:space="preserve">  FOR (t:Taxa) ON (t.category);</w:t>
      </w:r>
    </w:p>
    <w:p w14:paraId="366565AF">
      <w:pPr>
        <w:spacing w:line="280" w:lineRule="auto"/>
        <w:ind w:left="360"/>
      </w:pPr>
      <w:r>
        <w:rPr>
          <w:rFonts w:ascii="Consolas" w:hAnsi="Consolas" w:eastAsia="Consolas" w:cs="Consolas"/>
          <w:sz w:val="18"/>
          <w:szCs w:val="18"/>
        </w:rPr>
        <w:t xml:space="preserve"> </w:t>
      </w:r>
    </w:p>
    <w:p w14:paraId="708AB3C5">
      <w:pPr>
        <w:spacing w:line="280" w:lineRule="auto"/>
        <w:ind w:left="360"/>
      </w:pPr>
      <w:r>
        <w:rPr>
          <w:rFonts w:ascii="Consolas" w:hAnsi="Consolas" w:eastAsia="Consolas" w:cs="Consolas"/>
          <w:sz w:val="18"/>
          <w:szCs w:val="18"/>
        </w:rPr>
        <w:t>CREATE INDEX event_relation IF NOT EXISTS</w:t>
      </w:r>
    </w:p>
    <w:p w14:paraId="46AACB1B">
      <w:pPr>
        <w:spacing w:line="280" w:lineRule="auto"/>
        <w:ind w:left="360"/>
      </w:pPr>
      <w:r>
        <w:rPr>
          <w:rFonts w:ascii="Consolas" w:hAnsi="Consolas" w:eastAsia="Consolas" w:cs="Consolas"/>
          <w:sz w:val="18"/>
          <w:szCs w:val="18"/>
        </w:rPr>
        <w:t xml:space="preserve">  FOR (e:InteractionEvent) ON (e.relation);</w:t>
      </w:r>
    </w:p>
    <w:p w14:paraId="53BD7F22">
      <w:pPr>
        <w:spacing w:line="280" w:lineRule="auto"/>
        <w:ind w:left="360"/>
      </w:pPr>
      <w:r>
        <w:rPr>
          <w:rFonts w:ascii="Consolas" w:hAnsi="Consolas" w:eastAsia="Consolas" w:cs="Consolas"/>
          <w:sz w:val="18"/>
          <w:szCs w:val="18"/>
        </w:rPr>
        <w:t xml:space="preserve"> </w:t>
      </w:r>
    </w:p>
    <w:p w14:paraId="2CDF1FA9">
      <w:pPr>
        <w:spacing w:line="280" w:lineRule="auto"/>
        <w:ind w:left="360"/>
      </w:pPr>
      <w:r>
        <w:rPr>
          <w:rFonts w:ascii="Consolas" w:hAnsi="Consolas" w:eastAsia="Consolas" w:cs="Consolas"/>
          <w:sz w:val="18"/>
          <w:szCs w:val="18"/>
        </w:rPr>
        <w:t>CREATE INDEX event_doi IF NOT EXISTS</w:t>
      </w:r>
    </w:p>
    <w:p w14:paraId="277BAD92">
      <w:pPr>
        <w:spacing w:line="280" w:lineRule="auto"/>
        <w:ind w:left="360"/>
      </w:pPr>
      <w:r>
        <w:rPr>
          <w:rFonts w:ascii="Consolas" w:hAnsi="Consolas" w:eastAsia="Consolas" w:cs="Consolas"/>
          <w:sz w:val="18"/>
          <w:szCs w:val="18"/>
        </w:rPr>
        <w:t xml:space="preserve">  FOR (e:InteractionEvent) ON (e.doi);</w:t>
      </w:r>
    </w:p>
    <w:p w14:paraId="56AE69F7">
      <w:r>
        <w:br w:type="page"/>
      </w:r>
    </w:p>
    <w:p w14:paraId="0A0DE81C">
      <w:pPr>
        <w:pStyle w:val="2"/>
        <w:spacing w:before="480" w:after="240"/>
      </w:pPr>
      <w:r>
        <w:rPr>
          <w:rFonts w:ascii="Times New Roman" w:hAnsi="Times New Roman" w:eastAsia="黑体"/>
          <w:b/>
          <w:bCs/>
          <w:sz w:val="32"/>
          <w:szCs w:val="32"/>
        </w:rPr>
        <w:t>附录 B:典型 Cypher 查询模板</w:t>
      </w:r>
    </w:p>
    <w:p w14:paraId="3C494FFB">
      <w:pPr>
        <w:spacing w:line="360" w:lineRule="auto"/>
        <w:ind w:firstLine="480"/>
        <w:jc w:val="both"/>
      </w:pPr>
      <w:r>
        <w:rPr>
          <w:rFonts w:ascii="Times New Roman" w:hAnsi="Times New Roman" w:eastAsia="宋体"/>
          <w:sz w:val="24"/>
          <w:szCs w:val="24"/>
        </w:rPr>
        <w:t>下方给出三个具有代表性的 Cypher 查询模板,可作为下游使用本数据集时的起点参考。</w:t>
      </w:r>
    </w:p>
    <w:p w14:paraId="0B24FE4A">
      <w:pPr>
        <w:spacing w:line="360" w:lineRule="auto"/>
        <w:ind w:firstLine="480"/>
        <w:jc w:val="both"/>
      </w:pPr>
      <w:r>
        <w:rPr>
          <w:rFonts w:ascii="Times New Roman" w:hAnsi="Times New Roman" w:eastAsia="宋体"/>
          <w:sz w:val="24"/>
          <w:szCs w:val="24"/>
        </w:rPr>
        <w:t>查询一:哪些浮游动物通过捕食抑制了产毒蓝藻?</w:t>
      </w:r>
    </w:p>
    <w:p w14:paraId="64B5776C">
      <w:pPr>
        <w:spacing w:line="280" w:lineRule="auto"/>
        <w:ind w:left="360"/>
      </w:pPr>
      <w:r>
        <w:rPr>
          <w:rFonts w:ascii="Consolas" w:hAnsi="Consolas" w:eastAsia="Consolas" w:cs="Consolas"/>
          <w:sz w:val="18"/>
          <w:szCs w:val="18"/>
        </w:rPr>
        <w:t>MATCH (t1:Taxa {category: "浮游动物"})-[:PARTICIPATE_IN]-&gt;</w:t>
      </w:r>
    </w:p>
    <w:p w14:paraId="74AC1788">
      <w:pPr>
        <w:spacing w:line="280" w:lineRule="auto"/>
        <w:ind w:left="360"/>
      </w:pPr>
      <w:r>
        <w:rPr>
          <w:rFonts w:ascii="Consolas" w:hAnsi="Consolas" w:eastAsia="Consolas" w:cs="Consolas"/>
          <w:sz w:val="18"/>
          <w:szCs w:val="18"/>
        </w:rPr>
        <w:t xml:space="preserve">      (e:InteractionEvent {relation: "捕食/寄生"})</w:t>
      </w:r>
    </w:p>
    <w:p w14:paraId="3B22729D">
      <w:pPr>
        <w:spacing w:line="280" w:lineRule="auto"/>
        <w:ind w:left="360"/>
      </w:pPr>
      <w:r>
        <w:rPr>
          <w:rFonts w:ascii="Consolas" w:hAnsi="Consolas" w:eastAsia="Consolas" w:cs="Consolas"/>
          <w:sz w:val="18"/>
          <w:szCs w:val="18"/>
        </w:rPr>
        <w:t xml:space="preserve">      &lt;-[:PARTICIPATE_IN]-(t2:Taxa {category: "藻类"})</w:t>
      </w:r>
    </w:p>
    <w:p w14:paraId="4A0DBAB5">
      <w:pPr>
        <w:spacing w:line="280" w:lineRule="auto"/>
        <w:ind w:left="360"/>
      </w:pPr>
      <w:r>
        <w:rPr>
          <w:rFonts w:ascii="Consolas" w:hAnsi="Consolas" w:eastAsia="Consolas" w:cs="Consolas"/>
          <w:sz w:val="18"/>
          <w:szCs w:val="18"/>
        </w:rPr>
        <w:t>MATCH (e)-[:SUPPORTED_BY]-&gt;(s:Source)</w:t>
      </w:r>
    </w:p>
    <w:p w14:paraId="739475BC">
      <w:pPr>
        <w:spacing w:line="280" w:lineRule="auto"/>
        <w:ind w:left="360"/>
      </w:pPr>
      <w:r>
        <w:rPr>
          <w:rFonts w:ascii="Consolas" w:hAnsi="Consolas" w:eastAsia="Consolas" w:cs="Consolas"/>
          <w:sz w:val="18"/>
          <w:szCs w:val="18"/>
        </w:rPr>
        <w:t>WHERE t2.name CONTAINS "Microcystis" OR t2.name CONTAINS "Anabaena"</w:t>
      </w:r>
    </w:p>
    <w:p w14:paraId="5B10F99E">
      <w:pPr>
        <w:spacing w:line="280" w:lineRule="auto"/>
        <w:ind w:left="360"/>
      </w:pPr>
      <w:r>
        <w:rPr>
          <w:rFonts w:ascii="Consolas" w:hAnsi="Consolas" w:eastAsia="Consolas" w:cs="Consolas"/>
          <w:sz w:val="18"/>
          <w:szCs w:val="18"/>
        </w:rPr>
        <w:t>RETURN t1.name AS predator, t2.name AS prey,</w:t>
      </w:r>
    </w:p>
    <w:p w14:paraId="7F427462">
      <w:pPr>
        <w:spacing w:line="280" w:lineRule="auto"/>
        <w:ind w:left="360"/>
      </w:pPr>
      <w:r>
        <w:rPr>
          <w:rFonts w:ascii="Consolas" w:hAnsi="Consolas" w:eastAsia="Consolas" w:cs="Consolas"/>
          <w:sz w:val="18"/>
          <w:szCs w:val="18"/>
        </w:rPr>
        <w:t xml:space="preserve">       e.event_id AS event, s.doi AS source</w:t>
      </w:r>
    </w:p>
    <w:p w14:paraId="7781BF80">
      <w:pPr>
        <w:spacing w:line="280" w:lineRule="auto"/>
        <w:ind w:left="360"/>
      </w:pPr>
      <w:r>
        <w:rPr>
          <w:rFonts w:ascii="Consolas" w:hAnsi="Consolas" w:eastAsia="Consolas" w:cs="Consolas"/>
          <w:sz w:val="18"/>
          <w:szCs w:val="18"/>
        </w:rPr>
        <w:t>LIMIT 50;</w:t>
      </w:r>
    </w:p>
    <w:p w14:paraId="21635A25">
      <w:pPr>
        <w:spacing w:line="360" w:lineRule="auto"/>
        <w:ind w:firstLine="480"/>
        <w:jc w:val="both"/>
      </w:pPr>
      <w:r>
        <w:rPr>
          <w:rFonts w:ascii="Times New Roman" w:hAnsi="Times New Roman" w:eastAsia="宋体"/>
          <w:sz w:val="24"/>
          <w:szCs w:val="24"/>
        </w:rPr>
        <w:t>查询二:同一对物种在不同环境下表现出哪些不同关系?</w:t>
      </w:r>
    </w:p>
    <w:p w14:paraId="2BECBDCD">
      <w:pPr>
        <w:spacing w:line="280" w:lineRule="auto"/>
        <w:ind w:left="360"/>
      </w:pPr>
      <w:r>
        <w:rPr>
          <w:rFonts w:ascii="Consolas" w:hAnsi="Consolas" w:eastAsia="Consolas" w:cs="Consolas"/>
          <w:sz w:val="18"/>
          <w:szCs w:val="18"/>
        </w:rPr>
        <w:t>MATCH (t1:Taxa)-[:PARTICIPATE_IN]-&gt;(e:InteractionEvent)</w:t>
      </w:r>
    </w:p>
    <w:p w14:paraId="528B415E">
      <w:pPr>
        <w:spacing w:line="280" w:lineRule="auto"/>
        <w:ind w:left="360"/>
      </w:pPr>
      <w:r>
        <w:rPr>
          <w:rFonts w:ascii="Consolas" w:hAnsi="Consolas" w:eastAsia="Consolas" w:cs="Consolas"/>
          <w:sz w:val="18"/>
          <w:szCs w:val="18"/>
        </w:rPr>
        <w:t xml:space="preserve">      &lt;-[:PARTICIPATE_IN]-(t2:Taxa)</w:t>
      </w:r>
    </w:p>
    <w:p w14:paraId="3CC36443">
      <w:pPr>
        <w:spacing w:line="280" w:lineRule="auto"/>
        <w:ind w:left="360"/>
      </w:pPr>
      <w:r>
        <w:rPr>
          <w:rFonts w:ascii="Consolas" w:hAnsi="Consolas" w:eastAsia="Consolas" w:cs="Consolas"/>
          <w:sz w:val="18"/>
          <w:szCs w:val="18"/>
        </w:rPr>
        <w:t>MATCH (e)-[:UNDER_ENVIRONMENT]-&gt;(env:Environment)</w:t>
      </w:r>
    </w:p>
    <w:p w14:paraId="19B4D938">
      <w:pPr>
        <w:spacing w:line="280" w:lineRule="auto"/>
        <w:ind w:left="360"/>
      </w:pPr>
      <w:r>
        <w:rPr>
          <w:rFonts w:ascii="Consolas" w:hAnsi="Consolas" w:eastAsia="Consolas" w:cs="Consolas"/>
          <w:sz w:val="18"/>
          <w:szCs w:val="18"/>
        </w:rPr>
        <w:t>WITH t1.name AS sp1, t2.name AS sp2,</w:t>
      </w:r>
    </w:p>
    <w:p w14:paraId="02515371">
      <w:pPr>
        <w:spacing w:line="280" w:lineRule="auto"/>
        <w:ind w:left="360"/>
      </w:pPr>
      <w:r>
        <w:rPr>
          <w:rFonts w:ascii="Consolas" w:hAnsi="Consolas" w:eastAsia="Consolas" w:cs="Consolas"/>
          <w:sz w:val="18"/>
          <w:szCs w:val="18"/>
        </w:rPr>
        <w:t xml:space="preserve">     collect(DISTINCT e.relation) AS relations,</w:t>
      </w:r>
    </w:p>
    <w:p w14:paraId="0A652750">
      <w:pPr>
        <w:spacing w:line="280" w:lineRule="auto"/>
        <w:ind w:left="360"/>
      </w:pPr>
      <w:r>
        <w:rPr>
          <w:rFonts w:ascii="Consolas" w:hAnsi="Consolas" w:eastAsia="Consolas" w:cs="Consolas"/>
          <w:sz w:val="18"/>
          <w:szCs w:val="18"/>
        </w:rPr>
        <w:t xml:space="preserve">     collect(DISTINCT env.physical) AS contexts</w:t>
      </w:r>
    </w:p>
    <w:p w14:paraId="6C1F127A">
      <w:pPr>
        <w:spacing w:line="280" w:lineRule="auto"/>
        <w:ind w:left="360"/>
      </w:pPr>
      <w:r>
        <w:rPr>
          <w:rFonts w:ascii="Consolas" w:hAnsi="Consolas" w:eastAsia="Consolas" w:cs="Consolas"/>
          <w:sz w:val="18"/>
          <w:szCs w:val="18"/>
        </w:rPr>
        <w:t>WHERE size(relations) &gt; 1</w:t>
      </w:r>
    </w:p>
    <w:p w14:paraId="2D0DD2B1">
      <w:pPr>
        <w:spacing w:line="280" w:lineRule="auto"/>
        <w:ind w:left="360"/>
      </w:pPr>
      <w:r>
        <w:rPr>
          <w:rFonts w:ascii="Consolas" w:hAnsi="Consolas" w:eastAsia="Consolas" w:cs="Consolas"/>
          <w:sz w:val="18"/>
          <w:szCs w:val="18"/>
        </w:rPr>
        <w:t>RETURN sp1, sp2, relations, contexts;</w:t>
      </w:r>
    </w:p>
    <w:p w14:paraId="38B041F0">
      <w:pPr>
        <w:spacing w:line="360" w:lineRule="auto"/>
        <w:ind w:firstLine="480"/>
        <w:jc w:val="both"/>
      </w:pPr>
      <w:r>
        <w:rPr>
          <w:rFonts w:ascii="Times New Roman" w:hAnsi="Times New Roman" w:eastAsia="宋体"/>
          <w:sz w:val="24"/>
          <w:szCs w:val="24"/>
        </w:rPr>
        <w:t>查询三:被多篇文献交叉支持的高可信事件:</w:t>
      </w:r>
    </w:p>
    <w:p w14:paraId="138A5517">
      <w:pPr>
        <w:spacing w:line="280" w:lineRule="auto"/>
        <w:ind w:left="360"/>
      </w:pPr>
      <w:r>
        <w:rPr>
          <w:rFonts w:ascii="Consolas" w:hAnsi="Consolas" w:eastAsia="Consolas" w:cs="Consolas"/>
          <w:sz w:val="18"/>
          <w:szCs w:val="18"/>
        </w:rPr>
        <w:t>MATCH (e:InteractionEvent)-[r:SUPPORTED_BY]-&gt;(s:Source)</w:t>
      </w:r>
    </w:p>
    <w:p w14:paraId="4467B9FD">
      <w:pPr>
        <w:spacing w:line="280" w:lineRule="auto"/>
        <w:ind w:left="360"/>
      </w:pPr>
      <w:r>
        <w:rPr>
          <w:rFonts w:ascii="Consolas" w:hAnsi="Consolas" w:eastAsia="Consolas" w:cs="Consolas"/>
          <w:sz w:val="18"/>
          <w:szCs w:val="18"/>
        </w:rPr>
        <w:t>WITH e, count(DISTINCT s) AS support_count</w:t>
      </w:r>
    </w:p>
    <w:p w14:paraId="6AC883AF">
      <w:pPr>
        <w:spacing w:line="280" w:lineRule="auto"/>
        <w:ind w:left="360"/>
      </w:pPr>
      <w:r>
        <w:rPr>
          <w:rFonts w:ascii="Consolas" w:hAnsi="Consolas" w:eastAsia="Consolas" w:cs="Consolas"/>
          <w:sz w:val="18"/>
          <w:szCs w:val="18"/>
        </w:rPr>
        <w:t>WHERE support_count &gt;= 2</w:t>
      </w:r>
    </w:p>
    <w:p w14:paraId="2A1E6F6B">
      <w:pPr>
        <w:spacing w:line="280" w:lineRule="auto"/>
        <w:ind w:left="360"/>
      </w:pPr>
      <w:r>
        <w:rPr>
          <w:rFonts w:ascii="Consolas" w:hAnsi="Consolas" w:eastAsia="Consolas" w:cs="Consolas"/>
          <w:sz w:val="18"/>
          <w:szCs w:val="18"/>
        </w:rPr>
        <w:t>MATCH (t1:Taxa)-[:PARTICIPATE_IN]-&gt;(e)&lt;-[:PARTICIPATE_IN]-(t2:Taxa)</w:t>
      </w:r>
    </w:p>
    <w:p w14:paraId="7DCACC32">
      <w:pPr>
        <w:spacing w:line="280" w:lineRule="auto"/>
        <w:ind w:left="360"/>
      </w:pPr>
      <w:r>
        <w:rPr>
          <w:rFonts w:ascii="Consolas" w:hAnsi="Consolas" w:eastAsia="Consolas" w:cs="Consolas"/>
          <w:sz w:val="18"/>
          <w:szCs w:val="18"/>
        </w:rPr>
        <w:t>RETURN e.event_id, t1.name, e.relation, t2.name, support_count</w:t>
      </w:r>
    </w:p>
    <w:p w14:paraId="6052B1D8">
      <w:pPr>
        <w:spacing w:line="280" w:lineRule="auto"/>
        <w:ind w:left="360"/>
      </w:pPr>
      <w:r>
        <w:rPr>
          <w:rFonts w:ascii="Consolas" w:hAnsi="Consolas" w:eastAsia="Consolas" w:cs="Consolas"/>
          <w:sz w:val="18"/>
          <w:szCs w:val="18"/>
        </w:rPr>
        <w:t>ORDER BY support_count DESC</w:t>
      </w:r>
    </w:p>
    <w:p w14:paraId="42F6A3F6">
      <w:pPr>
        <w:spacing w:line="280" w:lineRule="auto"/>
        <w:ind w:left="360"/>
      </w:pPr>
      <w:r>
        <w:rPr>
          <w:rFonts w:ascii="Consolas" w:hAnsi="Consolas" w:eastAsia="Consolas" w:cs="Consolas"/>
          <w:sz w:val="18"/>
          <w:szCs w:val="18"/>
        </w:rPr>
        <w:t>LIMIT 20;</w:t>
      </w:r>
    </w:p>
    <w:p w14:paraId="43F59A2B">
      <w:pPr>
        <w:spacing w:line="360" w:lineRule="auto"/>
        <w:ind w:firstLine="480"/>
        <w:jc w:val="both"/>
      </w:pPr>
      <w:r>
        <w:rPr>
          <w:rFonts w:ascii="Times New Roman" w:hAnsi="Times New Roman" w:eastAsia="宋体"/>
          <w:sz w:val="24"/>
          <w:szCs w:val="24"/>
        </w:rPr>
        <w:t>**报告结束**</w:t>
      </w: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苹方-简">
    <w:panose1 w:val="020B0400000000000000"/>
    <w:charset w:val="86"/>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1633B">
    <w:pPr>
      <w:jc w:val="center"/>
    </w:pPr>
    <w:r>
      <w:rPr>
        <w:rFonts w:ascii="Times New Roman" w:hAnsi="Times New Roman" w:eastAsia="宋体"/>
        <w:sz w:val="20"/>
        <w:szCs w:val="20"/>
      </w:rPr>
      <w:fldChar w:fldCharType="begin"/>
    </w:r>
    <w:r>
      <w:rPr>
        <w:rFonts w:ascii="Times New Roman" w:hAnsi="Times New Roman" w:eastAsia="宋体"/>
        <w:sz w:val="20"/>
        <w:szCs w:val="20"/>
      </w:rPr>
      <w:instrText xml:space="preserve">PAGE</w:instrText>
    </w:r>
    <w:r>
      <w:rPr>
        <w:rFonts w:ascii="Times New Roman" w:hAnsi="Times New Roman" w:eastAsia="宋体"/>
        <w:sz w:val="20"/>
        <w:szCs w:val="20"/>
      </w:rPr>
      <w:fldChar w:fldCharType="separate"/>
    </w:r>
    <w:r>
      <w:rPr>
        <w:rFonts w:ascii="Times New Roman" w:hAnsi="Times New Roman" w:eastAsia="宋体"/>
        <w:sz w:val="20"/>
        <w:szCs w:val="20"/>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0FFDCCB3"/>
    <w:rsid w:val="F7FE3BB0"/>
    <w:rsid w:val="FBF913D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sz w:val="24"/>
      <w:szCs w:val="24"/>
    </w:rPr>
  </w:style>
  <w:style w:type="paragraph" w:styleId="2">
    <w:name w:val="heading 1"/>
    <w:next w:val="1"/>
    <w:qFormat/>
    <w:uiPriority w:val="0"/>
    <w:pPr>
      <w:spacing w:before="480" w:after="240"/>
      <w:outlineLvl w:val="0"/>
    </w:pPr>
    <w:rPr>
      <w:rFonts w:ascii="Times New Roman" w:hAnsi="Times New Roman" w:eastAsia="黑体"/>
      <w:b/>
      <w:bCs/>
      <w:sz w:val="32"/>
      <w:szCs w:val="32"/>
    </w:rPr>
  </w:style>
  <w:style w:type="paragraph" w:styleId="3">
    <w:name w:val="heading 2"/>
    <w:next w:val="1"/>
    <w:qFormat/>
    <w:uiPriority w:val="0"/>
    <w:pPr>
      <w:spacing w:before="320" w:after="160"/>
      <w:outlineLvl w:val="1"/>
    </w:pPr>
    <w:rPr>
      <w:rFonts w:ascii="Times New Roman" w:hAnsi="Times New Roman" w:eastAsia="黑体"/>
      <w:b/>
      <w:bCs/>
      <w:sz w:val="28"/>
      <w:szCs w:val="28"/>
    </w:rPr>
  </w:style>
  <w:style w:type="paragraph" w:styleId="4">
    <w:name w:val="heading 3"/>
    <w:next w:val="1"/>
    <w:qFormat/>
    <w:uiPriority w:val="0"/>
    <w:pPr>
      <w:spacing w:before="240" w:after="120"/>
      <w:outlineLvl w:val="2"/>
    </w:pPr>
    <w:rPr>
      <w:rFonts w:ascii="Times New Roman" w:hAnsi="Times New Roman" w:eastAsia="黑体"/>
      <w:b/>
      <w:bCs/>
      <w:sz w:val="24"/>
      <w:szCs w:val="24"/>
    </w:rPr>
  </w:style>
  <w:style w:type="paragraph" w:styleId="5">
    <w:name w:val="heading 4"/>
    <w:next w:val="1"/>
    <w:qFormat/>
    <w:uiPriority w:val="0"/>
    <w:rPr>
      <w:rFonts w:ascii="Times New Roman" w:hAnsi="Times New Roman" w:eastAsia="宋体"/>
      <w:i/>
      <w:iCs/>
      <w:color w:val="2E74B5"/>
      <w:sz w:val="24"/>
      <w:szCs w:val="24"/>
    </w:rPr>
  </w:style>
  <w:style w:type="paragraph" w:styleId="6">
    <w:name w:val="heading 5"/>
    <w:next w:val="1"/>
    <w:qFormat/>
    <w:uiPriority w:val="0"/>
    <w:rPr>
      <w:rFonts w:ascii="Times New Roman" w:hAnsi="Times New Roman" w:eastAsia="宋体"/>
      <w:color w:val="2E74B5"/>
      <w:sz w:val="24"/>
      <w:szCs w:val="24"/>
    </w:rPr>
  </w:style>
  <w:style w:type="paragraph" w:styleId="7">
    <w:name w:val="heading 6"/>
    <w:next w:val="1"/>
    <w:qFormat/>
    <w:uiPriority w:val="0"/>
    <w:rPr>
      <w:rFonts w:ascii="Times New Roman" w:hAnsi="Times New Roman" w:eastAsia="宋体"/>
      <w:color w:val="1F4D78"/>
      <w:sz w:val="24"/>
      <w:szCs w:val="24"/>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8">
    <w:name w:val="caption"/>
    <w:basedOn w:val="1"/>
    <w:next w:val="1"/>
    <w:semiHidden/>
    <w:unhideWhenUsed/>
    <w:qFormat/>
    <w:uiPriority w:val="0"/>
    <w:rPr>
      <w:rFonts w:ascii="Arial" w:hAnsi="Arial" w:eastAsia="黑体"/>
      <w:sz w:val="20"/>
    </w:rPr>
  </w:style>
  <w:style w:type="paragraph" w:styleId="9">
    <w:name w:val="endnote text"/>
    <w:link w:val="19"/>
    <w:semiHidden/>
    <w:unhideWhenUsed/>
    <w:uiPriority w:val="99"/>
    <w:pPr>
      <w:spacing w:after="0" w:line="240" w:lineRule="auto"/>
    </w:pPr>
    <w:rPr>
      <w:rFonts w:ascii="Times New Roman" w:hAnsi="Times New Roman" w:eastAsia="宋体"/>
      <w:sz w:val="20"/>
      <w:szCs w:val="20"/>
    </w:rPr>
  </w:style>
  <w:style w:type="paragraph" w:styleId="10">
    <w:name w:val="footnote text"/>
    <w:link w:val="18"/>
    <w:semiHidden/>
    <w:unhideWhenUsed/>
    <w:uiPriority w:val="99"/>
    <w:pPr>
      <w:spacing w:after="0" w:line="240" w:lineRule="auto"/>
    </w:pPr>
    <w:rPr>
      <w:rFonts w:ascii="Times New Roman" w:hAnsi="Times New Roman" w:eastAsia="宋体"/>
      <w:sz w:val="20"/>
      <w:szCs w:val="20"/>
    </w:rPr>
  </w:style>
  <w:style w:type="paragraph" w:styleId="11">
    <w:name w:val="Title"/>
    <w:qFormat/>
    <w:uiPriority w:val="0"/>
    <w:rPr>
      <w:rFonts w:ascii="Times New Roman" w:hAnsi="Times New Roman" w:eastAsia="宋体"/>
      <w:sz w:val="56"/>
      <w:szCs w:val="56"/>
    </w:rPr>
  </w:style>
  <w:style w:type="character" w:styleId="14">
    <w:name w:val="endnote reference"/>
    <w:semiHidden/>
    <w:unhideWhenUsed/>
    <w:uiPriority w:val="99"/>
    <w:rPr>
      <w:vertAlign w:val="superscript"/>
    </w:rPr>
  </w:style>
  <w:style w:type="character" w:styleId="15">
    <w:name w:val="Hyperlink"/>
    <w:unhideWhenUsed/>
    <w:uiPriority w:val="99"/>
    <w:rPr>
      <w:color w:val="0563C1"/>
      <w:u w:val="single"/>
    </w:rPr>
  </w:style>
  <w:style w:type="character" w:styleId="16">
    <w:name w:val="footnote reference"/>
    <w:semiHidden/>
    <w:unhideWhenUsed/>
    <w:uiPriority w:val="99"/>
    <w:rPr>
      <w:vertAlign w:val="superscript"/>
    </w:rPr>
  </w:style>
  <w:style w:type="paragraph" w:styleId="17">
    <w:name w:val="List Paragraph"/>
    <w:qFormat/>
    <w:uiPriority w:val="0"/>
    <w:rPr>
      <w:rFonts w:ascii="Times New Roman" w:hAnsi="Times New Roman" w:eastAsia="宋体"/>
      <w:sz w:val="24"/>
      <w:szCs w:val="24"/>
    </w:rPr>
  </w:style>
  <w:style w:type="character" w:customStyle="1" w:styleId="18">
    <w:name w:val="Footnote Text Char"/>
    <w:link w:val="10"/>
    <w:semiHidden/>
    <w:unhideWhenUsed/>
    <w:uiPriority w:val="99"/>
    <w:rPr>
      <w:sz w:val="20"/>
      <w:szCs w:val="20"/>
    </w:rPr>
  </w:style>
  <w:style w:type="character" w:customStyle="1" w:styleId="19">
    <w:name w:val="Endnote Text Char"/>
    <w:link w:val="9"/>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41</Pages>
  <TotalTime>19</TotalTime>
  <ScaleCrop>false</ScaleCrop>
  <LinksUpToDate>false</LinksUpToDate>
  <Application>WPS Office_7.4.1.8983_F1E327BC-269C-435d-A152-05C5408002CA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MicroEco-KG</dc:creator>
  <dc:description>Sci-Align 范式淡水微生物互作多模态对齐知识图谱</dc:description>
  <cp:lastModifiedBy>李俊杰</cp:lastModifiedBy>
  <dcterms:modified xsi:type="dcterms:W3CDTF">2026-05-31T13:33:44Z</dcterms:modified>
  <dc:title>MicroEco-KG 技术报告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5AB623832AA55CED38C81B6A36BC0FF8_43</vt:lpwstr>
  </property>
</Properties>
</file>