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17749F8">
      <w:pPr>
        <w:pStyle w:val="style0"/>
        <w:spacing w:after="80"/>
        <w:rPr/>
      </w:pPr>
      <w:r>
        <w:rPr>
          <w:b/>
          <w:bCs/>
          <w:color w:val="152c4d"/>
          <w:sz w:val="44"/>
          <w:szCs w:val="44"/>
        </w:rPr>
        <w:t>Cahier des charges</w:t>
      </w:r>
    </w:p>
    <w:p w14:paraId="AF295C4D">
      <w:pPr>
        <w:pStyle w:val="style0"/>
        <w:spacing w:after="40"/>
        <w:rPr/>
      </w:pPr>
      <w:r>
        <w:rPr>
          <w:color w:val="6b6357"/>
          <w:sz w:val="24"/>
          <w:szCs w:val="24"/>
        </w:rPr>
        <w:t>Application de gestion — Ets Quincaillerie Franck (Batouri)</w:t>
      </w:r>
    </w:p>
    <w:p w14:paraId="33EB1F0E">
      <w:pPr>
        <w:pStyle w:val="style0"/>
        <w:spacing w:after="400"/>
        <w:rPr/>
      </w:pPr>
      <w:r>
        <w:rPr>
          <w:i/>
          <w:iCs/>
          <w:color w:val="9c3d1f"/>
          <w:sz w:val="19"/>
          <w:szCs w:val="19"/>
        </w:rPr>
        <w:t>Version reflétant l'état actuel de l'application (branche de développement)</w:t>
      </w:r>
    </w:p>
    <w:p w14:paraId="4477211F">
      <w:pPr>
        <w:pStyle w:val="style4106"/>
        <w:spacing w:before="340" w:after="150"/>
        <w:rPr/>
      </w:pPr>
      <w:r>
        <w:t>1. Présentation du projet</w:t>
      </w:r>
    </w:p>
    <w:p w14:paraId="5B852860">
      <w:pPr>
        <w:pStyle w:val="style4107"/>
        <w:spacing w:before="240" w:after="110"/>
        <w:rPr/>
      </w:pPr>
      <w:r>
        <w:t>1.1 Contexte</w:t>
      </w:r>
    </w:p>
    <w:p w14:paraId="9531152C">
      <w:pPr>
        <w:pStyle w:val="style0"/>
        <w:spacing w:after="140"/>
        <w:rPr/>
      </w:pPr>
      <w:r>
        <w:t>Ets Quincaillerie Franck est une quincaillerie basée à Batouri (région de l'Est, Cameroun), organisée autour de deux emplacements physiques : un magasin de stock et un comptoir de vente. La gestion (stock, ventes, comptabilité, personnel) était jusqu'ici tenue manuellement (cahier, facturier papier). Ce projet vise à informatiser cette gestion sans en changer le fonctionnement réel : le circuit de vente (négociation du prix avec le client, facturier papier, saisie a posteriori) reste identique — l'application vient tracer et fiabiliser ce circuit, pas le remplacer par un autre.</w:t>
      </w:r>
    </w:p>
    <w:p w14:paraId="3925D0E8">
      <w:pPr>
        <w:pStyle w:val="style4107"/>
        <w:spacing w:before="240" w:after="110"/>
        <w:rPr/>
      </w:pPr>
      <w:r>
        <w:t>1.2 Objectifs du projet</w:t>
      </w:r>
    </w:p>
    <w:p w14:paraId="76C0E6E3">
      <w:pPr>
        <w:pStyle w:val="style179"/>
        <w:numPr>
          <w:ilvl w:val="0"/>
          <w:numId w:val="1"/>
        </w:numPr>
        <w:spacing w:after="70"/>
        <w:rPr/>
      </w:pPr>
      <w:r>
        <w:t>Centraliser la gestion du stock, des ventes et de la comptabilité des deux sites dans un seul outil.</w:t>
      </w:r>
    </w:p>
    <w:p w14:paraId="93D80543">
      <w:pPr>
        <w:pStyle w:val="style179"/>
        <w:numPr>
          <w:ilvl w:val="0"/>
          <w:numId w:val="1"/>
        </w:numPr>
        <w:spacing w:after="70"/>
        <w:rPr/>
      </w:pPr>
      <w:r>
        <w:t>Donner à chaque personne un accès limité à ce qui la concerne réellement, selon son poste.</w:t>
      </w:r>
    </w:p>
    <w:p w14:paraId="7E82114D">
      <w:pPr>
        <w:pStyle w:val="style179"/>
        <w:numPr>
          <w:ilvl w:val="0"/>
          <w:numId w:val="1"/>
        </w:numPr>
        <w:spacing w:after="70"/>
        <w:rPr/>
      </w:pPr>
      <w:r>
        <w:t>Réduire les erreurs de saisie et le risque de vol, par un contrôle automatique et une traçabilité systématique des actions sensibles (prix, quantités, seuils).</w:t>
      </w:r>
    </w:p>
    <w:p w14:paraId="E3C2FC2C">
      <w:pPr>
        <w:pStyle w:val="style179"/>
        <w:numPr>
          <w:ilvl w:val="0"/>
          <w:numId w:val="1"/>
        </w:numPr>
        <w:spacing w:after="70"/>
        <w:rPr/>
      </w:pPr>
      <w:r>
        <w:t>Fonctionner sans dépendance à une connexion Internet, la fiabilité du réseau n'étant pas garantie à Batouri.</w:t>
      </w:r>
    </w:p>
    <w:p w14:paraId="A6F8F8BE">
      <w:pPr>
        <w:pStyle w:val="style179"/>
        <w:numPr>
          <w:ilvl w:val="0"/>
          <w:numId w:val="1"/>
        </w:numPr>
        <w:spacing w:after="70"/>
        <w:rPr/>
      </w:pPr>
      <w:r>
        <w:t>Permettre au responsable de suivre l'activité des deux sites depuis un tableau de bord consolidé, et à terme depuis son téléphone.</w:t>
      </w:r>
    </w:p>
    <w:p w14:paraId="BB76CCED">
      <w:pPr>
        <w:pStyle w:val="style4107"/>
        <w:spacing w:before="240" w:after="110"/>
        <w:rPr/>
      </w:pPr>
      <w:r>
        <w:t>1.3 Périmètre</w:t>
      </w:r>
    </w:p>
    <w:p w14:paraId="3BDD1409">
      <w:pPr>
        <w:pStyle w:val="style0"/>
        <w:spacing w:after="140"/>
        <w:rPr/>
      </w:pPr>
      <w:r>
        <w:t>Le périmètre couvre : la gestion des articles et du stock, l'enregistrement des ventes, la comptabilité (recettes/dépenses), les ressources humaines, le comptage d'inventaire, les rapports, et l'administration des comptes utilisateurs. Sont explicitement hors périmètre à ce stade : la vente en ligne, le paiement électronique intégré (les modes de paiement sont enregistrés à titre indicatif, sans intégration bancaire), et la gestion multi-boutique au-delà des deux sites actuels.</w:t>
      </w:r>
    </w:p>
    <w:p w14:paraId="44D176CF">
      <w:pPr>
        <w:pStyle w:val="style4106"/>
        <w:spacing w:before="340" w:after="150"/>
        <w:rPr/>
      </w:pPr>
      <w:r>
        <w:t>2. Acteurs et rôles</w:t>
      </w:r>
    </w:p>
    <w:p w14:paraId="77BAE75A">
      <w:pPr>
        <w:pStyle w:val="style0"/>
        <w:spacing w:after="140"/>
        <w:rPr/>
      </w:pPr>
      <w:r>
        <w:t>Chaque personne se connecte avec un identifiant et un mot de passe qui lui sont propres. L'écran affiché et les actions possibles dépendent strictement du rôle et, pour les agents, du site auquel le compte est rattaché.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2400"/>
        <w:gridCol w:w="4400"/>
      </w:tblGrid>
      <w:tr w14:paraId="18DDE016">
        <w:trPr/>
        <w:tc>
          <w:tcPr>
            <w:tcW w:w="2200" w:type="dxa"/>
            <w:tcBorders/>
            <w:shd w:val="clear" w:color="auto" w:fill="152c4d"/>
            <w:tcMar>
              <w:top w:w="80" w:type="dxa"/>
              <w:left w:w="90" w:type="dxa"/>
              <w:bottom w:w="80" w:type="dxa"/>
              <w:right w:w="90" w:type="dxa"/>
            </w:tcMar>
          </w:tcPr>
          <w:p w14:paraId="57670BC9">
            <w:pPr>
              <w:pStyle w:val="style0"/>
              <w:rPr/>
            </w:pPr>
            <w:r>
              <w:rPr>
                <w:b/>
                <w:bCs/>
                <w:color w:val="ffffff"/>
                <w:sz w:val="18"/>
                <w:szCs w:val="18"/>
              </w:rPr>
              <w:t>Rôle</w:t>
            </w:r>
          </w:p>
        </w:tc>
        <w:tc>
          <w:tcPr>
            <w:tcW w:w="2400" w:type="dxa"/>
            <w:tcBorders/>
            <w:shd w:val="clear" w:color="auto" w:fill="152c4d"/>
            <w:tcMar>
              <w:top w:w="80" w:type="dxa"/>
              <w:left w:w="90" w:type="dxa"/>
              <w:bottom w:w="80" w:type="dxa"/>
              <w:right w:w="90" w:type="dxa"/>
            </w:tcMar>
          </w:tcPr>
          <w:p w14:paraId="77B0512F">
            <w:pPr>
              <w:pStyle w:val="style0"/>
              <w:rPr/>
            </w:pPr>
            <w:r>
              <w:rPr>
                <w:b/>
                <w:bCs/>
                <w:color w:val="ffffff"/>
                <w:sz w:val="18"/>
                <w:szCs w:val="18"/>
              </w:rPr>
              <w:t>Portée</w:t>
            </w:r>
          </w:p>
        </w:tc>
        <w:tc>
          <w:tcPr>
            <w:tcW w:w="4400" w:type="dxa"/>
            <w:tcBorders/>
            <w:shd w:val="clear" w:color="auto" w:fill="152c4d"/>
            <w:tcMar>
              <w:top w:w="80" w:type="dxa"/>
              <w:left w:w="90" w:type="dxa"/>
              <w:bottom w:w="80" w:type="dxa"/>
              <w:right w:w="90" w:type="dxa"/>
            </w:tcMar>
          </w:tcPr>
          <w:p w14:paraId="B90FD407">
            <w:pPr>
              <w:pStyle w:val="style0"/>
              <w:rPr/>
            </w:pPr>
            <w:r>
              <w:rPr>
                <w:b/>
                <w:bCs/>
                <w:color w:val="ffffff"/>
                <w:sz w:val="18"/>
                <w:szCs w:val="18"/>
              </w:rPr>
              <w:t>Responsabilités principales</w:t>
            </w:r>
          </w:p>
        </w:tc>
      </w:tr>
      <w:tr w14:paraId="2CB64C59">
        <w:tblPrEx/>
        <w:trPr/>
        <w:tc>
          <w:tcPr>
            <w:tcW w:w="2200" w:type="dxa"/>
            <w:tcBorders/>
            <w:shd w:val="clear" w:color="auto" w:fill="ffffff"/>
            <w:tcMar>
              <w:top w:w="70" w:type="dxa"/>
              <w:left w:w="90" w:type="dxa"/>
              <w:bottom w:w="70" w:type="dxa"/>
              <w:right w:w="90" w:type="dxa"/>
            </w:tcMar>
          </w:tcPr>
          <w:p w14:paraId="B9A2016B">
            <w:pPr>
              <w:pStyle w:val="style0"/>
              <w:rPr/>
            </w:pPr>
            <w:r>
              <w:rPr>
                <w:sz w:val="18"/>
                <w:szCs w:val="18"/>
              </w:rPr>
              <w:t>Responsable</w:t>
            </w:r>
          </w:p>
        </w:tc>
        <w:tc>
          <w:tcPr>
            <w:tcW w:w="2400" w:type="dxa"/>
            <w:tcBorders/>
            <w:shd w:val="clear" w:color="auto" w:fill="ffffff"/>
            <w:tcMar>
              <w:top w:w="70" w:type="dxa"/>
              <w:left w:w="90" w:type="dxa"/>
              <w:bottom w:w="70" w:type="dxa"/>
              <w:right w:w="90" w:type="dxa"/>
            </w:tcMar>
          </w:tcPr>
          <w:p w14:paraId="97E7E5FE">
            <w:pPr>
              <w:pStyle w:val="style0"/>
              <w:rPr/>
            </w:pPr>
            <w:r>
              <w:rPr>
                <w:sz w:val="18"/>
                <w:szCs w:val="18"/>
              </w:rPr>
              <w:t>Les deux sites (accès consolidé)</w:t>
            </w:r>
          </w:p>
        </w:tc>
        <w:tc>
          <w:tcPr>
            <w:tcW w:w="4400" w:type="dxa"/>
            <w:tcBorders/>
            <w:shd w:val="clear" w:color="auto" w:fill="ffffff"/>
            <w:tcMar>
              <w:top w:w="70" w:type="dxa"/>
              <w:left w:w="90" w:type="dxa"/>
              <w:bottom w:w="70" w:type="dxa"/>
              <w:right w:w="90" w:type="dxa"/>
            </w:tcMar>
          </w:tcPr>
          <w:p w14:paraId="F82100D5">
            <w:pPr>
              <w:pStyle w:val="style0"/>
              <w:spacing w:after="40"/>
              <w:rPr/>
            </w:pPr>
            <w:r>
              <w:rPr>
                <w:sz w:val="18"/>
                <w:szCs w:val="18"/>
              </w:rPr>
              <w:t>Fixe et modifie les prix catalogue des articles</w:t>
            </w:r>
          </w:p>
          <w:p w14:paraId="1FEB3446">
            <w:pPr>
              <w:pStyle w:val="style0"/>
              <w:spacing w:after="40"/>
              <w:rPr/>
            </w:pPr>
            <w:r>
              <w:rPr>
                <w:sz w:val="18"/>
                <w:szCs w:val="18"/>
              </w:rPr>
              <w:t>Gère les fournisseurs et le personnel (RH)</w:t>
            </w:r>
          </w:p>
          <w:p w14:paraId="140C2517">
            <w:pPr>
              <w:pStyle w:val="style0"/>
              <w:spacing w:after="40"/>
              <w:rPr/>
            </w:pPr>
            <w:r>
              <w:rPr>
                <w:sz w:val="18"/>
                <w:szCs w:val="18"/>
              </w:rPr>
              <w:t>Crée et désactive les comptes utilisateurs</w:t>
            </w:r>
          </w:p>
          <w:p w14:paraId="8FB0E9F2">
            <w:pPr>
              <w:pStyle w:val="style0"/>
              <w:spacing w:after="40"/>
              <w:rPr/>
            </w:pPr>
            <w:r>
              <w:rPr>
                <w:sz w:val="18"/>
                <w:szCs w:val="18"/>
              </w:rPr>
              <w:t>Encaisse le client au comptoir (validation du prix négocié)</w:t>
            </w:r>
          </w:p>
          <w:p w14:paraId="BCFEBA14">
            <w:pPr>
              <w:pStyle w:val="style0"/>
              <w:spacing w:after="40"/>
              <w:rPr/>
            </w:pPr>
            <w:r>
              <w:rPr>
                <w:sz w:val="18"/>
                <w:szCs w:val="18"/>
              </w:rPr>
              <w:t>Consulte le tableau de bord consolidé, les rapports, l'historique d'inventaire</w:t>
            </w:r>
          </w:p>
          <w:p w14:paraId="758A9AB0">
            <w:pPr>
              <w:pStyle w:val="style0"/>
              <w:spacing w:after="40"/>
              <w:rPr/>
            </w:pPr>
            <w:r>
              <w:rPr>
                <w:sz w:val="18"/>
                <w:szCs w:val="18"/>
              </w:rPr>
              <w:t>Seul habilité à annuler une vente déjà enregistrée</w:t>
            </w:r>
          </w:p>
        </w:tc>
      </w:tr>
      <w:tr w14:paraId="29ABC08C">
        <w:tblPrEx/>
        <w:trPr/>
        <w:tc>
          <w:tcPr>
            <w:tcW w:w="2200" w:type="dxa"/>
            <w:tcBorders/>
            <w:shd w:val="clear" w:color="auto" w:fill="f0eee8"/>
            <w:tcMar>
              <w:top w:w="70" w:type="dxa"/>
              <w:left w:w="90" w:type="dxa"/>
              <w:bottom w:w="70" w:type="dxa"/>
              <w:right w:w="90" w:type="dxa"/>
            </w:tcMar>
          </w:tcPr>
          <w:p w14:paraId="4E17ED56">
            <w:pPr>
              <w:pStyle w:val="style0"/>
              <w:rPr/>
            </w:pPr>
            <w:r>
              <w:rPr>
                <w:sz w:val="18"/>
                <w:szCs w:val="18"/>
              </w:rPr>
              <w:t>Agent stock</w:t>
            </w:r>
          </w:p>
        </w:tc>
        <w:tc>
          <w:tcPr>
            <w:tcW w:w="2400" w:type="dxa"/>
            <w:tcBorders/>
            <w:shd w:val="clear" w:color="auto" w:fill="f0eee8"/>
            <w:tcMar>
              <w:top w:w="70" w:type="dxa"/>
              <w:left w:w="90" w:type="dxa"/>
              <w:bottom w:w="70" w:type="dxa"/>
              <w:right w:w="90" w:type="dxa"/>
            </w:tcMar>
          </w:tcPr>
          <w:p w14:paraId="6D942674">
            <w:pPr>
              <w:pStyle w:val="style0"/>
              <w:rPr/>
            </w:pPr>
            <w:r>
              <w:rPr>
                <w:sz w:val="18"/>
                <w:szCs w:val="18"/>
              </w:rPr>
              <w:t>Un site (Magasin de stock ou Comptoir)</w:t>
            </w:r>
          </w:p>
        </w:tc>
        <w:tc>
          <w:tcPr>
            <w:tcW w:w="4400" w:type="dxa"/>
            <w:tcBorders/>
            <w:shd w:val="clear" w:color="auto" w:fill="f0eee8"/>
            <w:tcMar>
              <w:top w:w="70" w:type="dxa"/>
              <w:left w:w="90" w:type="dxa"/>
              <w:bottom w:w="70" w:type="dxa"/>
              <w:right w:w="90" w:type="dxa"/>
            </w:tcMar>
          </w:tcPr>
          <w:p w14:paraId="F9D82EC2">
            <w:pPr>
              <w:pStyle w:val="style0"/>
              <w:spacing w:after="40"/>
              <w:rPr/>
            </w:pPr>
            <w:r>
              <w:rPr>
                <w:sz w:val="18"/>
                <w:szCs w:val="18"/>
              </w:rPr>
              <w:t>Crée/modifie les articles : nom, quantité, unité — jamais le prix</w:t>
            </w:r>
          </w:p>
          <w:p w14:paraId="FB5D8566">
            <w:pPr>
              <w:pStyle w:val="style0"/>
              <w:spacing w:after="40"/>
              <w:rPr/>
            </w:pPr>
            <w:r>
              <w:rPr>
                <w:sz w:val="18"/>
                <w:szCs w:val="18"/>
              </w:rPr>
              <w:t>Ne voit aucun montant en FCFA</w:t>
            </w:r>
          </w:p>
          <w:p w14:paraId="273C27A9">
            <w:pPr>
              <w:pStyle w:val="style0"/>
              <w:spacing w:after="40"/>
              <w:rPr/>
            </w:pPr>
            <w:r>
              <w:rPr>
                <w:sz w:val="18"/>
                <w:szCs w:val="18"/>
              </w:rPr>
              <w:t>Réalise le comptage d'inventaire matin et soir</w:t>
            </w:r>
          </w:p>
        </w:tc>
      </w:tr>
      <w:tr w14:paraId="079CF5E9">
        <w:tblPrEx/>
        <w:trPr/>
        <w:tc>
          <w:tcPr>
            <w:tcW w:w="2200" w:type="dxa"/>
            <w:tcBorders/>
            <w:shd w:val="clear" w:color="auto" w:fill="ffffff"/>
            <w:tcMar>
              <w:top w:w="70" w:type="dxa"/>
              <w:left w:w="90" w:type="dxa"/>
              <w:bottom w:w="70" w:type="dxa"/>
              <w:right w:w="90" w:type="dxa"/>
            </w:tcMar>
          </w:tcPr>
          <w:p w14:paraId="7ABD9EDC">
            <w:pPr>
              <w:pStyle w:val="style0"/>
              <w:rPr/>
            </w:pPr>
            <w:r>
              <w:rPr>
                <w:sz w:val="18"/>
                <w:szCs w:val="18"/>
              </w:rPr>
              <w:t>Agent comptabilité</w:t>
            </w:r>
          </w:p>
        </w:tc>
        <w:tc>
          <w:tcPr>
            <w:tcW w:w="2400" w:type="dxa"/>
            <w:tcBorders/>
            <w:shd w:val="clear" w:color="auto" w:fill="ffffff"/>
            <w:tcMar>
              <w:top w:w="70" w:type="dxa"/>
              <w:left w:w="90" w:type="dxa"/>
              <w:bottom w:w="70" w:type="dxa"/>
              <w:right w:w="90" w:type="dxa"/>
            </w:tcMar>
          </w:tcPr>
          <w:p w14:paraId="66324DCB">
            <w:pPr>
              <w:pStyle w:val="style0"/>
              <w:rPr/>
            </w:pPr>
            <w:r>
              <w:rPr>
                <w:sz w:val="18"/>
                <w:szCs w:val="18"/>
              </w:rPr>
              <w:t>Un site (Magasin de stock ou Comptoir)</w:t>
            </w:r>
          </w:p>
        </w:tc>
        <w:tc>
          <w:tcPr>
            <w:tcW w:w="4400" w:type="dxa"/>
            <w:tcBorders/>
            <w:shd w:val="clear" w:color="auto" w:fill="ffffff"/>
            <w:tcMar>
              <w:top w:w="70" w:type="dxa"/>
              <w:left w:w="90" w:type="dxa"/>
              <w:bottom w:w="70" w:type="dxa"/>
              <w:right w:w="90" w:type="dxa"/>
            </w:tcMar>
          </w:tcPr>
          <w:p w14:paraId="51701370">
            <w:pPr>
              <w:pStyle w:val="style0"/>
              <w:spacing w:after="40"/>
              <w:rPr/>
            </w:pPr>
            <w:r>
              <w:rPr>
                <w:sz w:val="18"/>
                <w:szCs w:val="18"/>
              </w:rPr>
              <w:t>Enregistre les ventes déjà payées, d'après le facturier papier</w:t>
            </w:r>
          </w:p>
          <w:p w14:paraId="CFF1024C">
            <w:pPr>
              <w:pStyle w:val="style0"/>
              <w:spacing w:after="40"/>
              <w:rPr/>
            </w:pPr>
            <w:r>
              <w:rPr>
                <w:sz w:val="18"/>
                <w:szCs w:val="18"/>
              </w:rPr>
              <w:t>Saisit le prix réellement négocié pour chaque vente</w:t>
            </w:r>
          </w:p>
          <w:p w14:paraId="D84A84D6">
            <w:pPr>
              <w:pStyle w:val="style0"/>
              <w:spacing w:after="40"/>
              <w:rPr/>
            </w:pPr>
            <w:r>
              <w:rPr>
                <w:sz w:val="18"/>
                <w:szCs w:val="18"/>
              </w:rPr>
              <w:t>Saisit les autres recettes et dépenses</w:t>
            </w:r>
          </w:p>
          <w:p w14:paraId="5CA88341">
            <w:pPr>
              <w:pStyle w:val="style0"/>
              <w:spacing w:after="40"/>
              <w:rPr/>
            </w:pPr>
            <w:r>
              <w:rPr>
                <w:sz w:val="18"/>
                <w:szCs w:val="18"/>
              </w:rPr>
              <w:t>Ne voit jamais les quantités en stock disponibles</w:t>
            </w:r>
          </w:p>
        </w:tc>
      </w:tr>
    </w:tbl>
    <w:p w14:paraId="5E67FF05">
      <w:pPr>
        <w:pStyle w:val="style0"/>
        <w:spacing w:after="200"/>
        <w:rPr/>
      </w:pPr>
    </w:p>
    <w:p w14:paraId="68E8317E">
      <w:pPr>
        <w:pStyle w:val="style0"/>
        <w:spacing w:after="140"/>
        <w:rPr/>
      </w:pPr>
      <w:r>
        <w:t>Un site peut avoir un agent stock et un agent comptabilité chacun — soit jusqu'à 5 comptes actifs en usage courant (1 responsable + 2 agents stock + 2 agents comptabilité).</w:t>
      </w:r>
    </w:p>
    <w:p w14:paraId="5379AC9E">
      <w:pPr>
        <w:pStyle w:val="style4106"/>
        <w:spacing w:before="340" w:after="150"/>
        <w:rPr/>
      </w:pPr>
      <w:r>
        <w:t>3. Besoins fonctionnels détaillés</w:t>
      </w:r>
    </w:p>
    <w:p w14:paraId="1BEC50BB">
      <w:pPr>
        <w:pStyle w:val="style4107"/>
        <w:spacing w:before="240" w:after="110"/>
        <w:rPr/>
      </w:pPr>
      <w:r>
        <w:t>3.1 Authentification et gestion des comptes</w:t>
      </w:r>
    </w:p>
    <w:p w14:paraId="7F0ABA37">
      <w:pPr>
        <w:pStyle w:val="style179"/>
        <w:numPr>
          <w:ilvl w:val="0"/>
          <w:numId w:val="1"/>
        </w:numPr>
        <w:spacing w:after="70"/>
        <w:rPr/>
      </w:pPr>
      <w:r>
        <w:t>Connexion par identifiant + mot de passe (mots de passe hachés, jamais stockés en clair).</w:t>
      </w:r>
    </w:p>
    <w:p w14:paraId="AFBFA0BB">
      <w:pPr>
        <w:pStyle w:val="style179"/>
        <w:numPr>
          <w:ilvl w:val="0"/>
          <w:numId w:val="1"/>
        </w:numPr>
        <w:spacing w:after="70"/>
        <w:rPr/>
      </w:pPr>
      <w:r>
        <w:t>Verrouillage du compte après plusieurs tentatives échouées, réactivable par le responsable.</w:t>
      </w:r>
    </w:p>
    <w:p w14:paraId="9E0699B4">
      <w:pPr>
        <w:pStyle w:val="style179"/>
        <w:numPr>
          <w:ilvl w:val="0"/>
          <w:numId w:val="1"/>
        </w:numPr>
        <w:spacing w:after="70"/>
        <w:rPr/>
      </w:pPr>
      <w:r>
        <w:t>Invitation à changer son mot de passe et son identifiant à la toute première connexion (proposée une seule fois par compte).</w:t>
      </w:r>
    </w:p>
    <w:p w14:paraId="37E12098">
      <w:pPr>
        <w:pStyle w:val="style179"/>
        <w:numPr>
          <w:ilvl w:val="0"/>
          <w:numId w:val="1"/>
        </w:numPr>
        <w:spacing w:after="70"/>
        <w:rPr/>
      </w:pPr>
      <w:r>
        <w:t>Écran « Paramètres » permettant à tout utilisateur de modifier son propre identifiant/mot de passe à tout moment.</w:t>
      </w:r>
    </w:p>
    <w:p w14:paraId="367354CF">
      <w:pPr>
        <w:pStyle w:val="style4107"/>
        <w:spacing w:before="240" w:after="110"/>
        <w:rPr/>
      </w:pPr>
      <w:r>
        <w:t>3.2 Gestion des articles et du stock</w:t>
      </w:r>
    </w:p>
    <w:p w14:paraId="78DC1176">
      <w:pPr>
        <w:pStyle w:val="style179"/>
        <w:numPr>
          <w:ilvl w:val="0"/>
          <w:numId w:val="1"/>
        </w:numPr>
        <w:spacing w:after="70"/>
        <w:rPr/>
      </w:pPr>
      <w:r>
        <w:t>Fiche article : nom, catégorie, unité, prix d'achat, prix de vente, quantité en stock, fournisseur, site de rattachement.</w:t>
      </w:r>
    </w:p>
    <w:p w14:paraId="06F26D3C">
      <w:pPr>
        <w:pStyle w:val="style179"/>
        <w:numPr>
          <w:ilvl w:val="0"/>
          <w:numId w:val="1"/>
        </w:numPr>
        <w:spacing w:after="70"/>
        <w:rPr/>
      </w:pPr>
      <w:r>
        <w:t>Le prix (achat et vente) et le fournisseur sont réservés au rôle responsable.</w:t>
      </w:r>
    </w:p>
    <w:p w14:paraId="750F44FF">
      <w:pPr>
        <w:pStyle w:val="style179"/>
        <w:numPr>
          <w:ilvl w:val="0"/>
          <w:numId w:val="1"/>
        </w:numPr>
        <w:spacing w:after="70"/>
        <w:rPr/>
      </w:pPr>
      <w:r>
        <w:t>Le seuil d'alerte n'est jamais saisi manuellement : il est calculé automatiquement (20 % de la quantité reçue) et recalculé uniquement lors d'une entrée de stock — jamais lors d'une sortie ni d'une simple modification de fiche, pour empêcher qu'il serve à masquer une disparition de marchandise.</w:t>
      </w:r>
    </w:p>
    <w:p w14:paraId="9FA95D04">
      <w:pPr>
        <w:pStyle w:val="style179"/>
        <w:numPr>
          <w:ilvl w:val="0"/>
          <w:numId w:val="1"/>
        </w:numPr>
        <w:spacing w:after="70"/>
        <w:rPr/>
      </w:pPr>
      <w:r>
        <w:t>Mouvements de stock (entrées/sorties) historisés avec motif, utilisateur et horodatage.</w:t>
      </w:r>
    </w:p>
    <w:p w14:paraId="FDC1AC59">
      <w:pPr>
        <w:pStyle w:val="style179"/>
        <w:numPr>
          <w:ilvl w:val="0"/>
          <w:numId w:val="1"/>
        </w:numPr>
        <w:spacing w:after="70"/>
        <w:rPr/>
      </w:pPr>
      <w:r>
        <w:t>Toute modification de prix ou de champ descriptif (nom, unité) est tracée : qui, quand, ancienne et nouvelle valeur — consultable directement sur la fiche article.</w:t>
      </w:r>
    </w:p>
    <w:p w14:paraId="9EDD80A7">
      <w:pPr>
        <w:pStyle w:val="style4107"/>
        <w:spacing w:before="240" w:after="110"/>
        <w:rPr/>
      </w:pPr>
      <w:r>
        <w:t>3.3 Enregistrement des ventes</w:t>
      </w:r>
    </w:p>
    <w:p w14:paraId="43D6AC14">
      <w:pPr>
        <w:pStyle w:val="style179"/>
        <w:numPr>
          <w:ilvl w:val="0"/>
          <w:numId w:val="1"/>
        </w:numPr>
        <w:spacing w:after="70"/>
        <w:rPr/>
      </w:pPr>
      <w:r>
        <w:t>Recherche d'un article, ajout au panier avec quantité et prix unitaire saisis pour cette vente précise — le prix catalogue n'est qu'indicatif, le prix réellement facturé (négocié avec le client) peut en différer.</w:t>
      </w:r>
    </w:p>
    <w:p w14:paraId="B9237AE0">
      <w:pPr>
        <w:pStyle w:val="style179"/>
        <w:numPr>
          <w:ilvl w:val="0"/>
          <w:numId w:val="1"/>
        </w:numPr>
        <w:spacing w:after="70"/>
        <w:rPr/>
      </w:pPr>
      <w:r>
        <w:t>Calcul automatique du sous-total, de la TVA et du total à payer.</w:t>
      </w:r>
    </w:p>
    <w:p w14:paraId="A3977FD4">
      <w:pPr>
        <w:pStyle w:val="style179"/>
        <w:numPr>
          <w:ilvl w:val="0"/>
          <w:numId w:val="1"/>
        </w:numPr>
        <w:spacing w:after="70"/>
        <w:rPr/>
      </w:pPr>
      <w:r>
        <w:t>Choix du mode de paiement (espèces, Orange Money, MTN Mobile Money, crédit client, autre).</w:t>
      </w:r>
    </w:p>
    <w:p w14:paraId="E105DD7D">
      <w:pPr>
        <w:pStyle w:val="style179"/>
        <w:numPr>
          <w:ilvl w:val="0"/>
          <w:numId w:val="1"/>
        </w:numPr>
        <w:spacing w:after="70"/>
        <w:rPr/>
      </w:pPr>
      <w:r>
        <w:t>Deux formats de document : ticket simple, ou facture détaillée avec numéro attribué automatiquement.</w:t>
      </w:r>
    </w:p>
    <w:p w14:paraId="9CD3DBA5">
      <w:pPr>
        <w:pStyle w:val="style179"/>
        <w:numPr>
          <w:ilvl w:val="0"/>
          <w:numId w:val="1"/>
        </w:numPr>
        <w:spacing w:after="70"/>
        <w:rPr/>
      </w:pPr>
      <w:r>
        <w:t>Impression directe d'un reçu au format ticket de caisse (avec code-barres), sans étape intermédiaire.</w:t>
      </w:r>
    </w:p>
    <w:p w14:paraId="128FCAC9">
      <w:pPr>
        <w:pStyle w:val="style179"/>
        <w:numPr>
          <w:ilvl w:val="0"/>
          <w:numId w:val="1"/>
        </w:numPr>
        <w:spacing w:after="70"/>
        <w:rPr/>
      </w:pPr>
      <w:r>
        <w:t>La validation d'une vente décrémente le stock de façon atomique (protégée contre une survente si deux ventes sont saisies au même moment sur des postes différents) et crée immédiatement la recette comptable correspondante.</w:t>
      </w:r>
    </w:p>
    <w:p w14:paraId="85CAAEE8">
      <w:pPr>
        <w:pStyle w:val="style179"/>
        <w:numPr>
          <w:ilvl w:val="0"/>
          <w:numId w:val="1"/>
        </w:numPr>
        <w:spacing w:after="70"/>
        <w:rPr/>
      </w:pPr>
      <w:r>
        <w:t>Annulation d'une vente (responsable uniquement) : restitue le stock et retire la recette associée ; une vente déjà annulée ne peut pas l'être une seconde fois.</w:t>
      </w:r>
    </w:p>
    <w:p w14:paraId="F9CCB855">
      <w:pPr>
        <w:pStyle w:val="style4107"/>
        <w:spacing w:before="240" w:after="110"/>
        <w:rPr/>
      </w:pPr>
      <w:r>
        <w:t>3.4 Comptabilité</w:t>
      </w:r>
    </w:p>
    <w:p w14:paraId="B969C88C">
      <w:pPr>
        <w:pStyle w:val="style179"/>
        <w:numPr>
          <w:ilvl w:val="0"/>
          <w:numId w:val="1"/>
        </w:numPr>
        <w:spacing w:after="70"/>
        <w:rPr/>
      </w:pPr>
      <w:r>
        <w:t>Saisie des recettes et dépenses, avec description libre.</w:t>
      </w:r>
    </w:p>
    <w:p w14:paraId="C2DDC410">
      <w:pPr>
        <w:pStyle w:val="style179"/>
        <w:numPr>
          <w:ilvl w:val="0"/>
          <w:numId w:val="1"/>
        </w:numPr>
        <w:spacing w:after="70"/>
        <w:rPr/>
      </w:pPr>
      <w:r>
        <w:t>Une dépense de type salaire peut être rattachée directement à un employé (traçabilité de la paie), plutôt que d'être un simple texte libre.</w:t>
      </w:r>
    </w:p>
    <w:p w14:paraId="7D57DD0C">
      <w:pPr>
        <w:pStyle w:val="style179"/>
        <w:numPr>
          <w:ilvl w:val="0"/>
          <w:numId w:val="1"/>
        </w:numPr>
        <w:spacing w:after="70"/>
        <w:rPr/>
      </w:pPr>
      <w:r>
        <w:t>Historique des transactions filtrable par site et par période.</w:t>
      </w:r>
    </w:p>
    <w:p w14:paraId="9FB2CA4E">
      <w:pPr>
        <w:pStyle w:val="style4107"/>
        <w:spacing w:before="240" w:after="110"/>
        <w:rPr/>
      </w:pPr>
      <w:r>
        <w:t>3.5 Ressources humaines</w:t>
      </w:r>
    </w:p>
    <w:p w14:paraId="B251E90F">
      <w:pPr>
        <w:pStyle w:val="style179"/>
        <w:numPr>
          <w:ilvl w:val="0"/>
          <w:numId w:val="1"/>
        </w:numPr>
        <w:spacing w:after="70"/>
        <w:rPr/>
      </w:pPr>
      <w:r>
        <w:t>Fiche employé : nom complet, poste, téléphone, type de contrat (permanent ou temporaire), salaire mensuel, site de rattachement.</w:t>
      </w:r>
    </w:p>
    <w:p w14:paraId="6E4A1C34">
      <w:pPr>
        <w:pStyle w:val="style179"/>
        <w:numPr>
          <w:ilvl w:val="0"/>
          <w:numId w:val="1"/>
        </w:numPr>
        <w:spacing w:after="70"/>
        <w:rPr/>
      </w:pPr>
      <w:r>
        <w:t>Suivi des absences et congés.</w:t>
      </w:r>
    </w:p>
    <w:p w14:paraId="2E7031CB">
      <w:pPr>
        <w:pStyle w:val="style179"/>
        <w:numPr>
          <w:ilvl w:val="0"/>
          <w:numId w:val="1"/>
        </w:numPr>
        <w:spacing w:after="70"/>
        <w:rPr/>
      </w:pPr>
      <w:r>
        <w:t>Suivi des avances sur salaire, avec statut remboursé/non remboursé.</w:t>
      </w:r>
    </w:p>
    <w:p w14:paraId="0D72E8B6">
      <w:pPr>
        <w:pStyle w:val="style179"/>
        <w:numPr>
          <w:ilvl w:val="0"/>
          <w:numId w:val="1"/>
        </w:numPr>
        <w:spacing w:after="70"/>
        <w:rPr/>
      </w:pPr>
      <w:r>
        <w:t>Ce module est réservé au rôle responsable.</w:t>
      </w:r>
    </w:p>
    <w:p w14:paraId="213E4424">
      <w:pPr>
        <w:pStyle w:val="style4107"/>
        <w:spacing w:before="240" w:after="110"/>
        <w:rPr/>
      </w:pPr>
      <w:r>
        <w:t>3.6 Comptage d'inventaire</w:t>
      </w:r>
    </w:p>
    <w:p w14:paraId="982B20BF">
      <w:pPr>
        <w:pStyle w:val="style179"/>
        <w:numPr>
          <w:ilvl w:val="0"/>
          <w:numId w:val="1"/>
        </w:numPr>
        <w:spacing w:after="70"/>
        <w:rPr/>
      </w:pPr>
      <w:r>
        <w:t>Comptage physique par article, matin et soir, réalisé par l'agent stock du site concerné.</w:t>
      </w:r>
    </w:p>
    <w:p w14:paraId="80BAFC16">
      <w:pPr>
        <w:pStyle w:val="style179"/>
        <w:numPr>
          <w:ilvl w:val="0"/>
          <w:numId w:val="1"/>
        </w:numPr>
        <w:spacing w:after="70"/>
        <w:rPr/>
      </w:pPr>
      <w:r>
        <w:t>Comptage « à l'aveugle » : la quantité attendue par le système n'est jamais affichée pendant la saisie, pour que le comptage soit un vrai contrôle.</w:t>
      </w:r>
    </w:p>
    <w:p w14:paraId="24060096">
      <w:pPr>
        <w:pStyle w:val="style179"/>
        <w:numPr>
          <w:ilvl w:val="0"/>
          <w:numId w:val="1"/>
        </w:numPr>
        <w:spacing w:after="70"/>
        <w:rPr/>
      </w:pPr>
      <w:r>
        <w:t>Calcul automatique de l'écart (compté moins attendu) une fois la saisie validée.</w:t>
      </w:r>
    </w:p>
    <w:p w14:paraId="7813057F">
      <w:pPr>
        <w:pStyle w:val="style179"/>
        <w:numPr>
          <w:ilvl w:val="0"/>
          <w:numId w:val="1"/>
        </w:numPr>
        <w:spacing w:after="70"/>
        <w:rPr/>
      </w:pPr>
      <w:r>
        <w:t>Indicateur visuel sur le tableau de bord de l'agent stock : vert si tout correspond, rouge avec détail des écarts sinon.</w:t>
      </w:r>
    </w:p>
    <w:p w14:paraId="E98A0B86">
      <w:pPr>
        <w:pStyle w:val="style179"/>
        <w:numPr>
          <w:ilvl w:val="0"/>
          <w:numId w:val="1"/>
        </w:numPr>
        <w:spacing w:after="70"/>
        <w:rPr/>
      </w:pPr>
      <w:r>
        <w:t>Historique des comptages consultable par le responsable (tous sites, filtrable par période), pour servir de support aux réunions d'équipe.</w:t>
      </w:r>
    </w:p>
    <w:p w14:paraId="C7B5E682">
      <w:pPr>
        <w:pStyle w:val="style4107"/>
        <w:spacing w:before="240" w:after="110"/>
        <w:rPr/>
      </w:pPr>
      <w:r>
        <w:t>3.7 Tableau de bord et rapports</w:t>
      </w:r>
    </w:p>
    <w:p w14:paraId="15686B89">
      <w:pPr>
        <w:pStyle w:val="style179"/>
        <w:numPr>
          <w:ilvl w:val="0"/>
          <w:numId w:val="1"/>
        </w:numPr>
        <w:spacing w:after="70"/>
        <w:rPr/>
      </w:pPr>
      <w:r>
        <w:t>Tableau de bord du responsable : vue consolidée ou par site, alertes de stock faible, accès rapide aux autres modules.</w:t>
      </w:r>
    </w:p>
    <w:p w14:paraId="28961DD0">
      <w:pPr>
        <w:pStyle w:val="style179"/>
        <w:numPr>
          <w:ilvl w:val="0"/>
          <w:numId w:val="1"/>
        </w:numPr>
        <w:spacing w:after="70"/>
        <w:rPr/>
      </w:pPr>
      <w:r>
        <w:t>Tableau de bord de l'agent : limité à son propre site et à son propre périmètre (stock pour l'agent stock, recettes/dépenses du jour pour l'agent comptabilité).</w:t>
      </w:r>
    </w:p>
    <w:p w14:paraId="B7D8A357">
      <w:pPr>
        <w:pStyle w:val="style179"/>
        <w:numPr>
          <w:ilvl w:val="0"/>
          <w:numId w:val="1"/>
        </w:numPr>
        <w:spacing w:after="70"/>
        <w:rPr/>
      </w:pPr>
      <w:r>
        <w:t>Rapports exportables (Excel/PDF), avec filtre de période, et gating du prix de vente selon le rôle de la personne qui exporte.</w:t>
      </w:r>
    </w:p>
    <w:p w14:paraId="3E74B569">
      <w:pPr>
        <w:pStyle w:val="style4107"/>
        <w:spacing w:before="240" w:after="110"/>
        <w:rPr/>
      </w:pPr>
      <w:r>
        <w:t>3.8 Administration</w:t>
      </w:r>
    </w:p>
    <w:p w14:paraId="B0362A76">
      <w:pPr>
        <w:pStyle w:val="style179"/>
        <w:numPr>
          <w:ilvl w:val="0"/>
          <w:numId w:val="1"/>
        </w:numPr>
        <w:spacing w:after="70"/>
        <w:rPr/>
      </w:pPr>
      <w:r>
        <w:t>Création, désactivation et réactivation des comptes utilisateurs (responsable uniquement).</w:t>
      </w:r>
    </w:p>
    <w:p w14:paraId="6FC7917E">
      <w:pPr>
        <w:pStyle w:val="style179"/>
        <w:numPr>
          <w:ilvl w:val="0"/>
          <w:numId w:val="1"/>
        </w:numPr>
        <w:spacing w:after="70"/>
        <w:rPr/>
      </w:pPr>
      <w:r>
        <w:t>Gestion des fournisseurs (responsable uniquement).</w:t>
      </w:r>
    </w:p>
    <w:p w14:paraId="80FFB78D">
      <w:pPr>
        <w:pStyle w:val="style4106"/>
        <w:spacing w:before="340" w:after="150"/>
        <w:rPr/>
      </w:pPr>
      <w:r>
        <w:t>4. Exigences non fonctionnelles</w:t>
      </w:r>
    </w:p>
    <w:p w14:paraId="EBA3FFB9">
      <w:pPr>
        <w:pStyle w:val="style4107"/>
        <w:spacing w:before="240" w:after="110"/>
        <w:rPr/>
      </w:pPr>
      <w:r>
        <w:t>4.1 Fonctionnement local, sans dépendance à Internet</w:t>
      </w:r>
    </w:p>
    <w:p w14:paraId="C1EF168C">
      <w:pPr>
        <w:pStyle w:val="style0"/>
        <w:spacing w:after="140"/>
        <w:rPr/>
      </w:pPr>
      <w:r>
        <w:t>L'application et sa base de données fonctionnent entièrement sur le réseau local de la boutique. Aucune fonctionnalité du quotidien (vente, stock, comptabilité) ne nécessite d'accès Internet. Seule une fonctionnalité optionnelle de supervision à distance (consultation par le responsable depuis son téléphone) en dépend.</w:t>
      </w:r>
    </w:p>
    <w:p w14:paraId="641498F6">
      <w:pPr>
        <w:pStyle w:val="style4107"/>
        <w:spacing w:before="240" w:after="110"/>
        <w:rPr/>
      </w:pPr>
      <w:r>
        <w:t>4.2 Sécurité et traçabilité</w:t>
      </w:r>
    </w:p>
    <w:p w14:paraId="30E91FD1">
      <w:pPr>
        <w:pStyle w:val="style179"/>
        <w:numPr>
          <w:ilvl w:val="0"/>
          <w:numId w:val="1"/>
        </w:numPr>
        <w:spacing w:after="70"/>
        <w:rPr/>
      </w:pPr>
      <w:r>
        <w:t>Mots de passe hachés (jamais stockés ni transmis en clair).</w:t>
      </w:r>
    </w:p>
    <w:p w14:paraId="C703A8C8">
      <w:pPr>
        <w:pStyle w:val="style179"/>
        <w:numPr>
          <w:ilvl w:val="0"/>
          <w:numId w:val="1"/>
        </w:numPr>
        <w:spacing w:after="70"/>
        <w:rPr/>
      </w:pPr>
      <w:r>
        <w:t>Séparation stricte des droits par rôle, appliquée à la fois dans l'interface et dans les requêtes à la base de données.</w:t>
      </w:r>
    </w:p>
    <w:p w14:paraId="D408A5E6">
      <w:pPr>
        <w:pStyle w:val="style179"/>
        <w:numPr>
          <w:ilvl w:val="0"/>
          <w:numId w:val="1"/>
        </w:numPr>
        <w:spacing w:after="70"/>
        <w:rPr/>
      </w:pPr>
      <w:r>
        <w:t>Traçabilité systématique des actions sensibles : changement de prix, modification de fiche article, ventes annulées, comptages d'inventaire — toujours horodatées et attribuées à un utilisateur précis.</w:t>
      </w:r>
    </w:p>
    <w:p w14:paraId="DEAF0A40">
      <w:pPr>
        <w:pStyle w:val="style179"/>
        <w:numPr>
          <w:ilvl w:val="0"/>
          <w:numId w:val="1"/>
        </w:numPr>
        <w:spacing w:after="70"/>
        <w:rPr/>
      </w:pPr>
      <w:r>
        <w:t>Le seuil d'alerte de stock ne peut être modifié par personne directement, afin qu'il ne puisse pas servir à dissimuler un vol de marchandise.</w:t>
      </w:r>
    </w:p>
    <w:p w14:paraId="70CBA54B">
      <w:pPr>
        <w:pStyle w:val="style4107"/>
        <w:spacing w:before="240" w:after="110"/>
        <w:rPr/>
      </w:pPr>
      <w:r>
        <w:t>4.3 Disponibilité et continuité</w:t>
      </w:r>
    </w:p>
    <w:p w14:paraId="EEF130F0">
      <w:pPr>
        <w:pStyle w:val="style179"/>
        <w:numPr>
          <w:ilvl w:val="0"/>
          <w:numId w:val="1"/>
        </w:numPr>
        <w:spacing w:after="70"/>
        <w:rPr/>
      </w:pPr>
      <w:r>
        <w:t>Le poste serveur (hébergeant la base de données) doit rester allumé et accessible sur le réseau local pendant les heures d'ouverture.</w:t>
      </w:r>
    </w:p>
    <w:p w14:paraId="84173AA9">
      <w:pPr>
        <w:pStyle w:val="style179"/>
        <w:numPr>
          <w:ilvl w:val="0"/>
          <w:numId w:val="1"/>
        </w:numPr>
        <w:spacing w:after="70"/>
        <w:rPr/>
      </w:pPr>
      <w:r>
        <w:t>Sauvegarde automatique quotidienne de la base de données, avec conservation glissante de 30 jours et copie recommandée hors du poste serveur (clé USB ou envoi occasionnel à distance).</w:t>
      </w:r>
    </w:p>
    <w:p w14:paraId="404D4BA7">
      <w:pPr>
        <w:pStyle w:val="style179"/>
        <w:numPr>
          <w:ilvl w:val="0"/>
          <w:numId w:val="1"/>
        </w:numPr>
        <w:spacing w:after="70"/>
        <w:rPr/>
      </w:pPr>
      <w:r>
        <w:t>Procédure de restauration documentée, créant systématiquement une base séparée pour vérification avant toute bascule réelle.</w:t>
      </w:r>
    </w:p>
    <w:p w14:paraId="08EBA742">
      <w:pPr>
        <w:pStyle w:val="style4107"/>
        <w:spacing w:before="240" w:after="110"/>
        <w:rPr/>
      </w:pPr>
      <w:r>
        <w:t>4.4 Ergonomie</w:t>
      </w:r>
    </w:p>
    <w:p w14:paraId="70A9F628">
      <w:pPr>
        <w:pStyle w:val="style179"/>
        <w:numPr>
          <w:ilvl w:val="0"/>
          <w:numId w:val="1"/>
        </w:numPr>
        <w:spacing w:after="70"/>
        <w:rPr/>
      </w:pPr>
      <w:r>
        <w:t>Interface en français, pensée pour des utilisateurs sans formation informatique préalable.</w:t>
      </w:r>
    </w:p>
    <w:p w14:paraId="E63F4C12">
      <w:pPr>
        <w:pStyle w:val="style179"/>
        <w:numPr>
          <w:ilvl w:val="0"/>
          <w:numId w:val="1"/>
        </w:numPr>
        <w:spacing w:after="70"/>
        <w:rPr/>
      </w:pPr>
      <w:r>
        <w:t>Messages d'erreur et de confirmation clairs, jamais dans une langue autre que le français.</w:t>
      </w:r>
    </w:p>
    <w:p w14:paraId="4AEC05BC">
      <w:pPr>
        <w:pStyle w:val="style179"/>
        <w:numPr>
          <w:ilvl w:val="0"/>
          <w:numId w:val="1"/>
        </w:numPr>
        <w:spacing w:after="70"/>
        <w:rPr/>
      </w:pPr>
      <w:r>
        <w:t>Saisie rapide (quantités et prix en un seul écran, sans étapes inutiles) adaptée à une utilisation en boutique, potentiellement avec des clients en attente.</w:t>
      </w:r>
    </w:p>
    <w:p w14:paraId="51275696">
      <w:pPr>
        <w:pStyle w:val="style4106"/>
        <w:spacing w:before="340" w:after="150"/>
        <w:rPr/>
      </w:pPr>
      <w:r>
        <w:t>5. Contraintes techniques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000"/>
      </w:tblGrid>
      <w:tr w14:paraId="C52DA14B">
        <w:trPr/>
        <w:tc>
          <w:tcPr>
            <w:tcW w:w="3000" w:type="dxa"/>
            <w:tcBorders/>
            <w:shd w:val="clear" w:color="auto" w:fill="152c4d"/>
            <w:tcMar>
              <w:top w:w="80" w:type="dxa"/>
              <w:left w:w="90" w:type="dxa"/>
              <w:bottom w:w="80" w:type="dxa"/>
              <w:right w:w="90" w:type="dxa"/>
            </w:tcMar>
          </w:tcPr>
          <w:p w14:paraId="F55D7EA9">
            <w:pPr>
              <w:pStyle w:val="style0"/>
              <w:rPr/>
            </w:pPr>
            <w:r>
              <w:rPr>
                <w:b/>
                <w:bCs/>
                <w:color w:val="ffffff"/>
                <w:sz w:val="18"/>
                <w:szCs w:val="18"/>
              </w:rPr>
              <w:t>Élément</w:t>
            </w:r>
          </w:p>
        </w:tc>
        <w:tc>
          <w:tcPr>
            <w:tcW w:w="6000" w:type="dxa"/>
            <w:tcBorders/>
            <w:shd w:val="clear" w:color="auto" w:fill="152c4d"/>
            <w:tcMar>
              <w:top w:w="80" w:type="dxa"/>
              <w:left w:w="90" w:type="dxa"/>
              <w:bottom w:w="80" w:type="dxa"/>
              <w:right w:w="90" w:type="dxa"/>
            </w:tcMar>
          </w:tcPr>
          <w:p w14:paraId="AFE7D69E">
            <w:pPr>
              <w:pStyle w:val="style0"/>
              <w:rPr/>
            </w:pPr>
            <w:r>
              <w:rPr>
                <w:b/>
                <w:bCs/>
                <w:color w:val="ffffff"/>
                <w:sz w:val="18"/>
                <w:szCs w:val="18"/>
              </w:rPr>
              <w:t>Choix retenu</w:t>
            </w:r>
          </w:p>
        </w:tc>
      </w:tr>
      <w:tr w14:paraId="85FD58EA">
        <w:tblPrEx/>
        <w:trPr/>
        <w:tc>
          <w:tcPr>
            <w:tcW w:w="3000" w:type="dxa"/>
            <w:tcBorders/>
            <w:shd w:val="clear" w:color="auto" w:fill="ffffff"/>
            <w:tcMar>
              <w:top w:w="70" w:type="dxa"/>
              <w:left w:w="90" w:type="dxa"/>
              <w:bottom w:w="70" w:type="dxa"/>
              <w:right w:w="90" w:type="dxa"/>
            </w:tcMar>
          </w:tcPr>
          <w:p w14:paraId="4DB9002A">
            <w:pPr>
              <w:pStyle w:val="style0"/>
              <w:rPr/>
            </w:pPr>
            <w:r>
              <w:rPr>
                <w:sz w:val="18"/>
                <w:szCs w:val="18"/>
              </w:rPr>
              <w:t>Langage</w:t>
            </w:r>
          </w:p>
        </w:tc>
        <w:tc>
          <w:tcPr>
            <w:tcW w:w="6000" w:type="dxa"/>
            <w:tcBorders/>
            <w:shd w:val="clear" w:color="auto" w:fill="ffffff"/>
            <w:tcMar>
              <w:top w:w="70" w:type="dxa"/>
              <w:left w:w="90" w:type="dxa"/>
              <w:bottom w:w="70" w:type="dxa"/>
              <w:right w:w="90" w:type="dxa"/>
            </w:tcMar>
          </w:tcPr>
          <w:p w14:paraId="90BC4938">
            <w:pPr>
              <w:pStyle w:val="style0"/>
              <w:rPr/>
            </w:pPr>
            <w:r>
              <w:rPr>
                <w:sz w:val="18"/>
                <w:szCs w:val="18"/>
              </w:rPr>
              <w:t>Python 3</w:t>
            </w:r>
          </w:p>
        </w:tc>
      </w:tr>
      <w:tr w14:paraId="A7730529">
        <w:tblPrEx/>
        <w:trPr/>
        <w:tc>
          <w:tcPr>
            <w:tcW w:w="3000" w:type="dxa"/>
            <w:tcBorders/>
            <w:shd w:val="clear" w:color="auto" w:fill="f0eee8"/>
            <w:tcMar>
              <w:top w:w="70" w:type="dxa"/>
              <w:left w:w="90" w:type="dxa"/>
              <w:bottom w:w="70" w:type="dxa"/>
              <w:right w:w="90" w:type="dxa"/>
            </w:tcMar>
          </w:tcPr>
          <w:p w14:paraId="DED2056E">
            <w:pPr>
              <w:pStyle w:val="style0"/>
              <w:rPr/>
            </w:pPr>
            <w:r>
              <w:rPr>
                <w:sz w:val="18"/>
                <w:szCs w:val="18"/>
              </w:rPr>
              <w:t>Interface utilisateur</w:t>
            </w:r>
          </w:p>
        </w:tc>
        <w:tc>
          <w:tcPr>
            <w:tcW w:w="6000" w:type="dxa"/>
            <w:tcBorders/>
            <w:shd w:val="clear" w:color="auto" w:fill="f0eee8"/>
            <w:tcMar>
              <w:top w:w="70" w:type="dxa"/>
              <w:left w:w="90" w:type="dxa"/>
              <w:bottom w:w="70" w:type="dxa"/>
              <w:right w:w="90" w:type="dxa"/>
            </w:tcMar>
          </w:tcPr>
          <w:p w14:paraId="DA1C2435">
            <w:pPr>
              <w:pStyle w:val="style0"/>
              <w:rPr/>
            </w:pPr>
            <w:r>
              <w:rPr>
                <w:sz w:val="18"/>
                <w:szCs w:val="18"/>
              </w:rPr>
              <w:t>PyQt6 (application de bureau native Windows)</w:t>
            </w:r>
          </w:p>
        </w:tc>
      </w:tr>
      <w:tr w14:paraId="7386D963">
        <w:tblPrEx/>
        <w:trPr/>
        <w:tc>
          <w:tcPr>
            <w:tcW w:w="3000" w:type="dxa"/>
            <w:tcBorders/>
            <w:shd w:val="clear" w:color="auto" w:fill="ffffff"/>
            <w:tcMar>
              <w:top w:w="70" w:type="dxa"/>
              <w:left w:w="90" w:type="dxa"/>
              <w:bottom w:w="70" w:type="dxa"/>
              <w:right w:w="90" w:type="dxa"/>
            </w:tcMar>
          </w:tcPr>
          <w:p w14:paraId="4C3D0631">
            <w:pPr>
              <w:pStyle w:val="style0"/>
              <w:rPr/>
            </w:pPr>
            <w:r>
              <w:rPr>
                <w:sz w:val="18"/>
                <w:szCs w:val="18"/>
              </w:rPr>
              <w:t>Base de données</w:t>
            </w:r>
          </w:p>
        </w:tc>
        <w:tc>
          <w:tcPr>
            <w:tcW w:w="6000" w:type="dxa"/>
            <w:tcBorders/>
            <w:shd w:val="clear" w:color="auto" w:fill="ffffff"/>
            <w:tcMar>
              <w:top w:w="70" w:type="dxa"/>
              <w:left w:w="90" w:type="dxa"/>
              <w:bottom w:w="70" w:type="dxa"/>
              <w:right w:w="90" w:type="dxa"/>
            </w:tcMar>
          </w:tcPr>
          <w:p w14:paraId="6F40CD4E">
            <w:pPr>
              <w:pStyle w:val="style0"/>
              <w:rPr/>
            </w:pPr>
            <w:r>
              <w:rPr>
                <w:sz w:val="18"/>
                <w:szCs w:val="18"/>
              </w:rPr>
              <w:t>PostgreSQL, hébergée localement sur le poste serveur</w:t>
            </w:r>
          </w:p>
        </w:tc>
      </w:tr>
      <w:tr w14:paraId="23A38624">
        <w:tblPrEx/>
        <w:trPr/>
        <w:tc>
          <w:tcPr>
            <w:tcW w:w="3000" w:type="dxa"/>
            <w:tcBorders/>
            <w:shd w:val="clear" w:color="auto" w:fill="f0eee8"/>
            <w:tcMar>
              <w:top w:w="70" w:type="dxa"/>
              <w:left w:w="90" w:type="dxa"/>
              <w:bottom w:w="70" w:type="dxa"/>
              <w:right w:w="90" w:type="dxa"/>
            </w:tcMar>
          </w:tcPr>
          <w:p w14:paraId="8C805667">
            <w:pPr>
              <w:pStyle w:val="style0"/>
              <w:rPr/>
            </w:pPr>
            <w:r>
              <w:rPr>
                <w:sz w:val="18"/>
                <w:szCs w:val="18"/>
              </w:rPr>
              <w:t>Accès base de données</w:t>
            </w:r>
          </w:p>
        </w:tc>
        <w:tc>
          <w:tcPr>
            <w:tcW w:w="6000" w:type="dxa"/>
            <w:tcBorders/>
            <w:shd w:val="clear" w:color="auto" w:fill="f0eee8"/>
            <w:tcMar>
              <w:top w:w="70" w:type="dxa"/>
              <w:left w:w="90" w:type="dxa"/>
              <w:bottom w:w="70" w:type="dxa"/>
              <w:right w:w="90" w:type="dxa"/>
            </w:tcMar>
          </w:tcPr>
          <w:p w14:paraId="D47CE946">
            <w:pPr>
              <w:pStyle w:val="style0"/>
              <w:rPr/>
            </w:pPr>
            <w:r>
              <w:rPr>
                <w:sz w:val="18"/>
                <w:szCs w:val="18"/>
              </w:rPr>
              <w:t>psycopg (v3)</w:t>
            </w:r>
          </w:p>
        </w:tc>
      </w:tr>
      <w:tr w14:paraId="C1AF8963">
        <w:tblPrEx/>
        <w:trPr/>
        <w:tc>
          <w:tcPr>
            <w:tcW w:w="3000" w:type="dxa"/>
            <w:tcBorders/>
            <w:shd w:val="clear" w:color="auto" w:fill="ffffff"/>
            <w:tcMar>
              <w:top w:w="70" w:type="dxa"/>
              <w:left w:w="90" w:type="dxa"/>
              <w:bottom w:w="70" w:type="dxa"/>
              <w:right w:w="90" w:type="dxa"/>
            </w:tcMar>
          </w:tcPr>
          <w:p w14:paraId="DB288A94">
            <w:pPr>
              <w:pStyle w:val="style0"/>
              <w:rPr/>
            </w:pPr>
            <w:r>
              <w:rPr>
                <w:sz w:val="18"/>
                <w:szCs w:val="18"/>
              </w:rPr>
              <w:t>Sécurité des mots de passe</w:t>
            </w:r>
          </w:p>
        </w:tc>
        <w:tc>
          <w:tcPr>
            <w:tcW w:w="6000" w:type="dxa"/>
            <w:tcBorders/>
            <w:shd w:val="clear" w:color="auto" w:fill="ffffff"/>
            <w:tcMar>
              <w:top w:w="70" w:type="dxa"/>
              <w:left w:w="90" w:type="dxa"/>
              <w:bottom w:w="70" w:type="dxa"/>
              <w:right w:w="90" w:type="dxa"/>
            </w:tcMar>
          </w:tcPr>
          <w:p w14:paraId="0637B3EC">
            <w:pPr>
              <w:pStyle w:val="style0"/>
              <w:rPr/>
            </w:pPr>
            <w:r>
              <w:rPr>
                <w:sz w:val="18"/>
                <w:szCs w:val="18"/>
              </w:rPr>
              <w:t>bcrypt</w:t>
            </w:r>
          </w:p>
        </w:tc>
      </w:tr>
      <w:tr w14:paraId="8EE27C12">
        <w:tblPrEx/>
        <w:trPr/>
        <w:tc>
          <w:tcPr>
            <w:tcW w:w="3000" w:type="dxa"/>
            <w:tcBorders/>
            <w:shd w:val="clear" w:color="auto" w:fill="f0eee8"/>
            <w:tcMar>
              <w:top w:w="70" w:type="dxa"/>
              <w:left w:w="90" w:type="dxa"/>
              <w:bottom w:w="70" w:type="dxa"/>
              <w:right w:w="90" w:type="dxa"/>
            </w:tcMar>
          </w:tcPr>
          <w:p w14:paraId="8B96721E">
            <w:pPr>
              <w:pStyle w:val="style0"/>
              <w:rPr/>
            </w:pPr>
            <w:r>
              <w:rPr>
                <w:sz w:val="18"/>
                <w:szCs w:val="18"/>
              </w:rPr>
              <w:t>Génération de documents</w:t>
            </w:r>
          </w:p>
        </w:tc>
        <w:tc>
          <w:tcPr>
            <w:tcW w:w="6000" w:type="dxa"/>
            <w:tcBorders/>
            <w:shd w:val="clear" w:color="auto" w:fill="f0eee8"/>
            <w:tcMar>
              <w:top w:w="70" w:type="dxa"/>
              <w:left w:w="90" w:type="dxa"/>
              <w:bottom w:w="70" w:type="dxa"/>
              <w:right w:w="90" w:type="dxa"/>
            </w:tcMar>
          </w:tcPr>
          <w:p w14:paraId="0B652907">
            <w:pPr>
              <w:pStyle w:val="style0"/>
              <w:rPr/>
            </w:pPr>
            <w:r>
              <w:rPr>
                <w:sz w:val="18"/>
                <w:szCs w:val="18"/>
              </w:rPr>
              <w:t>reportlab (reçus PDF avec code-barres), openpyxl (export Excel)</w:t>
            </w:r>
          </w:p>
        </w:tc>
      </w:tr>
      <w:tr w14:paraId="5E5DFABA">
        <w:tblPrEx/>
        <w:trPr/>
        <w:tc>
          <w:tcPr>
            <w:tcW w:w="3000" w:type="dxa"/>
            <w:tcBorders/>
            <w:shd w:val="clear" w:color="auto" w:fill="ffffff"/>
            <w:tcMar>
              <w:top w:w="70" w:type="dxa"/>
              <w:left w:w="90" w:type="dxa"/>
              <w:bottom w:w="70" w:type="dxa"/>
              <w:right w:w="90" w:type="dxa"/>
            </w:tcMar>
          </w:tcPr>
          <w:p w14:paraId="A8C63431">
            <w:pPr>
              <w:pStyle w:val="style0"/>
              <w:rPr/>
            </w:pPr>
            <w:r>
              <w:rPr>
                <w:sz w:val="18"/>
                <w:szCs w:val="18"/>
              </w:rPr>
              <w:t>Supervision mobile (optionnelle)</w:t>
            </w:r>
          </w:p>
        </w:tc>
        <w:tc>
          <w:tcPr>
            <w:tcW w:w="6000" w:type="dxa"/>
            <w:tcBorders/>
            <w:shd w:val="clear" w:color="auto" w:fill="ffffff"/>
            <w:tcMar>
              <w:top w:w="70" w:type="dxa"/>
              <w:left w:w="90" w:type="dxa"/>
              <w:bottom w:w="70" w:type="dxa"/>
              <w:right w:w="90" w:type="dxa"/>
            </w:tcMar>
          </w:tcPr>
          <w:p w14:paraId="E56C9B0D">
            <w:pPr>
              <w:pStyle w:val="style0"/>
              <w:rPr/>
            </w:pPr>
            <w:r>
              <w:rPr>
                <w:sz w:val="18"/>
                <w:szCs w:val="18"/>
              </w:rPr>
              <w:t>API web (FastAPI), consultable depuis un navigateur</w:t>
            </w:r>
          </w:p>
        </w:tc>
      </w:tr>
      <w:tr w14:paraId="5B83BB39">
        <w:tblPrEx/>
        <w:trPr/>
        <w:tc>
          <w:tcPr>
            <w:tcW w:w="3000" w:type="dxa"/>
            <w:tcBorders/>
            <w:shd w:val="clear" w:color="auto" w:fill="f0eee8"/>
            <w:tcMar>
              <w:top w:w="70" w:type="dxa"/>
              <w:left w:w="90" w:type="dxa"/>
              <w:bottom w:w="70" w:type="dxa"/>
              <w:right w:w="90" w:type="dxa"/>
            </w:tcMar>
          </w:tcPr>
          <w:p w14:paraId="6D71D7C3">
            <w:pPr>
              <w:pStyle w:val="style0"/>
              <w:rPr/>
            </w:pPr>
            <w:r>
              <w:rPr>
                <w:sz w:val="18"/>
                <w:szCs w:val="18"/>
              </w:rPr>
              <w:t>Distribution aux postes</w:t>
            </w:r>
          </w:p>
        </w:tc>
        <w:tc>
          <w:tcPr>
            <w:tcW w:w="6000" w:type="dxa"/>
            <w:tcBorders/>
            <w:shd w:val="clear" w:color="auto" w:fill="f0eee8"/>
            <w:tcMar>
              <w:top w:w="70" w:type="dxa"/>
              <w:left w:w="90" w:type="dxa"/>
              <w:bottom w:w="70" w:type="dxa"/>
              <w:right w:w="90" w:type="dxa"/>
            </w:tcMar>
          </w:tcPr>
          <w:p w14:paraId="D65576E7">
            <w:pPr>
              <w:pStyle w:val="style0"/>
              <w:rPr/>
            </w:pPr>
            <w:r>
              <w:rPr>
                <w:sz w:val="18"/>
                <w:szCs w:val="18"/>
              </w:rPr>
              <w:t>Exécutables Windows autonomes (PyInstaller) — aucune installation de Python requise sur les postes utilisateurs</w:t>
            </w:r>
          </w:p>
        </w:tc>
      </w:tr>
      <w:tr w14:paraId="32CE381C">
        <w:tblPrEx/>
        <w:trPr/>
        <w:tc>
          <w:tcPr>
            <w:tcW w:w="3000" w:type="dxa"/>
            <w:tcBorders/>
            <w:shd w:val="clear" w:color="auto" w:fill="ffffff"/>
            <w:tcMar>
              <w:top w:w="70" w:type="dxa"/>
              <w:left w:w="90" w:type="dxa"/>
              <w:bottom w:w="70" w:type="dxa"/>
              <w:right w:w="90" w:type="dxa"/>
            </w:tcMar>
          </w:tcPr>
          <w:p w14:paraId="F1FFBB2A">
            <w:pPr>
              <w:pStyle w:val="style0"/>
              <w:rPr/>
            </w:pPr>
            <w:r>
              <w:rPr>
                <w:sz w:val="18"/>
                <w:szCs w:val="18"/>
              </w:rPr>
              <w:t>Réseau</w:t>
            </w:r>
          </w:p>
        </w:tc>
        <w:tc>
          <w:tcPr>
            <w:tcW w:w="6000" w:type="dxa"/>
            <w:tcBorders/>
            <w:shd w:val="clear" w:color="auto" w:fill="ffffff"/>
            <w:tcMar>
              <w:top w:w="70" w:type="dxa"/>
              <w:left w:w="90" w:type="dxa"/>
              <w:bottom w:w="70" w:type="dxa"/>
              <w:right w:w="90" w:type="dxa"/>
            </w:tcMar>
          </w:tcPr>
          <w:p w14:paraId="BF7CA204">
            <w:pPr>
              <w:pStyle w:val="style0"/>
              <w:rPr/>
            </w:pPr>
            <w:r>
              <w:rPr>
                <w:sz w:val="18"/>
                <w:szCs w:val="18"/>
              </w:rPr>
              <w:t>Réseau local (Wi-Fi/câblé) entre les postes ; aucune dépendance à Internet pour l'usage quotidien</w:t>
            </w:r>
          </w:p>
        </w:tc>
      </w:tr>
    </w:tbl>
    <w:p w14:paraId="43AB2E4C">
      <w:pPr>
        <w:pStyle w:val="style0"/>
        <w:spacing w:after="200"/>
        <w:rPr/>
      </w:pPr>
    </w:p>
    <w:p w14:paraId="2BD9B400">
      <w:pPr>
        <w:pStyle w:val="style4106"/>
        <w:spacing w:before="340" w:after="150"/>
        <w:rPr/>
      </w:pPr>
      <w:r>
        <w:t>6. Architecture de déploiement</w:t>
      </w:r>
    </w:p>
    <w:p w14:paraId="930EA1F3">
      <w:pPr>
        <w:pStyle w:val="style0"/>
        <w:spacing w:after="140"/>
        <w:rPr/>
      </w:pPr>
      <w:r>
        <w:t>Un poste (généralement celui du responsable ou le poste fixe le plus stable) joue le rôle de serveur : il héberge PostgreSQL et conserve l'ensemble des données. Les autres postes se connectent à ce serveur via le réseau local. Chaque poste, y compris le serveur, exécute la même application, l'affichage s'adaptant automatiquement au rôle de la personne connectée.</w:t>
      </w:r>
    </w:p>
    <w:p w14:paraId="3B61DCBD">
      <w:pPr>
        <w:pStyle w:val="style179"/>
        <w:numPr>
          <w:ilvl w:val="0"/>
          <w:numId w:val="1"/>
        </w:numPr>
        <w:spacing w:after="70"/>
        <w:rPr/>
      </w:pPr>
      <w:r>
        <w:t>Jusqu'à 5 postes en usage courant : 1 responsable + 2 agents stock + 2 agents comptabilité (un par site pour chaque rôle agent).</w:t>
      </w:r>
    </w:p>
    <w:p w14:paraId="686ED336">
      <w:pPr>
        <w:pStyle w:val="style179"/>
        <w:numPr>
          <w:ilvl w:val="0"/>
          <w:numId w:val="1"/>
        </w:numPr>
        <w:spacing w:after="70"/>
        <w:rPr/>
      </w:pPr>
      <w:r>
        <w:t>Le poste serveur doit avoir une adresse IP locale fixe, un pare-feu configuré pour autoriser les connexions entrantes sur le port PostgreSQL, et rester allumé pendant les heures d'ouverture.</w:t>
      </w:r>
    </w:p>
    <w:p w14:paraId="0B50E822">
      <w:pPr>
        <w:pStyle w:val="style4106"/>
        <w:spacing w:before="340" w:after="150"/>
        <w:rPr/>
      </w:pPr>
      <w:r>
        <w:t>7. Livrables</w:t>
      </w:r>
    </w:p>
    <w:p w14:paraId="E417063C">
      <w:pPr>
        <w:pStyle w:val="style179"/>
        <w:numPr>
          <w:ilvl w:val="0"/>
          <w:numId w:val="1"/>
        </w:numPr>
        <w:spacing w:after="70"/>
        <w:rPr/>
      </w:pPr>
      <w:r>
        <w:t>Code source de l'application (dépôt Git).</w:t>
      </w:r>
    </w:p>
    <w:p w14:paraId="212093D7">
      <w:pPr>
        <w:pStyle w:val="style179"/>
        <w:numPr>
          <w:ilvl w:val="0"/>
          <w:numId w:val="1"/>
        </w:numPr>
        <w:spacing w:after="70"/>
        <w:rPr/>
      </w:pPr>
      <w:r>
        <w:t>Script de création de la base de données (installation initiale).</w:t>
      </w:r>
    </w:p>
    <w:p w14:paraId="94152676">
      <w:pPr>
        <w:pStyle w:val="style179"/>
        <w:numPr>
          <w:ilvl w:val="0"/>
          <w:numId w:val="1"/>
        </w:numPr>
        <w:spacing w:after="70"/>
        <w:rPr/>
      </w:pPr>
      <w:r>
        <w:t>Scripts de fabrication des exécutables Windows (application + création du premier compte).</w:t>
      </w:r>
    </w:p>
    <w:p w14:paraId="8A833E35">
      <w:pPr>
        <w:pStyle w:val="style179"/>
        <w:numPr>
          <w:ilvl w:val="0"/>
          <w:numId w:val="1"/>
        </w:numPr>
        <w:spacing w:after="70"/>
        <w:rPr/>
      </w:pPr>
      <w:r>
        <w:t>Scripts et guide de sauvegarde/restauration automatique de la base de données.</w:t>
      </w:r>
    </w:p>
    <w:p w14:paraId="ACD4A4EA">
      <w:pPr>
        <w:pStyle w:val="style179"/>
        <w:numPr>
          <w:ilvl w:val="0"/>
          <w:numId w:val="1"/>
        </w:numPr>
        <w:spacing w:after="70"/>
        <w:rPr/>
      </w:pPr>
      <w:r>
        <w:t>Guides d'installation et de test, rédigés pour un public non technique.</w:t>
      </w:r>
    </w:p>
    <w:p w14:paraId="5BC1F72A">
      <w:pPr>
        <w:pStyle w:val="style4106"/>
        <w:spacing w:before="340" w:after="150"/>
        <w:rPr/>
      </w:pPr>
      <w:r>
        <w:t>8. Évolutions possibles (hors périmètre actuel)</w:t>
      </w:r>
    </w:p>
    <w:p w14:paraId="B32AAC4C">
      <w:pPr>
        <w:pStyle w:val="style179"/>
        <w:numPr>
          <w:ilvl w:val="0"/>
          <w:numId w:val="1"/>
        </w:numPr>
        <w:spacing w:after="70"/>
        <w:rPr/>
      </w:pPr>
      <w:r>
        <w:t>Ouverture à un troisième site ou une deuxième boutique, nécessitant de revoir l'architecture réseau (actuellement pensée pour un seul lieu physique).</w:t>
      </w:r>
    </w:p>
    <w:p w14:paraId="1058971C">
      <w:pPr>
        <w:pStyle w:val="style179"/>
        <w:numPr>
          <w:ilvl w:val="0"/>
          <w:numId w:val="1"/>
        </w:numPr>
        <w:spacing w:after="70"/>
        <w:rPr/>
      </w:pPr>
      <w:r>
        <w:t>Historique et statistiques de prix plus poussés (évolution du prix négocié moyen dans le temps, par exemple).</w:t>
      </w:r>
    </w:p>
    <w:p w14:paraId="00B9E618">
      <w:pPr>
        <w:pStyle w:val="style179"/>
        <w:numPr>
          <w:ilvl w:val="0"/>
          <w:numId w:val="1"/>
        </w:numPr>
        <w:spacing w:after="70"/>
        <w:rPr/>
      </w:pPr>
      <w:r>
        <w:t>Application mobile native pour la supervision, en complément de l'accès web actuel.</w:t>
      </w:r>
    </w:p>
    <w:p w14:paraId="09941098">
      <w:pPr>
        <w:pStyle w:val="style0"/>
        <w:rPr/>
      </w:pPr>
      <w:r>
        <w:br w:type="page"/>
      </w:r>
    </w:p>
    <w:p w14:paraId="A0D02536">
      <w:pPr>
        <w:pStyle w:val="style4106"/>
        <w:spacing w:before="340" w:after="150"/>
        <w:rPr/>
      </w:pPr>
      <w:r>
        <w:t>Annexe — Validation</w:t>
      </w:r>
    </w:p>
    <w:p w14:paraId="BEF923D1">
      <w:pPr>
        <w:pStyle w:val="style0"/>
        <w:spacing w:after="140"/>
        <w:rPr/>
      </w:pPr>
      <w:r>
        <w:t>Ce document décrit les besoins fonctionnels et techniques tels que couverts par l'application à ce jour. Toute évolution du périmètre (nouvelle fonctionnalité, nouveau rôle, nouveau site) fera l'objet d'un complément à ce cahier des charges.</w:t>
      </w:r>
    </w:p>
    <w:p w14:paraId="CD5F58EA">
      <w:pPr>
        <w:pStyle w:val="style0"/>
        <w:spacing w:after="300"/>
        <w:rPr/>
      </w:pPr>
    </w:p>
    <w:p w14:paraId="3E640581">
      <w:pPr>
        <w:pStyle w:val="style0"/>
        <w:spacing w:after="140"/>
        <w:rPr/>
      </w:pPr>
      <w:r>
        <w:rPr>
          <w:b/>
          <w:bCs/>
        </w:rPr>
        <w:t xml:space="preserve">Rédigé pour : </w:t>
      </w:r>
      <w:r>
        <w:t>Ets Quincaillerie Franck, Batouri</w:t>
      </w:r>
    </w:p>
    <w:p w14:paraId="9BF3E780">
      <w:pPr>
        <w:pStyle w:val="style0"/>
        <w:spacing w:after="140"/>
        <w:rPr/>
      </w:pPr>
      <w:r>
        <w:rPr>
          <w:b/>
          <w:bCs/>
        </w:rPr>
        <w:t xml:space="preserve">Date : </w:t>
      </w:r>
      <w:r>
        <w:t>_______________________</w:t>
      </w:r>
    </w:p>
    <w:p w14:paraId="657B0301">
      <w:pPr>
        <w:pStyle w:val="style0"/>
        <w:spacing w:after="140"/>
        <w:rPr/>
      </w:pPr>
      <w:r>
        <w:rPr>
          <w:b/>
          <w:bCs/>
        </w:rPr>
        <w:t xml:space="preserve">Validé par : </w:t>
      </w:r>
      <w:r>
        <w:t>_______________________</w:t>
      </w:r>
    </w:p>
    <w:sectPr>
      <w:pgSz w:w="11906" w:h="16838" w:orient="portrait"/>
      <w:pgMar w:top="1000" w:right="1100" w:bottom="1000" w:left="110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decimal"/>
      <w:lvlText w:val="%1."/>
      <w:lvlJc w:val="left"/>
      <w:pPr>
        <w:ind w:left="420" w:hanging="2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1"/>
        <w:szCs w:val="21"/>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pBdr>
        <w:bottom w:val="single" w:sz="8" w:space="0" w:color="c1791a"/>
      </w:pBdr>
      <w:spacing w:before="340" w:after="150"/>
    </w:pPr>
    <w:rPr>
      <w:b/>
      <w:bCs/>
      <w:color w:val="152c4d"/>
      <w:sz w:val="28"/>
      <w:szCs w:val="28"/>
    </w:rPr>
  </w:style>
  <w:style w:type="paragraph" w:customStyle="1" w:styleId="style4107">
    <w:name w:val="Heading 2"/>
    <w:next w:val="style4107"/>
    <w:qFormat/>
    <w:pPr>
      <w:spacing w:before="240" w:after="110"/>
    </w:pPr>
    <w:rPr>
      <w:b/>
      <w:bCs/>
      <w:color w:val="152c4d"/>
      <w:sz w:val="24"/>
      <w:szCs w:val="24"/>
    </w:rPr>
  </w:style>
  <w:style w:type="paragraph" w:customStyle="1" w:styleId="style4108">
    <w:name w:val="Heading 3"/>
    <w:next w:val="style4108"/>
    <w:qFormat/>
    <w:pPr>
      <w:spacing w:before="190" w:after="90"/>
    </w:pPr>
    <w:rPr>
      <w:b/>
      <w:bCs/>
      <w:color w:val="9c3d1f"/>
      <w:sz w:val="21"/>
      <w:szCs w:val="21"/>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84eede35-9212-451a-b54e-91139325cba9"/>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1723</Words>
  <Characters>9809</Characters>
  <Application>WPS Office</Application>
  <Paragraphs>155</Paragraphs>
  <CharactersWithSpaces>11395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2026-09-08T13:40:24Z</dcterms:created>
  <dc:creator>Un-named</dc:creator>
  <lastModifiedBy>TECNO KL5</lastModifiedBy>
  <dcterms:modified xsi:type="dcterms:W3CDTF">2026-09-08T13:40:24Z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920d75cfacd0438d9c70319503ca7fed_23</vt:lpwstr>
  </property>
</Properties>
</file>