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6292" w14:textId="77777777" w:rsidR="00EB0A3A" w:rsidRPr="00FD29E7" w:rsidRDefault="00EB0A3A" w:rsidP="00EB0A3A">
      <w:pPr>
        <w:pStyle w:val="Heading1"/>
      </w:pPr>
      <w:bookmarkStart w:id="0" w:name="_Toc42853181"/>
      <w:bookmarkStart w:id="1" w:name="_Toc42853351"/>
      <w:bookmarkStart w:id="2" w:name="_Toc43900133"/>
      <w:bookmarkStart w:id="3" w:name="_Toc97989773"/>
      <w:r w:rsidRPr="00FD29E7">
        <w:t>Purpose and Perspective of the Chapter</w:t>
      </w:r>
      <w:bookmarkEnd w:id="0"/>
      <w:bookmarkEnd w:id="1"/>
      <w:bookmarkEnd w:id="2"/>
      <w:bookmarkEnd w:id="3"/>
    </w:p>
    <w:p w14:paraId="354B26F8" w14:textId="1C78321D" w:rsidR="00F46A4E" w:rsidRDefault="00EB0A3A" w:rsidP="00EB0A3A">
      <w:pPr>
        <w:rPr>
          <w:rFonts w:eastAsiaTheme="minorEastAsia"/>
        </w:rPr>
      </w:pPr>
      <w:r w:rsidRPr="516CF7ED">
        <w:rPr>
          <w:rFonts w:eastAsiaTheme="minorEastAsia"/>
        </w:rPr>
        <w:t xml:space="preserve">The purpose of this chapter is </w:t>
      </w:r>
      <w:r>
        <w:rPr>
          <w:rFonts w:eastAsiaTheme="minorEastAsia"/>
        </w:rPr>
        <w:t xml:space="preserve">to </w:t>
      </w:r>
      <w:r w:rsidRPr="003A4092">
        <w:rPr>
          <w:rFonts w:eastAsiaTheme="minorEastAsia"/>
        </w:rPr>
        <w:t xml:space="preserve">explore </w:t>
      </w:r>
      <w:r>
        <w:rPr>
          <w:rFonts w:eastAsiaTheme="minorEastAsia"/>
        </w:rPr>
        <w:t>how certain</w:t>
      </w:r>
      <w:r w:rsidRPr="003A4092">
        <w:rPr>
          <w:rFonts w:eastAsiaTheme="minorEastAsia"/>
        </w:rPr>
        <w:t xml:space="preserve"> resources and capabilities specific to a winning firm </w:t>
      </w:r>
      <w:r>
        <w:rPr>
          <w:rFonts w:eastAsiaTheme="minorEastAsia"/>
        </w:rPr>
        <w:t xml:space="preserve">can lead to success over its competitors. </w:t>
      </w:r>
      <w:r w:rsidRPr="00ED70CE">
        <w:rPr>
          <w:rFonts w:eastAsiaTheme="minorEastAsia"/>
        </w:rPr>
        <w:t>In this chapter, we first define resources and capabilities and then discuss the value</w:t>
      </w:r>
      <w:r>
        <w:rPr>
          <w:rFonts w:eastAsiaTheme="minorEastAsia"/>
        </w:rPr>
        <w:t xml:space="preserve"> </w:t>
      </w:r>
      <w:r w:rsidRPr="00ED70CE">
        <w:rPr>
          <w:rFonts w:eastAsiaTheme="minorEastAsia"/>
        </w:rPr>
        <w:t>chain analysis, concentrating on the decision to keep an activity in-house or outsource</w:t>
      </w:r>
      <w:r>
        <w:rPr>
          <w:rFonts w:eastAsiaTheme="minorEastAsia"/>
        </w:rPr>
        <w:t xml:space="preserve"> </w:t>
      </w:r>
      <w:r w:rsidRPr="00ED70CE">
        <w:rPr>
          <w:rFonts w:eastAsiaTheme="minorEastAsia"/>
        </w:rPr>
        <w:t>it. We then focus on the VRIO framework: value (V), rarity (R), imitability (I), and organization</w:t>
      </w:r>
      <w:r>
        <w:rPr>
          <w:rFonts w:eastAsiaTheme="minorEastAsia"/>
        </w:rPr>
        <w:t xml:space="preserve"> </w:t>
      </w:r>
      <w:r w:rsidRPr="00ED70CE">
        <w:rPr>
          <w:rFonts w:eastAsiaTheme="minorEastAsia"/>
        </w:rPr>
        <w:t xml:space="preserve">(O). Debates and extensions </w:t>
      </w:r>
      <w:proofErr w:type="gramStart"/>
      <w:r w:rsidRPr="00ED70CE">
        <w:rPr>
          <w:rFonts w:eastAsiaTheme="minorEastAsia"/>
        </w:rPr>
        <w:t>follow</w:t>
      </w:r>
      <w:proofErr w:type="gramEnd"/>
    </w:p>
    <w:p w14:paraId="1298C8E8" w14:textId="77777777" w:rsidR="00EB0A3A" w:rsidRDefault="00EB0A3A" w:rsidP="00EB0A3A">
      <w:pPr>
        <w:rPr>
          <w:rFonts w:eastAsiaTheme="minorEastAsia"/>
        </w:rPr>
      </w:pPr>
    </w:p>
    <w:p w14:paraId="0D686BA6" w14:textId="77777777" w:rsidR="00EB0A3A" w:rsidRPr="00C81126" w:rsidRDefault="00EB0A3A" w:rsidP="00EB0A3A">
      <w:pPr>
        <w:pStyle w:val="ListParagraph"/>
        <w:numPr>
          <w:ilvl w:val="0"/>
          <w:numId w:val="1"/>
        </w:numPr>
        <w:contextualSpacing w:val="0"/>
      </w:pPr>
      <w:r w:rsidRPr="00C81126">
        <w:t>UNDERSTANDING RESOURCES AND CAPABILITIES (4-1, PPT Slides 3–7)</w:t>
      </w:r>
    </w:p>
    <w:p w14:paraId="79F66A76" w14:textId="77777777" w:rsidR="00EB0A3A" w:rsidRPr="001A7546" w:rsidRDefault="00EB0A3A" w:rsidP="00EB0A3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7D5F22AE" w14:textId="77777777" w:rsidR="00EB0A3A" w:rsidRPr="001A7546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6607BA">
        <w:t>Resources and capabilities are the tangible and intangible assets a firm uses to choose and implement its strategies</w:t>
      </w:r>
      <w:r>
        <w:t>.</w:t>
      </w:r>
    </w:p>
    <w:p w14:paraId="45C26A1E" w14:textId="77777777" w:rsidR="00EB0A3A" w:rsidRPr="004174BF" w:rsidRDefault="00EB0A3A" w:rsidP="00EB0A3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t>Key Terms</w:t>
      </w:r>
    </w:p>
    <w:p w14:paraId="4E6DD2F2" w14:textId="77777777" w:rsidR="00EB0A3A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A75C6">
        <w:rPr>
          <w:b/>
          <w:bCs/>
        </w:rPr>
        <w:t>SWOT analysis</w:t>
      </w:r>
      <w:r w:rsidRPr="003A75C6">
        <w:t>: A tool for determining a firm’s strengths (S), weaknesses (W), opportunities (O), and threats (T)</w:t>
      </w:r>
    </w:p>
    <w:p w14:paraId="664263C8" w14:textId="77777777" w:rsidR="00EB0A3A" w:rsidRPr="003A75C6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A75C6">
        <w:rPr>
          <w:b/>
          <w:bCs/>
        </w:rPr>
        <w:t>Resource</w:t>
      </w:r>
      <w:r w:rsidRPr="003A75C6">
        <w:t>: The tangible and intangible assets a firm uses to choose and implement its strategies</w:t>
      </w:r>
    </w:p>
    <w:p w14:paraId="1BFACFA4" w14:textId="77777777" w:rsidR="00EB0A3A" w:rsidRPr="003A75C6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A75C6">
        <w:rPr>
          <w:b/>
          <w:bCs/>
        </w:rPr>
        <w:t>Capability</w:t>
      </w:r>
      <w:r w:rsidRPr="003A75C6">
        <w:t>: The tangible and intangible assets a firm uses to choose and implement its strategies</w:t>
      </w:r>
    </w:p>
    <w:p w14:paraId="7FFC9433" w14:textId="77777777" w:rsidR="00EB0A3A" w:rsidRPr="003A75C6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A75C6">
        <w:rPr>
          <w:b/>
          <w:bCs/>
        </w:rPr>
        <w:t>Tangible resource and capability</w:t>
      </w:r>
      <w:r w:rsidRPr="003A75C6">
        <w:t xml:space="preserve">: Assets that are observable and easily </w:t>
      </w:r>
      <w:proofErr w:type="gramStart"/>
      <w:r w:rsidRPr="003A75C6">
        <w:t>quantified</w:t>
      </w:r>
      <w:proofErr w:type="gramEnd"/>
    </w:p>
    <w:p w14:paraId="17CE6FA0" w14:textId="77777777" w:rsidR="00EB0A3A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A75C6">
        <w:rPr>
          <w:b/>
          <w:bCs/>
        </w:rPr>
        <w:t>Intangible resource and capability</w:t>
      </w:r>
      <w:r w:rsidRPr="003A75C6">
        <w:t xml:space="preserve">: Assets that are hard to observe and difficult (if not impossible) to </w:t>
      </w:r>
      <w:proofErr w:type="gramStart"/>
      <w:r w:rsidRPr="003A75C6">
        <w:t>quantify</w:t>
      </w:r>
      <w:proofErr w:type="gramEnd"/>
    </w:p>
    <w:p w14:paraId="659D13C8" w14:textId="77777777" w:rsidR="00EB0A3A" w:rsidRPr="003A75C6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A75C6">
        <w:rPr>
          <w:b/>
          <w:bCs/>
        </w:rPr>
        <w:t>Sensing</w:t>
      </w:r>
      <w:r w:rsidRPr="003A75C6">
        <w:t>: Abilities to discover opportunities</w:t>
      </w:r>
    </w:p>
    <w:p w14:paraId="560CC482" w14:textId="77777777" w:rsidR="00EB0A3A" w:rsidRPr="003A75C6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A75C6">
        <w:rPr>
          <w:b/>
          <w:bCs/>
        </w:rPr>
        <w:t>Seizing</w:t>
      </w:r>
      <w:r w:rsidRPr="003A75C6">
        <w:t>: Abilities to capture value from opportunities</w:t>
      </w:r>
    </w:p>
    <w:p w14:paraId="42DB9BCC" w14:textId="77777777" w:rsidR="00EB0A3A" w:rsidRPr="004174BF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A75C6">
        <w:rPr>
          <w:b/>
          <w:bCs/>
        </w:rPr>
        <w:t>Reconfiguration</w:t>
      </w:r>
      <w:r w:rsidRPr="003A75C6">
        <w:t>: Abilities to remain flexible by redesigning business models, realigning assets, and revamping routines</w:t>
      </w:r>
    </w:p>
    <w:p w14:paraId="063C605C" w14:textId="77777777" w:rsidR="00EB0A3A" w:rsidRPr="00C81126" w:rsidRDefault="00EB0A3A" w:rsidP="00EB0A3A">
      <w:pPr>
        <w:pStyle w:val="ListParagraph"/>
        <w:numPr>
          <w:ilvl w:val="0"/>
          <w:numId w:val="1"/>
        </w:numPr>
        <w:contextualSpacing w:val="0"/>
      </w:pPr>
      <w:r w:rsidRPr="00C81126">
        <w:t>VALUE CHAIN AND OUTSOURCING (4-2, PPT Slides 8–12)</w:t>
      </w:r>
    </w:p>
    <w:p w14:paraId="5549599A" w14:textId="77777777" w:rsidR="00EB0A3A" w:rsidRPr="001A7546" w:rsidRDefault="00EB0A3A" w:rsidP="00EB0A3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79FF3AEA" w14:textId="77777777" w:rsidR="00EB0A3A" w:rsidRPr="00C81126" w:rsidRDefault="00EB0A3A" w:rsidP="00EB0A3A">
      <w:pPr>
        <w:pStyle w:val="ListParagraph"/>
        <w:numPr>
          <w:ilvl w:val="2"/>
          <w:numId w:val="2"/>
        </w:numPr>
        <w:ind w:left="2174" w:hanging="187"/>
      </w:pPr>
      <w:r w:rsidRPr="00C81126">
        <w:t>A value chain consists of a stream of activities from upstream to downstream that add value. A SWOT analysis engages managers to ascertain a firm’s strengths and weaknesses on an activity-by-activity basis relative to rivals.</w:t>
      </w:r>
    </w:p>
    <w:p w14:paraId="4F841845" w14:textId="77777777" w:rsidR="00EB0A3A" w:rsidRPr="00C81126" w:rsidRDefault="00EB0A3A" w:rsidP="00EB0A3A">
      <w:pPr>
        <w:pStyle w:val="ListParagraph"/>
        <w:numPr>
          <w:ilvl w:val="2"/>
          <w:numId w:val="2"/>
        </w:numPr>
        <w:ind w:left="2174" w:hanging="187"/>
      </w:pPr>
      <w:r w:rsidRPr="00C81126">
        <w:lastRenderedPageBreak/>
        <w:t>Outsourcing is turning over all or part of an organization’s activity to an outside supplier. An activity with a high degree of industry commonality and a high degree of commoditization can be outsourced, and an industry-specific and firm specific (proprietary) activity is better performed in-house.</w:t>
      </w:r>
    </w:p>
    <w:p w14:paraId="19A3F340" w14:textId="77777777" w:rsidR="00EB0A3A" w:rsidRPr="001A7546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C81126">
        <w:t>On any given activity, the four choices for managers in terms of modes and locations are (1) offshoring, (2) onshoring, (3) captive sourcing/FDI, and (4) domestic in-house activity</w:t>
      </w:r>
      <w:r>
        <w:t>.</w:t>
      </w:r>
    </w:p>
    <w:p w14:paraId="41B78C1B" w14:textId="77777777" w:rsidR="00EB0A3A" w:rsidRPr="004174BF" w:rsidRDefault="00EB0A3A" w:rsidP="00EB0A3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t>Key Terms</w:t>
      </w:r>
    </w:p>
    <w:p w14:paraId="3986C7F1" w14:textId="77777777" w:rsidR="00EB0A3A" w:rsidRPr="00644C48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644C48">
        <w:rPr>
          <w:b/>
          <w:bCs/>
        </w:rPr>
        <w:t>Value chain</w:t>
      </w:r>
      <w:r w:rsidRPr="00644C48">
        <w:t xml:space="preserve">: A stream of activities from upstream to downstream that add </w:t>
      </w:r>
      <w:proofErr w:type="gramStart"/>
      <w:r w:rsidRPr="00644C48">
        <w:t>value</w:t>
      </w:r>
      <w:proofErr w:type="gramEnd"/>
    </w:p>
    <w:p w14:paraId="02B1441E" w14:textId="77777777" w:rsidR="00EB0A3A" w:rsidRPr="00644C48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644C48">
        <w:rPr>
          <w:b/>
          <w:bCs/>
        </w:rPr>
        <w:t>Benchmarking</w:t>
      </w:r>
      <w:r w:rsidRPr="00644C48">
        <w:t>: Examining whether a firm has resources and capabilities to perform a particular activity in a manner superior to competitors</w:t>
      </w:r>
    </w:p>
    <w:p w14:paraId="658EE506" w14:textId="77777777" w:rsidR="00EB0A3A" w:rsidRPr="00644C48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644C48">
        <w:rPr>
          <w:b/>
          <w:bCs/>
        </w:rPr>
        <w:t>Commoditization</w:t>
      </w:r>
      <w:r w:rsidRPr="00644C48">
        <w:t>: A process of market competition through which unique products that command high prices and high margins gradually lose their ability to do so, thus becoming commodities</w:t>
      </w:r>
    </w:p>
    <w:p w14:paraId="35F504E1" w14:textId="77777777" w:rsidR="00EB0A3A" w:rsidRPr="00644C48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644C48">
        <w:rPr>
          <w:b/>
          <w:bCs/>
        </w:rPr>
        <w:t>Offshoring</w:t>
      </w:r>
      <w:r w:rsidRPr="00644C48">
        <w:t>: Outsourcing to an international or foreign firm</w:t>
      </w:r>
    </w:p>
    <w:p w14:paraId="13C8F339" w14:textId="77777777" w:rsidR="00EB0A3A" w:rsidRPr="00644C48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644C48">
        <w:rPr>
          <w:b/>
          <w:bCs/>
        </w:rPr>
        <w:t>Onshoring</w:t>
      </w:r>
      <w:r w:rsidRPr="00644C48">
        <w:t>: Outsourcing to a domestic firm</w:t>
      </w:r>
    </w:p>
    <w:p w14:paraId="1F279020" w14:textId="77777777" w:rsidR="00EB0A3A" w:rsidRPr="00644C48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644C48">
        <w:rPr>
          <w:b/>
          <w:bCs/>
        </w:rPr>
        <w:t>Captive sourcing</w:t>
      </w:r>
      <w:r w:rsidRPr="00644C48">
        <w:t xml:space="preserve">: Setting up subsidiaries abroad so that the work done is </w:t>
      </w:r>
      <w:proofErr w:type="gramStart"/>
      <w:r w:rsidRPr="00644C48">
        <w:t>in-house</w:t>
      </w:r>
      <w:proofErr w:type="gramEnd"/>
      <w:r w:rsidRPr="00644C48">
        <w:t xml:space="preserve"> but the location is foreign; Also known as foreign direct investment (FDI)</w:t>
      </w:r>
    </w:p>
    <w:p w14:paraId="669C5867" w14:textId="77777777" w:rsidR="00EB0A3A" w:rsidRPr="00C81126" w:rsidRDefault="00EB0A3A" w:rsidP="00EB0A3A">
      <w:pPr>
        <w:pStyle w:val="ListParagraph"/>
        <w:numPr>
          <w:ilvl w:val="0"/>
          <w:numId w:val="2"/>
        </w:numPr>
        <w:contextualSpacing w:val="0"/>
      </w:pPr>
      <w:r w:rsidRPr="00C81126">
        <w:t>FROM SWOT TO VRIO (4-3, PPT Slides 13–21)</w:t>
      </w:r>
    </w:p>
    <w:p w14:paraId="16F85471" w14:textId="77777777" w:rsidR="00EB0A3A" w:rsidRPr="001A7546" w:rsidRDefault="00EB0A3A" w:rsidP="00EB0A3A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4FCC318A" w14:textId="77777777" w:rsidR="00EB0A3A" w:rsidRPr="001A7546" w:rsidRDefault="00EB0A3A" w:rsidP="00EB0A3A">
      <w:pPr>
        <w:pStyle w:val="ListParagraph"/>
        <w:numPr>
          <w:ilvl w:val="2"/>
          <w:numId w:val="2"/>
        </w:numPr>
        <w:contextualSpacing w:val="0"/>
      </w:pPr>
      <w:r w:rsidRPr="00AE39F9">
        <w:t>SWOT (Strengths, Weaknesses, Opportunities, and Threats) is a traditional analytical tool. A VRIO framework suggests that only resources and capabilities that are valuable, rare, inimitable, and organizationally embedded will generate sustainable competitive advantage</w:t>
      </w:r>
      <w:r>
        <w:t>.</w:t>
      </w:r>
    </w:p>
    <w:p w14:paraId="6E6BF1DB" w14:textId="77777777" w:rsidR="00EB0A3A" w:rsidRPr="004174BF" w:rsidRDefault="00EB0A3A" w:rsidP="00EB0A3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t>Key Terms</w:t>
      </w:r>
    </w:p>
    <w:p w14:paraId="3E2A4403" w14:textId="77777777" w:rsidR="00EB0A3A" w:rsidRPr="003758BF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758BF">
        <w:rPr>
          <w:b/>
          <w:bCs/>
        </w:rPr>
        <w:t>VRIO framework</w:t>
      </w:r>
      <w:r w:rsidRPr="003758BF">
        <w:t xml:space="preserve">: A resource-based framework that focuses on the value (V), rarity (R), imitability (I), and organizational (O) aspects of resources and </w:t>
      </w:r>
      <w:proofErr w:type="gramStart"/>
      <w:r w:rsidRPr="003758BF">
        <w:t>capabilities</w:t>
      </w:r>
      <w:proofErr w:type="gramEnd"/>
    </w:p>
    <w:p w14:paraId="767FFED4" w14:textId="77777777" w:rsidR="00EB0A3A" w:rsidRPr="003758BF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758BF">
        <w:rPr>
          <w:b/>
          <w:bCs/>
        </w:rPr>
        <w:t>Causal ambiguity</w:t>
      </w:r>
      <w:r w:rsidRPr="003758BF">
        <w:t xml:space="preserve">: The difficulty of identifying the actual cause of a firm’s successful </w:t>
      </w:r>
      <w:proofErr w:type="gramStart"/>
      <w:r w:rsidRPr="003758BF">
        <w:t>performance</w:t>
      </w:r>
      <w:proofErr w:type="gramEnd"/>
    </w:p>
    <w:p w14:paraId="275FFFC1" w14:textId="77777777" w:rsidR="00EB0A3A" w:rsidRPr="00477D45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477D45">
        <w:rPr>
          <w:b/>
          <w:bCs/>
        </w:rPr>
        <w:t>Complementary asset</w:t>
      </w:r>
      <w:r w:rsidRPr="00477D45">
        <w:t xml:space="preserve">: The combination of numerous resources and assets that enable a firm to gain a competitive </w:t>
      </w:r>
      <w:proofErr w:type="gramStart"/>
      <w:r w:rsidRPr="00477D45">
        <w:t>advantage</w:t>
      </w:r>
      <w:proofErr w:type="gramEnd"/>
    </w:p>
    <w:p w14:paraId="28E368F4" w14:textId="77777777" w:rsidR="00EB0A3A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477D45">
        <w:rPr>
          <w:b/>
          <w:bCs/>
        </w:rPr>
        <w:lastRenderedPageBreak/>
        <w:t>Social complexity</w:t>
      </w:r>
      <w:r w:rsidRPr="00477D45">
        <w:t xml:space="preserve">: The socially intricate and interdependent ways that firms are typically </w:t>
      </w:r>
      <w:proofErr w:type="gramStart"/>
      <w:r w:rsidRPr="00477D45">
        <w:t>organized</w:t>
      </w:r>
      <w:proofErr w:type="gramEnd"/>
    </w:p>
    <w:p w14:paraId="728929E5" w14:textId="77777777" w:rsidR="00EB0A3A" w:rsidRPr="00AE39F9" w:rsidRDefault="00EB0A3A" w:rsidP="00EB0A3A">
      <w:pPr>
        <w:pStyle w:val="ListParagraph"/>
        <w:numPr>
          <w:ilvl w:val="0"/>
          <w:numId w:val="1"/>
        </w:numPr>
        <w:contextualSpacing w:val="0"/>
      </w:pPr>
      <w:r w:rsidRPr="00AE39F9">
        <w:t>DEBATES AND EXTENSIONS (4-4, PPT Slides 22–27)</w:t>
      </w:r>
    </w:p>
    <w:p w14:paraId="1319374C" w14:textId="77777777" w:rsidR="00EB0A3A" w:rsidRPr="001A7546" w:rsidRDefault="00EB0A3A" w:rsidP="00EB0A3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496B10E3" w14:textId="77777777" w:rsidR="00EB0A3A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>
        <w:t>Three</w:t>
      </w:r>
      <w:r w:rsidRPr="00AF35E3">
        <w:t xml:space="preserve"> debates are discussed: </w:t>
      </w:r>
    </w:p>
    <w:p w14:paraId="2B73A9BC" w14:textId="77777777" w:rsidR="00EB0A3A" w:rsidRDefault="00EB0A3A" w:rsidP="00EB0A3A">
      <w:pPr>
        <w:pStyle w:val="ListParagraph"/>
        <w:numPr>
          <w:ilvl w:val="3"/>
          <w:numId w:val="2"/>
        </w:numPr>
        <w:contextualSpacing w:val="0"/>
      </w:pPr>
      <w:r w:rsidRPr="00AF35E3">
        <w:t xml:space="preserve">Are domestic capabilities the same as international (cross-border) capabilities? </w:t>
      </w:r>
    </w:p>
    <w:p w14:paraId="0F435FE6" w14:textId="77777777" w:rsidR="00EB0A3A" w:rsidRDefault="00EB0A3A" w:rsidP="00EB0A3A">
      <w:pPr>
        <w:pStyle w:val="ListParagraph"/>
        <w:numPr>
          <w:ilvl w:val="3"/>
          <w:numId w:val="2"/>
        </w:numPr>
        <w:contextualSpacing w:val="0"/>
      </w:pPr>
      <w:r w:rsidRPr="00AF35E3">
        <w:t>For Western firms and economies, is offshoring beneficial or detrimental in the long run</w:t>
      </w:r>
      <w:r>
        <w:t>?</w:t>
      </w:r>
    </w:p>
    <w:p w14:paraId="26C2C2CA" w14:textId="77777777" w:rsidR="00EB0A3A" w:rsidRPr="001A7546" w:rsidRDefault="00EB0A3A" w:rsidP="00EB0A3A">
      <w:pPr>
        <w:pStyle w:val="ListParagraph"/>
        <w:numPr>
          <w:ilvl w:val="3"/>
          <w:numId w:val="2"/>
        </w:numPr>
        <w:contextualSpacing w:val="0"/>
      </w:pPr>
      <w:r>
        <w:t>Has the emergence of 3D printing shifted the emphasis from economies of scale?</w:t>
      </w:r>
    </w:p>
    <w:p w14:paraId="18B776C2" w14:textId="77777777" w:rsidR="00EB0A3A" w:rsidRPr="004174BF" w:rsidRDefault="00EB0A3A" w:rsidP="00EB0A3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t>Key Terms</w:t>
      </w:r>
    </w:p>
    <w:p w14:paraId="5153ACDE" w14:textId="77777777" w:rsidR="00EB0A3A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37B71">
        <w:rPr>
          <w:b/>
          <w:bCs/>
        </w:rPr>
        <w:t>Reverse innovation</w:t>
      </w:r>
      <w:r w:rsidRPr="00237B71">
        <w:t xml:space="preserve">: An innovation that is first adopted in other countries and is then diffused to the home country and the rest of the </w:t>
      </w:r>
      <w:proofErr w:type="gramStart"/>
      <w:r w:rsidRPr="00237B71">
        <w:t>world</w:t>
      </w:r>
      <w:proofErr w:type="gramEnd"/>
    </w:p>
    <w:p w14:paraId="121BA9ED" w14:textId="77777777" w:rsidR="00EB0A3A" w:rsidRPr="00237B71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37B71">
        <w:rPr>
          <w:b/>
          <w:bCs/>
        </w:rPr>
        <w:t>Business process outsourcing (BPO)</w:t>
      </w:r>
      <w:r w:rsidRPr="00237B71">
        <w:t>: Outsourcing business processes to third-party providers</w:t>
      </w:r>
    </w:p>
    <w:p w14:paraId="44E92BC1" w14:textId="77777777" w:rsidR="00EB0A3A" w:rsidRPr="00237B71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37B71">
        <w:rPr>
          <w:b/>
          <w:bCs/>
        </w:rPr>
        <w:t>Original equipment manufacturer (OEM)</w:t>
      </w:r>
      <w:r w:rsidRPr="00237B71">
        <w:t xml:space="preserve">: Firm that executes design blueprints provided by other firms and manufactures such </w:t>
      </w:r>
      <w:proofErr w:type="gramStart"/>
      <w:r w:rsidRPr="00237B71">
        <w:t>products</w:t>
      </w:r>
      <w:proofErr w:type="gramEnd"/>
    </w:p>
    <w:p w14:paraId="40405AB0" w14:textId="77777777" w:rsidR="00EB0A3A" w:rsidRPr="00237B71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37B71">
        <w:rPr>
          <w:b/>
          <w:bCs/>
        </w:rPr>
        <w:t>Original design manufacturer (ODM)</w:t>
      </w:r>
      <w:r w:rsidRPr="00237B71">
        <w:t xml:space="preserve">: Firm that both designs and manufactures </w:t>
      </w:r>
      <w:proofErr w:type="gramStart"/>
      <w:r w:rsidRPr="00237B71">
        <w:t>products</w:t>
      </w:r>
      <w:proofErr w:type="gramEnd"/>
    </w:p>
    <w:p w14:paraId="7FE3E807" w14:textId="77777777" w:rsidR="00EB0A3A" w:rsidRPr="00237B71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37B71">
        <w:rPr>
          <w:b/>
          <w:bCs/>
        </w:rPr>
        <w:t>Original brand manufacturer (OBM)</w:t>
      </w:r>
      <w:r w:rsidRPr="00237B71">
        <w:t xml:space="preserve">: Firm that designs, manufactures, and markets branded </w:t>
      </w:r>
      <w:proofErr w:type="gramStart"/>
      <w:r w:rsidRPr="00237B71">
        <w:t>products</w:t>
      </w:r>
      <w:proofErr w:type="gramEnd"/>
    </w:p>
    <w:p w14:paraId="6549496E" w14:textId="77777777" w:rsidR="00EB0A3A" w:rsidRDefault="00EB0A3A" w:rsidP="00EB0A3A">
      <w:pPr>
        <w:pStyle w:val="ListParagraph"/>
        <w:numPr>
          <w:ilvl w:val="2"/>
          <w:numId w:val="2"/>
        </w:numPr>
        <w:contextualSpacing w:val="0"/>
      </w:pPr>
      <w:r w:rsidRPr="00237B71">
        <w:rPr>
          <w:b/>
          <w:bCs/>
        </w:rPr>
        <w:t>Reshoring</w:t>
      </w:r>
      <w:r w:rsidRPr="00237B71">
        <w:t>: Moving formerly offshored activities back to the home country of the focal firm</w:t>
      </w:r>
    </w:p>
    <w:p w14:paraId="4792E896" w14:textId="77777777" w:rsidR="00EB0A3A" w:rsidRPr="00D379DE" w:rsidRDefault="00EB0A3A" w:rsidP="00EB0A3A">
      <w:pPr>
        <w:pStyle w:val="ListParagraph"/>
        <w:numPr>
          <w:ilvl w:val="2"/>
          <w:numId w:val="2"/>
        </w:numPr>
        <w:contextualSpacing w:val="0"/>
      </w:pPr>
      <w:r w:rsidRPr="00D379DE">
        <w:rPr>
          <w:b/>
          <w:bCs/>
        </w:rPr>
        <w:t xml:space="preserve">Additive manufacturing </w:t>
      </w:r>
      <w:r w:rsidRPr="00D379DE">
        <w:t xml:space="preserve">(or </w:t>
      </w:r>
      <w:r w:rsidRPr="00D379DE">
        <w:rPr>
          <w:b/>
          <w:bCs/>
        </w:rPr>
        <w:t>3D printing</w:t>
      </w:r>
      <w:r w:rsidRPr="00D379DE">
        <w:t xml:space="preserve">): Manufacturing three-dimensional products from a digital model by using additive processes, where products are created by adding successive layers of material; This contrasts traditional manufacturing, which can be labeled “subtractive” processes centered on removing material by methods such as cutting and </w:t>
      </w:r>
      <w:proofErr w:type="gramStart"/>
      <w:r w:rsidRPr="00D379DE">
        <w:t>drilling</w:t>
      </w:r>
      <w:proofErr w:type="gramEnd"/>
    </w:p>
    <w:p w14:paraId="69F1A459" w14:textId="77777777" w:rsidR="00EB0A3A" w:rsidRDefault="00EB0A3A" w:rsidP="00EB0A3A">
      <w:pPr>
        <w:pStyle w:val="ListParagraph"/>
        <w:numPr>
          <w:ilvl w:val="2"/>
          <w:numId w:val="2"/>
        </w:numPr>
        <w:contextualSpacing w:val="0"/>
      </w:pPr>
      <w:proofErr w:type="spellStart"/>
      <w:r w:rsidRPr="00D379DE">
        <w:rPr>
          <w:b/>
          <w:bCs/>
        </w:rPr>
        <w:t>Servitization</w:t>
      </w:r>
      <w:proofErr w:type="spellEnd"/>
      <w:r w:rsidRPr="00D379DE">
        <w:t>: Smart combination of manufacturing and services</w:t>
      </w:r>
    </w:p>
    <w:p w14:paraId="1B1EB395" w14:textId="77777777" w:rsidR="00EB0A3A" w:rsidRPr="00160CF2" w:rsidRDefault="00EB0A3A" w:rsidP="00EB0A3A">
      <w:pPr>
        <w:pStyle w:val="ListParagraph"/>
        <w:keepNext/>
        <w:keepLines/>
        <w:numPr>
          <w:ilvl w:val="0"/>
          <w:numId w:val="1"/>
        </w:numPr>
        <w:contextualSpacing w:val="0"/>
      </w:pPr>
      <w:r w:rsidRPr="00160CF2">
        <w:lastRenderedPageBreak/>
        <w:t>MANAGEMENT SAVVY (4-5, PPT Slides 28–29)</w:t>
      </w:r>
    </w:p>
    <w:p w14:paraId="03DC277C" w14:textId="77777777" w:rsidR="00EB0A3A" w:rsidRPr="001A7546" w:rsidRDefault="00EB0A3A" w:rsidP="00EB0A3A">
      <w:pPr>
        <w:pStyle w:val="ListParagraph"/>
        <w:keepNext/>
        <w:keepLines/>
        <w:numPr>
          <w:ilvl w:val="1"/>
          <w:numId w:val="1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2FE3770C" w14:textId="77777777" w:rsidR="00EB0A3A" w:rsidRDefault="00EB0A3A" w:rsidP="00EB0A3A">
      <w:pPr>
        <w:pStyle w:val="ListParagraph"/>
        <w:keepNext/>
        <w:keepLines/>
        <w:numPr>
          <w:ilvl w:val="2"/>
          <w:numId w:val="2"/>
        </w:numPr>
        <w:ind w:left="2174" w:hanging="187"/>
        <w:contextualSpacing w:val="0"/>
      </w:pPr>
      <w:r w:rsidRPr="00160CF2">
        <w:t xml:space="preserve">Managers need to build firm strengths based on the VRIO framework. </w:t>
      </w:r>
    </w:p>
    <w:p w14:paraId="445AC746" w14:textId="77777777" w:rsidR="00EB0A3A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160CF2">
        <w:t xml:space="preserve">Relentless imitation or benchmarking, while important, is not likely to be a successful strategy. </w:t>
      </w:r>
    </w:p>
    <w:p w14:paraId="699B9FF2" w14:textId="77777777" w:rsidR="00EB0A3A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160CF2">
        <w:t xml:space="preserve">Managers need to build up resources and capabilities for future competition. </w:t>
      </w:r>
    </w:p>
    <w:p w14:paraId="1253E6C0" w14:textId="77777777" w:rsidR="00EB0A3A" w:rsidRPr="001A7546" w:rsidRDefault="00EB0A3A" w:rsidP="00EB0A3A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160CF2">
        <w:t>Students are advised to make themselves “untouchables” whose jobs cannot be outsourced</w:t>
      </w:r>
      <w:r>
        <w:t>.</w:t>
      </w:r>
    </w:p>
    <w:p w14:paraId="283B7E49" w14:textId="77777777" w:rsidR="00EB0A3A" w:rsidRDefault="00EB0A3A" w:rsidP="00EB0A3A"/>
    <w:sectPr w:rsidR="00EB0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94330" w14:textId="77777777" w:rsidR="000403E9" w:rsidRDefault="000403E9" w:rsidP="00EB0A3A">
      <w:pPr>
        <w:spacing w:after="0"/>
      </w:pPr>
      <w:r>
        <w:separator/>
      </w:r>
    </w:p>
  </w:endnote>
  <w:endnote w:type="continuationSeparator" w:id="0">
    <w:p w14:paraId="7B7156E8" w14:textId="77777777" w:rsidR="000403E9" w:rsidRDefault="000403E9" w:rsidP="00EB0A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F760" w14:textId="77777777" w:rsidR="009C2647" w:rsidRDefault="009C2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9BD0" w14:textId="77777777" w:rsidR="009C2647" w:rsidRDefault="009C26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4A292" w14:textId="77777777" w:rsidR="009C2647" w:rsidRDefault="009C2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91E6" w14:textId="77777777" w:rsidR="000403E9" w:rsidRDefault="000403E9" w:rsidP="00EB0A3A">
      <w:pPr>
        <w:spacing w:after="0"/>
      </w:pPr>
      <w:r>
        <w:separator/>
      </w:r>
    </w:p>
  </w:footnote>
  <w:footnote w:type="continuationSeparator" w:id="0">
    <w:p w14:paraId="03E70889" w14:textId="77777777" w:rsidR="000403E9" w:rsidRDefault="000403E9" w:rsidP="00EB0A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57D9" w14:textId="77777777" w:rsidR="009C2647" w:rsidRDefault="009C2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EF73" w14:textId="78206ADD" w:rsidR="00EB0A3A" w:rsidRPr="00EB0A3A" w:rsidRDefault="009C2647" w:rsidP="00EB0A3A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INB 300 </w:t>
    </w:r>
    <w:r w:rsidR="00EB0A3A" w:rsidRPr="00EB0A3A">
      <w:rPr>
        <w:b/>
        <w:bCs/>
        <w:sz w:val="32"/>
        <w:szCs w:val="32"/>
      </w:rPr>
      <w:t>Chapter 4 Study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13D4" w14:textId="77777777" w:rsidR="009C2647" w:rsidRDefault="009C2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9B4"/>
    <w:multiLevelType w:val="hybridMultilevel"/>
    <w:tmpl w:val="73BA0168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EE9C5A7E">
      <w:start w:val="4"/>
      <w:numFmt w:val="bullet"/>
      <w:lvlText w:val=""/>
      <w:lvlJc w:val="left"/>
      <w:pPr>
        <w:ind w:left="2160" w:hanging="180"/>
      </w:pPr>
      <w:rPr>
        <w:rFonts w:ascii="Symbol" w:eastAsiaTheme="minorHAnsi" w:hAnsi="Symbol" w:cstheme="minorBidi" w:hint="default"/>
      </w:r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51E0C"/>
    <w:multiLevelType w:val="hybridMultilevel"/>
    <w:tmpl w:val="FFFFFFFF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5CCEAD7E">
      <w:start w:val="1"/>
      <w:numFmt w:val="upperRoman"/>
      <w:lvlText w:val="%3."/>
      <w:lvlJc w:val="right"/>
      <w:pPr>
        <w:ind w:left="2160" w:hanging="180"/>
      </w:p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num w:numId="1" w16cid:durableId="692338530">
    <w:abstractNumId w:val="1"/>
  </w:num>
  <w:num w:numId="2" w16cid:durableId="140051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3A"/>
    <w:rsid w:val="000403E9"/>
    <w:rsid w:val="001756FC"/>
    <w:rsid w:val="002D7579"/>
    <w:rsid w:val="004C5DC3"/>
    <w:rsid w:val="005D12D0"/>
    <w:rsid w:val="006808A0"/>
    <w:rsid w:val="00777CB7"/>
    <w:rsid w:val="009C2647"/>
    <w:rsid w:val="00A91EF8"/>
    <w:rsid w:val="00EB0A3A"/>
    <w:rsid w:val="00F4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6FF92"/>
  <w15:chartTrackingRefBased/>
  <w15:docId w15:val="{0D992475-779D-0644-836B-25741637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A3A"/>
    <w:pPr>
      <w:spacing w:after="16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A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A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0A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0A3A"/>
    <w:rPr>
      <w:rFonts w:ascii="Open Sans" w:eastAsia="Open Sans" w:hAnsi="Open Sans" w:cs="Open Sans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0A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0A3A"/>
    <w:rPr>
      <w:rFonts w:ascii="Open Sans" w:eastAsia="Open Sans" w:hAnsi="Open Sans" w:cs="Open Sans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2024-01-31T03:16:00Z</dcterms:created>
  <dcterms:modified xsi:type="dcterms:W3CDTF">2024-01-31T03:19:00Z</dcterms:modified>
</cp:coreProperties>
</file>