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B5902" w14:textId="3E62BEA2" w:rsidR="0067744C" w:rsidRPr="006E1DC2" w:rsidRDefault="006E1DC2" w:rsidP="0067744C">
      <w:pPr>
        <w:jc w:val="center"/>
        <w:rPr>
          <w:b/>
          <w:bCs/>
        </w:rPr>
      </w:pPr>
      <w:r>
        <w:rPr>
          <w:b/>
          <w:bCs/>
        </w:rPr>
        <w:t>Détermination de constantes d’équilibre</w:t>
      </w:r>
    </w:p>
    <w:p w14:paraId="7B02720C" w14:textId="335C5CED" w:rsidR="0067744C" w:rsidRDefault="0067744C" w:rsidP="0067744C">
      <w:pPr>
        <w:jc w:val="both"/>
      </w:pPr>
      <w:r>
        <w:t xml:space="preserve">Niveau : </w:t>
      </w:r>
      <w:r w:rsidR="006E1DC2">
        <w:t>CPGE (</w:t>
      </w:r>
      <w:r w:rsidR="00C73FE3">
        <w:t>M</w:t>
      </w:r>
      <w:r w:rsidR="00A7692D">
        <w:t>P</w:t>
      </w:r>
      <w:r w:rsidR="006E1DC2">
        <w:t>)</w:t>
      </w:r>
    </w:p>
    <w:p w14:paraId="27DE2BC6" w14:textId="7913822A" w:rsidR="0067744C" w:rsidRDefault="0067744C" w:rsidP="0067744C">
      <w:pPr>
        <w:jc w:val="both"/>
      </w:pPr>
      <w:r>
        <w:t xml:space="preserve">Prérequis : </w:t>
      </w:r>
      <w:r w:rsidR="00C73FE3">
        <w:t xml:space="preserve">équilibre chimique, enthalpie libre de réaction, réactions acido-basiques, </w:t>
      </w:r>
      <w:r w:rsidR="00487A89">
        <w:t>piles</w:t>
      </w:r>
      <w:r w:rsidR="00C73FE3">
        <w:t>, titrages, spectrophotométrie</w:t>
      </w:r>
    </w:p>
    <w:p w14:paraId="114216AF" w14:textId="2860C41F" w:rsidR="0067744C" w:rsidRDefault="0067744C" w:rsidP="0067744C">
      <w:pPr>
        <w:jc w:val="both"/>
      </w:pPr>
      <w:r>
        <w:t xml:space="preserve">Biblio : </w:t>
      </w:r>
      <w:r w:rsidR="00C73FE3">
        <w:t xml:space="preserve">Tout-en-un Chimie MPSI et MP, </w:t>
      </w:r>
      <w:proofErr w:type="spellStart"/>
      <w:r w:rsidR="00C73FE3">
        <w:t>Cachau</w:t>
      </w:r>
      <w:proofErr w:type="spellEnd"/>
      <w:r w:rsidR="00C73FE3">
        <w:t xml:space="preserve"> redox, </w:t>
      </w:r>
      <w:proofErr w:type="spellStart"/>
      <w:r w:rsidR="00A44BB7">
        <w:t>Porteu</w:t>
      </w:r>
      <w:proofErr w:type="spellEnd"/>
      <w:r w:rsidR="00A44BB7">
        <w:t xml:space="preserve"> de </w:t>
      </w:r>
      <w:proofErr w:type="spellStart"/>
      <w:r w:rsidR="00A44BB7">
        <w:t>Buchère</w:t>
      </w:r>
      <w:proofErr w:type="spellEnd"/>
      <w:r w:rsidR="00A44BB7">
        <w:t>, Fosset chimie physique</w:t>
      </w:r>
    </w:p>
    <w:p w14:paraId="2F6D038E" w14:textId="77777777" w:rsidR="0067744C" w:rsidRDefault="0067744C" w:rsidP="0067744C">
      <w:pPr>
        <w:jc w:val="both"/>
      </w:pPr>
    </w:p>
    <w:p w14:paraId="042E191C" w14:textId="2391DFBB" w:rsidR="0067744C" w:rsidRDefault="0067744C" w:rsidP="0067744C">
      <w:pPr>
        <w:jc w:val="both"/>
      </w:pPr>
      <w:r>
        <w:t>Expériences :</w:t>
      </w:r>
      <w:r w:rsidR="00A44BB7">
        <w:t xml:space="preserve"> pile Daniell, acide benzoïque</w:t>
      </w:r>
      <w:r w:rsidR="006D58BB">
        <w:t xml:space="preserve"> (Fosset)</w:t>
      </w:r>
      <w:r w:rsidR="00A44BB7">
        <w:t>,</w:t>
      </w:r>
      <w:r w:rsidR="001A548B">
        <w:t xml:space="preserve"> </w:t>
      </w:r>
      <w:proofErr w:type="spellStart"/>
      <w:r w:rsidR="001A548B">
        <w:t>pKa</w:t>
      </w:r>
      <w:proofErr w:type="spellEnd"/>
      <w:r w:rsidR="001A548B">
        <w:t xml:space="preserve"> BBT par </w:t>
      </w:r>
      <w:proofErr w:type="spellStart"/>
      <w:r w:rsidR="001A548B">
        <w:t>spectro</w:t>
      </w:r>
      <w:proofErr w:type="spellEnd"/>
      <w:r w:rsidR="00054AFF">
        <w:t>, avoir thermomètre</w:t>
      </w:r>
    </w:p>
    <w:p w14:paraId="7785F553" w14:textId="77777777" w:rsidR="0067744C" w:rsidRDefault="0067744C" w:rsidP="0067744C">
      <w:pPr>
        <w:jc w:val="both"/>
      </w:pPr>
    </w:p>
    <w:p w14:paraId="69216D28" w14:textId="0FCD3982" w:rsidR="0067744C" w:rsidRDefault="0067744C" w:rsidP="0067744C">
      <w:pPr>
        <w:jc w:val="both"/>
      </w:pPr>
      <w:r>
        <w:t>Intro :</w:t>
      </w:r>
      <w:r w:rsidR="00612A3D">
        <w:t xml:space="preserve"> en chimie on rencontre des constantes d’équilibre dans de nombreux domaines (thermochimie, électrochimie, réactions acido-basiques). Jusqu’à présent les constantes d’équilibres étaient des données nous permettant de prévoir le sens et l’état final d’une réaction mais nous allons voir comment les déterminer : mesure (expérience) ou calcul (théorie) </w:t>
      </w:r>
      <w:r w:rsidR="00612A3D" w:rsidRPr="00612A3D">
        <w:rPr>
          <w:b/>
          <w:bCs/>
        </w:rPr>
        <w:t>slide</w:t>
      </w:r>
      <w:r w:rsidR="00612A3D">
        <w:t>.</w:t>
      </w:r>
    </w:p>
    <w:p w14:paraId="4265890C" w14:textId="37051851" w:rsidR="0067744C" w:rsidRDefault="0067744C" w:rsidP="0067744C">
      <w:pPr>
        <w:jc w:val="both"/>
      </w:pPr>
      <w:r>
        <w:t>I</w:t>
      </w:r>
      <w:r w:rsidR="00A44BB7">
        <w:t xml:space="preserve"> – Constantes d’équilibre en thermochimie</w:t>
      </w:r>
    </w:p>
    <w:p w14:paraId="5982AAEC" w14:textId="1CAEB501" w:rsidR="00A44BB7" w:rsidRDefault="00A44BB7" w:rsidP="00A44BB7">
      <w:pPr>
        <w:pStyle w:val="Paragraphedeliste"/>
        <w:numPr>
          <w:ilvl w:val="0"/>
          <w:numId w:val="1"/>
        </w:numPr>
        <w:jc w:val="both"/>
      </w:pPr>
      <w:r>
        <w:t>Constante d’équilibre et grandeurs thermodynamiques</w:t>
      </w:r>
    </w:p>
    <w:p w14:paraId="75629997" w14:textId="1D1DEE1A" w:rsidR="00430464" w:rsidRDefault="00430464" w:rsidP="00430464">
      <w:pPr>
        <w:pStyle w:val="Paragraphedeliste"/>
        <w:jc w:val="both"/>
      </w:pPr>
      <w:r>
        <w:t xml:space="preserve">On va donc commencer par </w:t>
      </w:r>
      <w:r w:rsidR="00AF7C4A">
        <w:t xml:space="preserve">les méthodes de calcul. Obtention de </w:t>
      </w:r>
      <m:oMath>
        <m:r>
          <w:rPr>
            <w:rFonts w:ascii="Cambria Math" w:hAnsi="Cambria Math"/>
          </w:rPr>
          <m:t>K°=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l-GR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G°</m:t>
                </m:r>
              </m:num>
              <m:den>
                <m:r>
                  <w:rPr>
                    <w:rFonts w:ascii="Cambria Math" w:hAnsi="Cambria Math"/>
                  </w:rPr>
                  <m:t>RT</m:t>
                </m:r>
              </m:den>
            </m:f>
          </m:sup>
        </m:sSup>
      </m:oMath>
      <w:r w:rsidR="00AF7C4A">
        <w:t xml:space="preserve">, approximation d’Ellingham et loi de Van’t hoff. L’évolution avec la </w:t>
      </w:r>
      <w:r w:rsidR="00AF7C4A" w:rsidRPr="00F803FF">
        <w:rPr>
          <w:b/>
          <w:bCs/>
        </w:rPr>
        <w:t>température</w:t>
      </w:r>
      <w:r w:rsidR="00AF7C4A">
        <w:t xml:space="preserve"> est essentielle, on verra ça plus tard. Si on a une composition de réactions on peut composer les enthalpies libres</w:t>
      </w:r>
      <w:r w:rsidR="001570FA">
        <w:t xml:space="preserve"> et par exemple pour les équations redox</w:t>
      </w:r>
      <m:oMath>
        <m:r>
          <m:rPr>
            <m:sty m:val="p"/>
          </m:rPr>
          <w:rPr>
            <w:rFonts w:ascii="Cambria Math" w:hAnsi="Cambria Math"/>
          </w:rPr>
          <m:t xml:space="preserve"> Δ</m:t>
        </m:r>
        <m:r>
          <w:rPr>
            <w:rFonts w:ascii="Cambria Math" w:hAnsi="Cambria Math"/>
          </w:rPr>
          <m:t>rG°=nFE°</m:t>
        </m:r>
      </m:oMath>
      <w:r w:rsidR="00AF7C4A">
        <w:t>.</w:t>
      </w:r>
    </w:p>
    <w:p w14:paraId="133750F4" w14:textId="314B552D" w:rsidR="00A44BB7" w:rsidRDefault="00A44BB7" w:rsidP="00A44BB7">
      <w:pPr>
        <w:pStyle w:val="Paragraphedeliste"/>
        <w:numPr>
          <w:ilvl w:val="0"/>
          <w:numId w:val="1"/>
        </w:numPr>
        <w:jc w:val="both"/>
      </w:pPr>
      <w:r>
        <w:t>Application à l</w:t>
      </w:r>
      <w:r w:rsidR="00430464">
        <w:t>a pile Daniell</w:t>
      </w:r>
    </w:p>
    <w:p w14:paraId="320F7631" w14:textId="2127671B" w:rsidR="00487A89" w:rsidRPr="001570FA" w:rsidRDefault="00487A89" w:rsidP="00487A89">
      <w:pPr>
        <w:pStyle w:val="Paragraphedeliste"/>
        <w:jc w:val="both"/>
      </w:pPr>
      <w:r w:rsidRPr="00487A89">
        <w:rPr>
          <w:b/>
          <w:bCs/>
        </w:rPr>
        <w:t>Slide</w:t>
      </w:r>
      <w:r>
        <w:t xml:space="preserve">, les couples mis en jeu sont Zn2+/Zn et Cu2+/Cu. Anode : zinc. Cathode : cuivre. </w:t>
      </w:r>
      <w:r w:rsidRPr="001570FA">
        <w:t>Equation globale</w:t>
      </w:r>
      <w:r w:rsidR="001570FA" w:rsidRPr="001570FA">
        <w:t xml:space="preserve"> </w:t>
      </w:r>
      <w:r w:rsidRPr="001570FA">
        <w:t>: Zn(s)+Cu2+(</w:t>
      </w:r>
      <w:proofErr w:type="spellStart"/>
      <w:proofErr w:type="gramStart"/>
      <w:r w:rsidRPr="001570FA">
        <w:t>aq</w:t>
      </w:r>
      <w:proofErr w:type="spellEnd"/>
      <w:r w:rsidRPr="001570FA">
        <w:t>)=</w:t>
      </w:r>
      <w:proofErr w:type="gramEnd"/>
      <w:r w:rsidRPr="001570FA">
        <w:t>Zn2+(</w:t>
      </w:r>
      <w:proofErr w:type="spellStart"/>
      <w:r w:rsidRPr="001570FA">
        <w:t>aq</w:t>
      </w:r>
      <w:proofErr w:type="spellEnd"/>
      <w:r w:rsidRPr="001570FA">
        <w:t>)+Cu(s).</w:t>
      </w:r>
      <w:r w:rsidR="001570FA" w:rsidRPr="001570FA">
        <w:t xml:space="preserve"> Faire montage (solutions p</w:t>
      </w:r>
      <w:r w:rsidR="001570FA">
        <w:t xml:space="preserve">réparées avec quelques gouttes d’acide sulfurique) et mesurer fem. </w:t>
      </w:r>
      <m:oMath>
        <m:r>
          <w:rPr>
            <w:rFonts w:ascii="Cambria Math" w:hAnsi="Cambria Math"/>
          </w:rPr>
          <m:t>Zn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Zn</m:t>
            </m:r>
          </m:e>
          <m:sup>
            <m:r>
              <w:rPr>
                <w:rFonts w:ascii="Cambria Math" w:hAnsi="Cambria Math"/>
              </w:rPr>
              <m:t>2+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aq</m:t>
            </m:r>
          </m:e>
        </m:d>
        <m:r>
          <m:rPr>
            <m:sty m:val="p"/>
          </m:rP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 Δ</m:t>
        </m:r>
        <m:r>
          <w:rPr>
            <w:rFonts w:ascii="Cambria Math" w:hAnsi="Cambria Math"/>
          </w:rPr>
          <m:t>rG°(1)=2FE°</m:t>
        </m:r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Zn</m:t>
            </m:r>
          </m:e>
          <m:sup>
            <m: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/Zn</m:t>
        </m:r>
        <m:r>
          <w:rPr>
            <w:rFonts w:ascii="Cambria Math" w:eastAsiaTheme="minorEastAsia" w:hAnsi="Cambria Math"/>
          </w:rPr>
          <m:t>)</m:t>
        </m:r>
      </m:oMath>
      <w:r w:rsidR="00644F07">
        <w:rPr>
          <w:rFonts w:eastAsiaTheme="minorEastAsia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Cu</m:t>
            </m:r>
          </m:e>
          <m:sup>
            <m:r>
              <w:rPr>
                <w:rFonts w:ascii="Cambria Math" w:hAnsi="Cambria Math"/>
              </w:rPr>
              <m:t>2+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aq</m:t>
            </m:r>
          </m:e>
        </m:d>
        <m:r>
          <m:rPr>
            <m:sty m:val="p"/>
          </m:rP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=Cu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Δ</m:t>
        </m:r>
        <m:r>
          <w:rPr>
            <w:rFonts w:ascii="Cambria Math" w:hAnsi="Cambria Math"/>
          </w:rPr>
          <m:t>rG°(2)=-2FE°</m:t>
        </m:r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Cu</m:t>
            </m:r>
          </m:e>
          <m:sup>
            <m:r>
              <w:rPr>
                <w:rFonts w:ascii="Cambria Math" w:hAnsi="Cambria Math"/>
              </w:rPr>
              <m:t>2+</m:t>
            </m:r>
          </m:sup>
        </m:sSup>
        <m:r>
          <w:rPr>
            <w:rFonts w:ascii="Cambria Math" w:eastAsiaTheme="minorEastAsia" w:hAnsi="Cambria Math"/>
          </w:rPr>
          <m:t>/Cu)</m:t>
        </m:r>
      </m:oMath>
      <w:r w:rsidR="00644F07">
        <w:rPr>
          <w:rFonts w:eastAsiaTheme="minorEastAsia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rG°=2F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E°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2+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/Zn</m:t>
                </m:r>
              </m:e>
            </m:d>
            <m:r>
              <w:rPr>
                <w:rFonts w:ascii="Cambria Math" w:hAnsi="Cambria Math"/>
              </w:rPr>
              <m:t>-E°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2+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/Cu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=-2Fe</m:t>
        </m:r>
      </m:oMath>
      <w:r w:rsidR="00644F07">
        <w:rPr>
          <w:rFonts w:eastAsiaTheme="minorEastAsia"/>
        </w:rPr>
        <w:t>, donner F.</w:t>
      </w:r>
      <w:r w:rsidR="00F803F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K°=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2Fe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RT</m:t>
                </m:r>
              </m:den>
            </m:f>
          </m:sup>
        </m:sSup>
      </m:oMath>
      <w:r w:rsidR="00F803FF" w:rsidRPr="00F803FF">
        <w:rPr>
          <w:rFonts w:eastAsiaTheme="minorEastAsia"/>
        </w:rPr>
        <w:t xml:space="preserve"> </w:t>
      </w:r>
      <w:r w:rsidR="00F803FF">
        <w:rPr>
          <w:rFonts w:eastAsiaTheme="minorEastAsia"/>
        </w:rPr>
        <w:t>(comme les concentrations sont égales, Q=1 au début du fonctionnement), on est à une température donnée, on a bien une évolution dans le sens direct (réaction spontanée) et la réaction est quantitative, c’est ce qu’on attend d’une pile.</w:t>
      </w:r>
      <w:r w:rsidR="00BC0E2D">
        <w:rPr>
          <w:rFonts w:eastAsiaTheme="minorEastAsia"/>
        </w:rPr>
        <w:t xml:space="preserve"> On a donc un outil pour déterminer des constantes d’équilibres à partir de grandeurs thermodynamiques standards tabulées mais on peut aussi les déterminer en mesurant expérimentalement des quotients réactionnels</w:t>
      </w:r>
      <w:r w:rsidR="00B67F5F">
        <w:rPr>
          <w:rFonts w:eastAsiaTheme="minorEastAsia"/>
        </w:rPr>
        <w:t xml:space="preserve"> c’est à </w:t>
      </w:r>
      <w:proofErr w:type="gramStart"/>
      <w:r w:rsidR="00B67F5F">
        <w:rPr>
          <w:rFonts w:eastAsiaTheme="minorEastAsia"/>
        </w:rPr>
        <w:t>dire</w:t>
      </w:r>
      <w:proofErr w:type="gramEnd"/>
      <w:r w:rsidR="00B67F5F">
        <w:rPr>
          <w:rFonts w:eastAsiaTheme="minorEastAsia"/>
        </w:rPr>
        <w:t xml:space="preserve"> de concentrations, donc par titrage</w:t>
      </w:r>
      <w:r w:rsidR="00BC0E2D">
        <w:rPr>
          <w:rFonts w:eastAsiaTheme="minorEastAsia"/>
        </w:rPr>
        <w:t>.</w:t>
      </w:r>
    </w:p>
    <w:p w14:paraId="4C477251" w14:textId="5998E1F6" w:rsidR="0067744C" w:rsidRDefault="0067744C" w:rsidP="0067744C">
      <w:pPr>
        <w:jc w:val="both"/>
      </w:pPr>
      <w:r>
        <w:t>II</w:t>
      </w:r>
      <w:r w:rsidR="00A44BB7">
        <w:t xml:space="preserve"> – Equilibre hétérogène en solution aqueuse</w:t>
      </w:r>
    </w:p>
    <w:p w14:paraId="59217CD2" w14:textId="22522E4B" w:rsidR="00A44BB7" w:rsidRDefault="00A44BB7" w:rsidP="00A44BB7">
      <w:pPr>
        <w:pStyle w:val="Paragraphedeliste"/>
        <w:numPr>
          <w:ilvl w:val="0"/>
          <w:numId w:val="2"/>
        </w:numPr>
        <w:jc w:val="both"/>
      </w:pPr>
      <w:r>
        <w:t>Produit de solubilité de l’acide benzoïque</w:t>
      </w:r>
    </w:p>
    <w:p w14:paraId="45C6B722" w14:textId="6BF7D7B1" w:rsidR="00625F10" w:rsidRDefault="00625F10" w:rsidP="00092059">
      <w:pPr>
        <w:pStyle w:val="Paragraphedeliste"/>
        <w:jc w:val="both"/>
      </w:pPr>
      <w:r>
        <w:t>L’acide benzoïque est un conservateur alimentaire</w:t>
      </w:r>
      <w:r w:rsidR="00E32BCE">
        <w:t xml:space="preserve"> et on peut en dissoudre une quantité maximale dans un litre d’eau. Le produit de solubilité est la constante d’équilibre associée à la dissolution </w:t>
      </w:r>
      <w:proofErr w:type="spellStart"/>
      <w:r w:rsidR="00E32BCE">
        <w:t>PhCOOH</w:t>
      </w:r>
      <w:proofErr w:type="spellEnd"/>
      <w:r w:rsidR="00E32BCE">
        <w:t>(s)=</w:t>
      </w:r>
      <w:proofErr w:type="spellStart"/>
      <w:r w:rsidR="00E32BCE">
        <w:t>PhCOOH</w:t>
      </w:r>
      <w:proofErr w:type="spellEnd"/>
      <w:r w:rsidR="00E32BCE">
        <w:t>(</w:t>
      </w:r>
      <w:proofErr w:type="spellStart"/>
      <w:r w:rsidR="00E32BCE">
        <w:t>aq</w:t>
      </w:r>
      <w:proofErr w:type="spellEnd"/>
      <w:r w:rsidR="00E32BCE">
        <w:t>) soit Ks=K°=[</w:t>
      </w:r>
      <w:proofErr w:type="spellStart"/>
      <w:r w:rsidR="00E32BCE">
        <w:t>PhCOOH</w:t>
      </w:r>
      <w:proofErr w:type="spellEnd"/>
      <w:r w:rsidR="00E32BCE">
        <w:t>(</w:t>
      </w:r>
      <w:proofErr w:type="spellStart"/>
      <w:r w:rsidR="00E32BCE">
        <w:t>aq</w:t>
      </w:r>
      <w:proofErr w:type="spellEnd"/>
      <w:proofErr w:type="gramStart"/>
      <w:r w:rsidR="00E32BCE">
        <w:t>)]eq</w:t>
      </w:r>
      <w:proofErr w:type="gramEnd"/>
      <w:r w:rsidR="00E32BCE">
        <w:t>/c°. Expérience </w:t>
      </w:r>
      <w:r w:rsidR="000A1FFE" w:rsidRPr="000A1FFE">
        <w:rPr>
          <w:b/>
          <w:bCs/>
        </w:rPr>
        <w:t>slide</w:t>
      </w:r>
      <w:r w:rsidR="000A1FFE">
        <w:t xml:space="preserve"> </w:t>
      </w:r>
      <w:r w:rsidR="00E32BCE">
        <w:t>: on a une solution saturée d’acide benzoïque, c’est-à-dire qu’il reste du solide qui ne peut plus se dissoudre</w:t>
      </w:r>
      <w:r w:rsidR="003674E0">
        <w:t>, donc on est à l’équilibre et il suffit de mesurer la concentration en acide benzoïque encore une fois à température donnée.</w:t>
      </w:r>
      <w:r w:rsidR="008F4321">
        <w:t xml:space="preserve"> Titrage colorimétrique au BBT par la soude, un tableau d’avancement donne Ks=</w:t>
      </w:r>
      <w:proofErr w:type="spellStart"/>
      <w:proofErr w:type="gramStart"/>
      <w:r w:rsidR="008F4321">
        <w:t>Qr,eq</w:t>
      </w:r>
      <w:proofErr w:type="spellEnd"/>
      <w:proofErr w:type="gramEnd"/>
      <w:r w:rsidR="008F4321">
        <w:t>°=[</w:t>
      </w:r>
      <w:proofErr w:type="spellStart"/>
      <w:r w:rsidR="008F4321">
        <w:t>PhCOOH</w:t>
      </w:r>
      <w:proofErr w:type="spellEnd"/>
      <w:r w:rsidR="008F4321">
        <w:t>(</w:t>
      </w:r>
      <w:proofErr w:type="spellStart"/>
      <w:r w:rsidR="008F4321">
        <w:t>aq</w:t>
      </w:r>
      <w:proofErr w:type="spellEnd"/>
      <w:r w:rsidR="008F4321">
        <w:t>)]eq/c°=[HO-]</w:t>
      </w:r>
      <w:r w:rsidR="00054AFF">
        <w:t>Ve/V. Incertitude propre, comparer à Ks=0.0205 à 25°C.</w:t>
      </w:r>
      <w:r w:rsidR="00092059">
        <w:t xml:space="preserve"> On a dit tout à l’heure que la constante d’équilibre dépend (et uniquement) de la température, c’est ce qu’on va illustrer maintenant.</w:t>
      </w:r>
    </w:p>
    <w:p w14:paraId="0070A7DF" w14:textId="70414C5A" w:rsidR="00092059" w:rsidRDefault="00A44BB7" w:rsidP="00092059">
      <w:pPr>
        <w:pStyle w:val="Paragraphedeliste"/>
        <w:numPr>
          <w:ilvl w:val="0"/>
          <w:numId w:val="2"/>
        </w:numPr>
        <w:jc w:val="both"/>
      </w:pPr>
      <w:r>
        <w:lastRenderedPageBreak/>
        <w:t>Evolution avec la température</w:t>
      </w:r>
    </w:p>
    <w:p w14:paraId="141B1E12" w14:textId="4EFDEC9A" w:rsidR="00092059" w:rsidRDefault="00092059" w:rsidP="00092059">
      <w:pPr>
        <w:pStyle w:val="Paragraphedeliste"/>
        <w:jc w:val="both"/>
      </w:pPr>
      <w:r>
        <w:t xml:space="preserve">Mesures de Ks entre 0°C et 50°C, tracer </w:t>
      </w:r>
      <w:proofErr w:type="spellStart"/>
      <w:r>
        <w:t>lnKs</w:t>
      </w:r>
      <w:proofErr w:type="spellEnd"/>
      <w:r>
        <w:t xml:space="preserve"> en fonction de 1/T, pente -</w:t>
      </w:r>
      <w:proofErr w:type="spellStart"/>
      <w:r>
        <w:rPr>
          <w:rFonts w:ascii="Cambria Math" w:hAnsi="Cambria Math"/>
        </w:rPr>
        <w:t>Δ</w:t>
      </w:r>
      <w:r>
        <w:t>rH</w:t>
      </w:r>
      <w:proofErr w:type="spellEnd"/>
      <w:r>
        <w:t>°/R, comparaison 22.8 kJ.mol-1. Réaction endothermique, plus on apporte de chaleur plus l’acide se dissous, en accord avec les observations.</w:t>
      </w:r>
    </w:p>
    <w:p w14:paraId="6BF968E9" w14:textId="23F56FD4" w:rsidR="0067744C" w:rsidRDefault="0067744C" w:rsidP="0067744C">
      <w:pPr>
        <w:jc w:val="both"/>
      </w:pPr>
      <w:r>
        <w:t>III</w:t>
      </w:r>
      <w:r w:rsidR="00A44BB7">
        <w:t xml:space="preserve"> – Equilibre acido-basique</w:t>
      </w:r>
    </w:p>
    <w:p w14:paraId="19CFE5F2" w14:textId="7146DC84" w:rsidR="001A548B" w:rsidRDefault="001A548B" w:rsidP="001A548B">
      <w:pPr>
        <w:pStyle w:val="Paragraphedeliste"/>
        <w:numPr>
          <w:ilvl w:val="0"/>
          <w:numId w:val="3"/>
        </w:numPr>
        <w:jc w:val="both"/>
      </w:pPr>
      <w:r>
        <w:t>Constante d’acidité et indicateurs colorés</w:t>
      </w:r>
    </w:p>
    <w:p w14:paraId="4686AED6" w14:textId="0CA5AB7E" w:rsidR="00054AFF" w:rsidRDefault="00054AFF" w:rsidP="00054AFF">
      <w:pPr>
        <w:pStyle w:val="Paragraphedeliste"/>
        <w:jc w:val="both"/>
      </w:pPr>
      <w:r>
        <w:t>On vient d’étudier un acide ce qui nous fournit intuitivement autre type d’équilibre qu’on peut regarder, les équilibres acido-basiques</w:t>
      </w:r>
      <w:r w:rsidR="007F3645">
        <w:t xml:space="preserve">, dont la constante est le </w:t>
      </w:r>
      <w:proofErr w:type="spellStart"/>
      <w:r w:rsidR="007F3645">
        <w:t>Ka</w:t>
      </w:r>
      <w:proofErr w:type="spellEnd"/>
      <w:r w:rsidR="007F3645">
        <w:t>. Rappel Ka/</w:t>
      </w:r>
      <w:proofErr w:type="spellStart"/>
      <w:r w:rsidR="007F3645">
        <w:t>pKa</w:t>
      </w:r>
      <w:proofErr w:type="spellEnd"/>
      <w:r w:rsidR="007F3645">
        <w:t>, relation de Henderson, prédominance et indicateurs colorés (forme acide et base ne présentent pas la même couleur).</w:t>
      </w:r>
    </w:p>
    <w:p w14:paraId="0363EDD0" w14:textId="68BDC348" w:rsidR="001A548B" w:rsidRDefault="001A548B" w:rsidP="001A548B">
      <w:pPr>
        <w:pStyle w:val="Paragraphedeliste"/>
        <w:numPr>
          <w:ilvl w:val="0"/>
          <w:numId w:val="3"/>
        </w:numPr>
        <w:jc w:val="both"/>
      </w:pPr>
      <w:r>
        <w:t xml:space="preserve">Mesure du </w:t>
      </w:r>
      <w:proofErr w:type="spellStart"/>
      <w:r>
        <w:t>pKa</w:t>
      </w:r>
      <w:proofErr w:type="spellEnd"/>
      <w:r>
        <w:t xml:space="preserve"> du BBT</w:t>
      </w:r>
    </w:p>
    <w:p w14:paraId="52F9967E" w14:textId="7B82A55E" w:rsidR="000D07F0" w:rsidRDefault="00E32BCE" w:rsidP="000D07F0">
      <w:pPr>
        <w:pStyle w:val="Paragraphedeliste"/>
        <w:jc w:val="both"/>
      </w:pPr>
      <w:r>
        <w:t xml:space="preserve">Tout à l’heure on a utilisé du BBT. </w:t>
      </w:r>
      <w:r w:rsidR="000D07F0">
        <w:t xml:space="preserve">Expérience </w:t>
      </w:r>
      <w:proofErr w:type="spellStart"/>
      <w:r w:rsidR="000D07F0">
        <w:t>Porteu</w:t>
      </w:r>
      <w:proofErr w:type="spellEnd"/>
      <w:r w:rsidR="000D07F0">
        <w:t xml:space="preserve"> de </w:t>
      </w:r>
      <w:proofErr w:type="spellStart"/>
      <w:r w:rsidR="000D07F0">
        <w:t>Buchère</w:t>
      </w:r>
      <w:proofErr w:type="spellEnd"/>
      <w:r w:rsidR="000D07F0">
        <w:t xml:space="preserve"> </w:t>
      </w:r>
      <w:r w:rsidR="000D07F0" w:rsidRPr="001570FA">
        <w:rPr>
          <w:b/>
          <w:bCs/>
        </w:rPr>
        <w:t>slide</w:t>
      </w:r>
      <w:r w:rsidR="000D07F0">
        <w:t>.</w:t>
      </w:r>
    </w:p>
    <w:p w14:paraId="5A3AAA87" w14:textId="10267F07" w:rsidR="0067744C" w:rsidRDefault="0067744C" w:rsidP="0067744C">
      <w:pPr>
        <w:jc w:val="both"/>
      </w:pPr>
      <w:r>
        <w:t>Conclusion :</w:t>
      </w:r>
      <w:r w:rsidR="00397C3A">
        <w:t xml:space="preserve"> les équilibres sont au cœur des études des réactions chimiques et sont caractérisés par des constantes ne dépendant que de la température, on en a déterminé quelques types par plusieurs méthodes. Si les grandeurs thermo</w:t>
      </w:r>
      <w:r w:rsidR="000A1FFE">
        <w:t xml:space="preserve"> nous</w:t>
      </w:r>
      <w:r w:rsidR="00397C3A">
        <w:t xml:space="preserve"> renseignent sur l’état d’équilibre atteint</w:t>
      </w:r>
      <w:r w:rsidR="00C05347">
        <w:t>, elles ne nous disent pas comment, en combien de temps il l’est, cela relève de la cinétique</w:t>
      </w:r>
      <w:r w:rsidR="006D58BB">
        <w:t>.</w:t>
      </w:r>
    </w:p>
    <w:p w14:paraId="17ACEEDD" w14:textId="77777777" w:rsidR="0067744C" w:rsidRDefault="0067744C" w:rsidP="0067744C">
      <w:pPr>
        <w:jc w:val="both"/>
      </w:pPr>
    </w:p>
    <w:p w14:paraId="18108038" w14:textId="0B88B187" w:rsidR="00132701" w:rsidRDefault="0067744C" w:rsidP="001A548B">
      <w:pPr>
        <w:jc w:val="both"/>
      </w:pPr>
      <w:r>
        <w:t>Questions :</w:t>
      </w:r>
      <w:r w:rsidR="001A548B">
        <w:t xml:space="preserve"> utilité détermination constantes, autres constantes, titrage, incertitudes, électrodes, pont salin, </w:t>
      </w:r>
      <w:r w:rsidR="001570FA">
        <w:t>expression pile,</w:t>
      </w:r>
      <w:r w:rsidR="00A572A9">
        <w:t xml:space="preserve"> Nernst,</w:t>
      </w:r>
      <w:r w:rsidR="001570FA">
        <w:t xml:space="preserve"> </w:t>
      </w:r>
      <w:r w:rsidR="00E32BCE">
        <w:t xml:space="preserve">solubilité, </w:t>
      </w:r>
      <w:r w:rsidR="001A548B">
        <w:t>température</w:t>
      </w:r>
      <w:r w:rsidR="00397C3A">
        <w:t>, cinétique</w:t>
      </w:r>
      <w:r w:rsidR="001A548B">
        <w:t>.</w:t>
      </w:r>
    </w:p>
    <w:sectPr w:rsidR="001327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85F30"/>
    <w:multiLevelType w:val="hybridMultilevel"/>
    <w:tmpl w:val="B7F0DFA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A07462"/>
    <w:multiLevelType w:val="hybridMultilevel"/>
    <w:tmpl w:val="5F943E5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D15E86"/>
    <w:multiLevelType w:val="hybridMultilevel"/>
    <w:tmpl w:val="EFF05B2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01"/>
    <w:rsid w:val="00054AFF"/>
    <w:rsid w:val="00092059"/>
    <w:rsid w:val="000A1FFE"/>
    <w:rsid w:val="000D07F0"/>
    <w:rsid w:val="00132701"/>
    <w:rsid w:val="001570FA"/>
    <w:rsid w:val="001A548B"/>
    <w:rsid w:val="003674E0"/>
    <w:rsid w:val="00397C3A"/>
    <w:rsid w:val="00430464"/>
    <w:rsid w:val="00487A89"/>
    <w:rsid w:val="00612A3D"/>
    <w:rsid w:val="00625F10"/>
    <w:rsid w:val="00644F07"/>
    <w:rsid w:val="0067744C"/>
    <w:rsid w:val="006D58BB"/>
    <w:rsid w:val="006E1DC2"/>
    <w:rsid w:val="007D08D8"/>
    <w:rsid w:val="007F3645"/>
    <w:rsid w:val="008F4321"/>
    <w:rsid w:val="00A44BB7"/>
    <w:rsid w:val="00A572A9"/>
    <w:rsid w:val="00A7692D"/>
    <w:rsid w:val="00AF7C4A"/>
    <w:rsid w:val="00B67F5F"/>
    <w:rsid w:val="00BC0E2D"/>
    <w:rsid w:val="00C05347"/>
    <w:rsid w:val="00C73FE3"/>
    <w:rsid w:val="00E32BCE"/>
    <w:rsid w:val="00F8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0CF6C"/>
  <w15:chartTrackingRefBased/>
  <w15:docId w15:val="{E73CEE64-89CE-4AD1-A85E-A2F2A769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44C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44BB7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1570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661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</dc:creator>
  <cp:keywords/>
  <dc:description/>
  <cp:lastModifiedBy>Mathieu</cp:lastModifiedBy>
  <cp:revision>20</cp:revision>
  <dcterms:created xsi:type="dcterms:W3CDTF">2021-05-03T08:04:00Z</dcterms:created>
  <dcterms:modified xsi:type="dcterms:W3CDTF">2021-05-24T16:17:00Z</dcterms:modified>
</cp:coreProperties>
</file>