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2E0CB77E" w:rsidR="0067744C" w:rsidRPr="00CE3EC5" w:rsidRDefault="00CE3EC5" w:rsidP="0067744C">
      <w:pPr>
        <w:jc w:val="center"/>
        <w:rPr>
          <w:b/>
          <w:bCs/>
        </w:rPr>
      </w:pPr>
      <w:r>
        <w:rPr>
          <w:b/>
          <w:bCs/>
        </w:rPr>
        <w:t>Evolution et équilibre chimique</w:t>
      </w:r>
    </w:p>
    <w:p w14:paraId="7B02720C" w14:textId="4C1A49E5" w:rsidR="0067744C" w:rsidRDefault="0067744C" w:rsidP="0067744C">
      <w:pPr>
        <w:jc w:val="both"/>
      </w:pPr>
      <w:r>
        <w:t xml:space="preserve">Niveau : </w:t>
      </w:r>
      <w:r w:rsidR="00CE3EC5">
        <w:t>CPGE (</w:t>
      </w:r>
      <w:r w:rsidR="005F0F66">
        <w:t>MP</w:t>
      </w:r>
      <w:r w:rsidR="00CE3EC5">
        <w:t>)</w:t>
      </w:r>
    </w:p>
    <w:p w14:paraId="27DE2BC6" w14:textId="0F7C68F6" w:rsidR="0067744C" w:rsidRDefault="0067744C" w:rsidP="0067744C">
      <w:pPr>
        <w:jc w:val="both"/>
      </w:pPr>
      <w:r>
        <w:t xml:space="preserve">Prérequis : </w:t>
      </w:r>
      <w:r w:rsidR="005F0F66">
        <w:t xml:space="preserve">principes </w:t>
      </w:r>
      <w:r w:rsidR="00BB7BC7">
        <w:t xml:space="preserve">de la </w:t>
      </w:r>
      <w:r w:rsidR="005F0F66">
        <w:t>thermodynamique,</w:t>
      </w:r>
      <w:r w:rsidR="00EE0754">
        <w:t xml:space="preserve"> fonctions d’état</w:t>
      </w:r>
      <w:r w:rsidR="00BB7BC7">
        <w:t>,</w:t>
      </w:r>
      <w:r w:rsidR="004C11BD">
        <w:t xml:space="preserve"> relation de Guldberg</w:t>
      </w:r>
      <w:r w:rsidR="006F07AF">
        <w:t>-</w:t>
      </w:r>
      <w:r w:rsidR="004C11BD">
        <w:t>Waage,</w:t>
      </w:r>
      <w:r w:rsidR="005F0F66">
        <w:t xml:space="preserve"> réactions acido-basiques</w:t>
      </w:r>
    </w:p>
    <w:p w14:paraId="114216AF" w14:textId="0838C9C5" w:rsidR="0067744C" w:rsidRDefault="0067744C" w:rsidP="0067744C">
      <w:pPr>
        <w:jc w:val="both"/>
      </w:pPr>
      <w:r>
        <w:t xml:space="preserve">Biblio : </w:t>
      </w:r>
      <w:r w:rsidR="009E0566">
        <w:t>c</w:t>
      </w:r>
      <w:r w:rsidR="005F0F66">
        <w:t>himie Tout-en-un MP, compétences prépa PC,</w:t>
      </w:r>
      <w:r w:rsidR="006F07AF">
        <w:t xml:space="preserve"> Ribeyre chimie PC,</w:t>
      </w:r>
      <w:r w:rsidR="005F0F66">
        <w:t xml:space="preserve"> Cachau acide-base</w:t>
      </w:r>
    </w:p>
    <w:p w14:paraId="2F6D038E" w14:textId="77777777" w:rsidR="0067744C" w:rsidRDefault="0067744C" w:rsidP="0067744C">
      <w:pPr>
        <w:jc w:val="both"/>
      </w:pPr>
    </w:p>
    <w:p w14:paraId="042E191C" w14:textId="246B21A6" w:rsidR="0067744C" w:rsidRDefault="0067744C" w:rsidP="0067744C">
      <w:pPr>
        <w:jc w:val="both"/>
      </w:pPr>
      <w:r>
        <w:t>Expériences :</w:t>
      </w:r>
      <w:r w:rsidR="005F0F66">
        <w:t xml:space="preserve"> seringues</w:t>
      </w:r>
      <w:r w:rsidR="008A4EF8">
        <w:t xml:space="preserve"> (BUP)</w:t>
      </w:r>
      <w:r w:rsidR="005F0F66">
        <w:t>, pKa acide éthanoïque</w:t>
      </w:r>
    </w:p>
    <w:p w14:paraId="7785F553" w14:textId="77777777" w:rsidR="0067744C" w:rsidRDefault="0067744C" w:rsidP="0067744C">
      <w:pPr>
        <w:jc w:val="both"/>
      </w:pPr>
    </w:p>
    <w:p w14:paraId="69216D28" w14:textId="3D9D22EC" w:rsidR="0067744C" w:rsidRDefault="0067744C" w:rsidP="0067744C">
      <w:pPr>
        <w:jc w:val="both"/>
      </w:pPr>
      <w:r>
        <w:t>Intro :</w:t>
      </w:r>
      <w:r w:rsidR="008A4EF8">
        <w:t xml:space="preserve"> lorsque 2 réactions chimiques simultanées ont des effets s’annulant mutuellement on a équilibre chimique, on va en présenter un. On a placé du dioxyde d’azote dans des seringues, en équilibre permanent avec son dimère le peroxyde d’azote</w:t>
      </w:r>
      <w:r w:rsidR="00FD17AD">
        <w:t xml:space="preserve"> </w:t>
      </w:r>
      <w:r w:rsidR="00FD17AD" w:rsidRPr="00FD17AD">
        <w:rPr>
          <w:b/>
          <w:bCs/>
        </w:rPr>
        <w:t>slide</w:t>
      </w:r>
      <w:r w:rsidR="00FD17AD">
        <w:t xml:space="preserve"> l’un est roux l’autre incolore, on place une seringue dans un bain à 0°C et une autre dans un bain à 50°C et on observe une différence de couleurs indiquant une plus forte présence d’un constituant chaque cas. L’équilibre chimique est donc modifié selon la température du milieu. La composition d’un système à l’équilibre dépend de paramètres extérieurs, avant de présenter leur influence on va caractériser l’évolution vers l’état d’équilibre et décrire cet état, via des outils de thermochimie.</w:t>
      </w:r>
    </w:p>
    <w:p w14:paraId="4265890C" w14:textId="2C797945" w:rsidR="0067744C" w:rsidRDefault="0067744C" w:rsidP="0067744C">
      <w:pPr>
        <w:jc w:val="both"/>
      </w:pPr>
      <w:r>
        <w:t>I</w:t>
      </w:r>
      <w:r w:rsidR="005F0F66">
        <w:t xml:space="preserve"> – Evolution d’un système chimique</w:t>
      </w:r>
    </w:p>
    <w:p w14:paraId="4B2E2275" w14:textId="2F095C6C" w:rsidR="005F0F66" w:rsidRDefault="005F0F66" w:rsidP="005F0F66">
      <w:pPr>
        <w:pStyle w:val="Paragraphedeliste"/>
        <w:numPr>
          <w:ilvl w:val="0"/>
          <w:numId w:val="1"/>
        </w:numPr>
        <w:jc w:val="both"/>
      </w:pPr>
      <w:r>
        <w:t>Recherche d’un potentiel thermodynamique</w:t>
      </w:r>
    </w:p>
    <w:p w14:paraId="152B5A1A" w14:textId="5E0347BE" w:rsidR="00CA3738" w:rsidRPr="00757DAD" w:rsidRDefault="00CA3738" w:rsidP="00CA3738">
      <w:pPr>
        <w:pStyle w:val="Paragraphedeliste"/>
        <w:jc w:val="both"/>
        <w:rPr>
          <w:rFonts w:cstheme="minorHAnsi"/>
        </w:rPr>
      </w:pPr>
      <w:r>
        <w:t xml:space="preserve">Un potentiel thermodynamique est une fonction d’état permettant de prédire l’évolution d’un système. On fait plusieurs hypothèses pour notre étude </w:t>
      </w:r>
      <w:r w:rsidRPr="00CA3738">
        <w:rPr>
          <w:b/>
          <w:bCs/>
        </w:rPr>
        <w:t>slide</w:t>
      </w:r>
      <w:r w:rsidR="00506776">
        <w:t>, cherchons la grandeur adaptée à partir de l’identité thermo dH=TdS+VdP+</w:t>
      </w:r>
      <w:r w:rsidR="00506776">
        <w:rPr>
          <w:rFonts w:ascii="Cambria Math" w:hAnsi="Cambria Math"/>
        </w:rPr>
        <w:t>Σ</w:t>
      </w:r>
      <w:r w:rsidR="00506776">
        <w:t>i</w:t>
      </w:r>
      <w:r w:rsidR="00506776">
        <w:rPr>
          <w:rFonts w:ascii="Cambria Math" w:hAnsi="Cambria Math"/>
        </w:rPr>
        <w:t>μ</w:t>
      </w:r>
      <w:r w:rsidR="00506776">
        <w:t>idni, en fait on travaille à T et P fixes donc la grandeur intéressante est l’enthalpie libre G=H-TS soit dG=VdP-SdT+</w:t>
      </w:r>
      <w:r w:rsidR="00506776">
        <w:rPr>
          <w:rFonts w:ascii="Cambria Math" w:hAnsi="Cambria Math"/>
        </w:rPr>
        <w:t>Σ</w:t>
      </w:r>
      <w:r w:rsidR="00506776">
        <w:t>i</w:t>
      </w:r>
      <w:r w:rsidR="00506776">
        <w:rPr>
          <w:rFonts w:ascii="Cambria Math" w:hAnsi="Cambria Math"/>
        </w:rPr>
        <w:t>μ</w:t>
      </w:r>
      <w:r w:rsidR="00506776">
        <w:t>idni</w:t>
      </w:r>
      <w:r w:rsidR="00506776">
        <w:t xml:space="preserve"> (d’après l’identité d’Euler G=</w:t>
      </w:r>
      <w:r w:rsidR="00506776" w:rsidRPr="00506776">
        <w:rPr>
          <w:rFonts w:ascii="Cambria Math" w:hAnsi="Cambria Math"/>
        </w:rPr>
        <w:t xml:space="preserve"> </w:t>
      </w:r>
      <w:r w:rsidR="00506776">
        <w:rPr>
          <w:rFonts w:ascii="Cambria Math" w:hAnsi="Cambria Math"/>
        </w:rPr>
        <w:t>Σμ</w:t>
      </w:r>
      <w:r w:rsidR="00506776">
        <w:t>ini</w:t>
      </w:r>
      <w:r w:rsidR="00506776">
        <w:t xml:space="preserve">) on a donc ici </w:t>
      </w:r>
      <w:r w:rsidR="00506776">
        <w:t>dG=</w:t>
      </w:r>
      <w:r w:rsidR="00506776">
        <w:rPr>
          <w:rFonts w:ascii="Cambria Math" w:hAnsi="Cambria Math"/>
        </w:rPr>
        <w:t>Σ</w:t>
      </w:r>
      <w:r w:rsidR="00506776" w:rsidRPr="00506776">
        <w:rPr>
          <w:vertAlign w:val="subscript"/>
        </w:rPr>
        <w:t>i</w:t>
      </w:r>
      <w:r w:rsidR="00506776">
        <w:rPr>
          <w:rFonts w:ascii="Cambria Math" w:hAnsi="Cambria Math"/>
        </w:rPr>
        <w:t>μ</w:t>
      </w:r>
      <w:r w:rsidR="00506776" w:rsidRPr="00506776">
        <w:rPr>
          <w:vertAlign w:val="subscript"/>
        </w:rPr>
        <w:t>i</w:t>
      </w:r>
      <w:r w:rsidR="00506776">
        <w:t>dn</w:t>
      </w:r>
      <w:r w:rsidR="00506776" w:rsidRPr="00506776">
        <w:rPr>
          <w:vertAlign w:val="subscript"/>
        </w:rPr>
        <w:t>i</w:t>
      </w:r>
      <w:r w:rsidR="00506776" w:rsidRPr="00506776">
        <w:t>.</w:t>
      </w:r>
      <w:r w:rsidR="00506776">
        <w:t xml:space="preserve"> Premier principe : dH=</w:t>
      </w:r>
      <w:r w:rsidR="00506776">
        <w:rPr>
          <w:rFonts w:ascii="Cambria Math" w:hAnsi="Cambria Math"/>
        </w:rPr>
        <w:t>δ</w:t>
      </w:r>
      <w:r w:rsidR="00506776">
        <w:t>W</w:t>
      </w:r>
      <w:r w:rsidR="00757DAD">
        <w:t>(autres que P)+</w:t>
      </w:r>
      <w:r w:rsidR="00757DAD">
        <w:rPr>
          <w:rFonts w:ascii="Cambria Math" w:hAnsi="Cambria Math"/>
        </w:rPr>
        <w:t>δ</w:t>
      </w:r>
      <w:r w:rsidR="00757DAD">
        <w:t>Q=</w:t>
      </w:r>
      <w:r w:rsidR="00757DAD">
        <w:rPr>
          <w:rFonts w:ascii="Cambria Math" w:hAnsi="Cambria Math"/>
        </w:rPr>
        <w:t>δ</w:t>
      </w:r>
      <w:r w:rsidR="00757DAD">
        <w:t>Q. Second principe : dS=</w:t>
      </w:r>
      <w:r w:rsidR="00757DAD">
        <w:rPr>
          <w:rFonts w:ascii="Cambria Math" w:hAnsi="Cambria Math"/>
        </w:rPr>
        <w:t>δ</w:t>
      </w:r>
      <w:r w:rsidR="00757DAD">
        <w:t>Q</w:t>
      </w:r>
      <w:r w:rsidR="00757DAD">
        <w:t>/T+</w:t>
      </w:r>
      <w:r w:rsidR="00757DAD">
        <w:rPr>
          <w:rFonts w:ascii="Cambria Math" w:hAnsi="Cambria Math"/>
        </w:rPr>
        <w:t>δ</w:t>
      </w:r>
      <w:r w:rsidR="00757DAD">
        <w:t xml:space="preserve">Sc où </w:t>
      </w:r>
      <w:r w:rsidR="00757DAD">
        <w:rPr>
          <w:rFonts w:ascii="Cambria Math" w:hAnsi="Cambria Math"/>
        </w:rPr>
        <w:t>δ</w:t>
      </w:r>
      <w:r w:rsidR="00757DAD">
        <w:t>Sc</w:t>
      </w:r>
      <w:r w:rsidR="00757DAD">
        <w:rPr>
          <w:rFonts w:ascii="Cambria Math" w:hAnsi="Cambria Math"/>
        </w:rPr>
        <w:t>≥</w:t>
      </w:r>
      <w:r w:rsidR="00757DAD">
        <w:t>0 soit TdS-</w:t>
      </w:r>
      <w:r w:rsidR="00757DAD">
        <w:rPr>
          <w:rFonts w:ascii="Cambria Math" w:hAnsi="Cambria Math"/>
        </w:rPr>
        <w:t>δ</w:t>
      </w:r>
      <w:r w:rsidR="00757DAD">
        <w:t>Q</w:t>
      </w:r>
      <w:r w:rsidR="00757DAD">
        <w:rPr>
          <w:rFonts w:ascii="Cambria Math" w:hAnsi="Cambria Math"/>
        </w:rPr>
        <w:t>≥</w:t>
      </w:r>
      <w:r w:rsidR="00757DAD">
        <w:t>0</w:t>
      </w:r>
      <w:r w:rsidR="00757DAD">
        <w:t xml:space="preserve"> (égalité si réversible donc à l’équilibre par exemple). Ainsi d(H-TS)</w:t>
      </w:r>
      <w:r w:rsidR="00757DAD">
        <w:rPr>
          <w:rFonts w:ascii="Cambria Math" w:hAnsi="Cambria Math"/>
        </w:rPr>
        <w:t>≤</w:t>
      </w:r>
      <w:r w:rsidR="00757DAD">
        <w:t>0 soit dG</w:t>
      </w:r>
      <w:r w:rsidR="00757DAD">
        <w:rPr>
          <w:rFonts w:ascii="Cambria Math" w:hAnsi="Cambria Math"/>
        </w:rPr>
        <w:t xml:space="preserve">≤0, </w:t>
      </w:r>
      <w:r w:rsidR="00757DAD" w:rsidRPr="00757DAD">
        <w:rPr>
          <w:rFonts w:cstheme="minorHAnsi"/>
        </w:rPr>
        <w:t xml:space="preserve">l’enthalpie libre décroit lors d’une évolution spontanée </w:t>
      </w:r>
      <w:r w:rsidR="00757DAD">
        <w:rPr>
          <w:rFonts w:cstheme="minorHAnsi"/>
        </w:rPr>
        <w:t>et est extrêmale à l’équilibre</w:t>
      </w:r>
      <w:r w:rsidR="00BB7BC7">
        <w:rPr>
          <w:rFonts w:cstheme="minorHAnsi"/>
        </w:rPr>
        <w:t>, c’est une fonction d’état extensive.</w:t>
      </w:r>
    </w:p>
    <w:p w14:paraId="1851088F" w14:textId="6E93B20C" w:rsidR="005F0F66" w:rsidRDefault="005F0F66" w:rsidP="005F0F66">
      <w:pPr>
        <w:pStyle w:val="Paragraphedeliste"/>
        <w:numPr>
          <w:ilvl w:val="0"/>
          <w:numId w:val="1"/>
        </w:numPr>
        <w:jc w:val="both"/>
      </w:pPr>
      <w:r>
        <w:t>Critère d’évolution</w:t>
      </w:r>
      <w:r w:rsidR="009E0566">
        <w:t xml:space="preserve"> et condition d’équilibre</w:t>
      </w:r>
    </w:p>
    <w:p w14:paraId="51E1675E" w14:textId="7231815F" w:rsidR="00BB7BC7" w:rsidRPr="009E0566" w:rsidRDefault="00BB7BC7" w:rsidP="00BB7BC7">
      <w:pPr>
        <w:pStyle w:val="Paragraphedeliste"/>
        <w:jc w:val="both"/>
        <w:rPr>
          <w:rFonts w:ascii="Calibri" w:hAnsi="Calibri" w:cs="Calibri"/>
        </w:rPr>
      </w:pPr>
      <w:r>
        <w:t xml:space="preserve">L’évolution consiste donc en la diminution de l’enthalpie libre. Dans un système à l’équilibre les quantités de matière sont liées par l’avancement, on va donc utiliser une grandeur de réaction, </w:t>
      </w:r>
      <w:r>
        <w:rPr>
          <w:rFonts w:ascii="Cambria Math" w:hAnsi="Cambria Math"/>
        </w:rPr>
        <w:t>Δ</w:t>
      </w:r>
      <w:r>
        <w:t>rG=(</w:t>
      </w:r>
      <w:r>
        <w:rPr>
          <w:rFonts w:ascii="Cambria Math" w:hAnsi="Cambria Math"/>
        </w:rPr>
        <w:t>∂</w:t>
      </w:r>
      <w:r>
        <w:t>G/</w:t>
      </w:r>
      <w:r>
        <w:rPr>
          <w:rFonts w:ascii="Cambria Math" w:hAnsi="Cambria Math"/>
        </w:rPr>
        <w:t>∂</w:t>
      </w:r>
      <w:r>
        <w:rPr>
          <w:rFonts w:ascii="Cambria" w:hAnsi="Cambria"/>
        </w:rPr>
        <w:t>ξ</w:t>
      </w:r>
      <w:r>
        <w:t>)</w:t>
      </w:r>
      <w:r w:rsidRPr="00BB7BC7">
        <w:rPr>
          <w:vertAlign w:val="subscript"/>
        </w:rPr>
        <w:t>T,P</w:t>
      </w:r>
      <w:r>
        <w:t xml:space="preserve"> qui n’est pas liée à une espèce et est intensive. dG=</w:t>
      </w:r>
      <w:r>
        <w:t>VdP-SdT+</w:t>
      </w:r>
      <w:r>
        <w:rPr>
          <w:rFonts w:ascii="Cambria Math" w:hAnsi="Cambria Math"/>
        </w:rPr>
        <w:t>Δ</w:t>
      </w:r>
      <w:r>
        <w:t>rG</w:t>
      </w:r>
      <w:r>
        <w:t>d</w:t>
      </w:r>
      <w:r>
        <w:rPr>
          <w:rFonts w:ascii="Cambria" w:hAnsi="Cambria"/>
        </w:rPr>
        <w:t>ξ =</w:t>
      </w:r>
      <w:r>
        <w:rPr>
          <w:rFonts w:ascii="Cambria Math" w:hAnsi="Cambria Math"/>
        </w:rPr>
        <w:t>Δ</w:t>
      </w:r>
      <w:r>
        <w:t>rGd</w:t>
      </w:r>
      <w:r>
        <w:rPr>
          <w:rFonts w:ascii="Cambria" w:hAnsi="Cambria"/>
        </w:rPr>
        <w:t>ξ</w:t>
      </w:r>
      <w:r w:rsidRPr="00BB7BC7">
        <w:rPr>
          <w:rFonts w:ascii="Calibri" w:hAnsi="Calibri" w:cs="Calibri"/>
        </w:rPr>
        <w:t xml:space="preserve"> ici</w:t>
      </w:r>
      <w:r w:rsidR="00905997">
        <w:rPr>
          <w:rFonts w:ascii="Calibri" w:hAnsi="Calibri" w:cs="Calibri"/>
        </w:rPr>
        <w:t xml:space="preserve"> et le critère peut s’écrire </w:t>
      </w:r>
      <w:r w:rsidR="00905997" w:rsidRPr="009E0566">
        <w:rPr>
          <w:rFonts w:ascii="Cambria Math" w:hAnsi="Cambria Math"/>
          <w:b/>
          <w:bCs/>
        </w:rPr>
        <w:t>Δ</w:t>
      </w:r>
      <w:r w:rsidR="00905997" w:rsidRPr="009E0566">
        <w:rPr>
          <w:b/>
          <w:bCs/>
        </w:rPr>
        <w:t>rGd</w:t>
      </w:r>
      <w:r w:rsidR="00905997" w:rsidRPr="009E0566">
        <w:rPr>
          <w:rFonts w:ascii="Cambria" w:hAnsi="Cambria"/>
          <w:b/>
          <w:bCs/>
        </w:rPr>
        <w:t>ξ</w:t>
      </w:r>
      <w:r w:rsidR="00905997" w:rsidRPr="009E0566">
        <w:rPr>
          <w:rFonts w:ascii="Cambria" w:hAnsi="Cambria"/>
          <w:b/>
          <w:bCs/>
        </w:rPr>
        <w:t>&lt;0</w:t>
      </w:r>
      <w:r w:rsidR="009E0566">
        <w:rPr>
          <w:rFonts w:ascii="Calibri" w:hAnsi="Calibri" w:cs="Calibri"/>
        </w:rPr>
        <w:t xml:space="preserve">. Retour seringues </w:t>
      </w:r>
      <w:r w:rsidR="009E0566" w:rsidRPr="009E0566">
        <w:rPr>
          <w:rFonts w:ascii="Calibri" w:hAnsi="Calibri" w:cs="Calibri"/>
          <w:b/>
          <w:bCs/>
        </w:rPr>
        <w:t>slide</w:t>
      </w:r>
      <w:r w:rsidR="009E0566">
        <w:rPr>
          <w:rFonts w:ascii="Calibri" w:hAnsi="Calibri" w:cs="Calibri"/>
        </w:rPr>
        <w:t>, si</w:t>
      </w:r>
      <w:r w:rsidR="009E0566" w:rsidRPr="009E0566">
        <w:rPr>
          <w:rFonts w:ascii="Cambria Math" w:hAnsi="Cambria Math"/>
        </w:rPr>
        <w:t xml:space="preserve"> </w:t>
      </w:r>
      <w:r w:rsidR="009E0566">
        <w:rPr>
          <w:rFonts w:ascii="Cambria Math" w:hAnsi="Cambria Math"/>
        </w:rPr>
        <w:t>Δ</w:t>
      </w:r>
      <w:r w:rsidR="009E0566">
        <w:t>rG</w:t>
      </w:r>
      <w:r w:rsidR="009E0566">
        <w:rPr>
          <w:rFonts w:ascii="Cambria" w:hAnsi="Cambria"/>
        </w:rPr>
        <w:t>&lt;0</w:t>
      </w:r>
      <w:r w:rsidR="009E0566">
        <w:rPr>
          <w:rFonts w:ascii="Cambria" w:hAnsi="Cambria"/>
        </w:rPr>
        <w:t xml:space="preserve"> </w:t>
      </w:r>
      <w:r w:rsidR="009E0566" w:rsidRPr="009E0566">
        <w:rPr>
          <w:rFonts w:ascii="Calibri" w:hAnsi="Calibri" w:cs="Calibri"/>
        </w:rPr>
        <w:t>alors</w:t>
      </w:r>
      <w:r w:rsidR="009E0566">
        <w:rPr>
          <w:rFonts w:ascii="Cambria" w:hAnsi="Cambria"/>
        </w:rPr>
        <w:t xml:space="preserve"> </w:t>
      </w:r>
      <w:r w:rsidR="009E0566">
        <w:t>d</w:t>
      </w:r>
      <w:r w:rsidR="009E0566">
        <w:rPr>
          <w:rFonts w:ascii="Cambria" w:hAnsi="Cambria"/>
        </w:rPr>
        <w:t>ξ</w:t>
      </w:r>
      <w:r w:rsidR="009E0566">
        <w:rPr>
          <w:rFonts w:ascii="Cambria" w:hAnsi="Cambria"/>
        </w:rPr>
        <w:t>&gt;0</w:t>
      </w:r>
      <w:r w:rsidR="009E0566" w:rsidRPr="009E0566">
        <w:rPr>
          <w:rFonts w:ascii="Calibri" w:hAnsi="Calibri" w:cs="Calibri"/>
        </w:rPr>
        <w:t xml:space="preserve"> et la réaction évolue dans le sens direct</w:t>
      </w:r>
      <w:r w:rsidR="009E0566">
        <w:rPr>
          <w:rFonts w:ascii="Calibri" w:hAnsi="Calibri" w:cs="Calibri"/>
        </w:rPr>
        <w:t>,</w:t>
      </w:r>
      <w:r w:rsidR="009E0566" w:rsidRPr="009E0566">
        <w:rPr>
          <w:rFonts w:ascii="Calibri" w:hAnsi="Calibri" w:cs="Calibri"/>
        </w:rPr>
        <w:t xml:space="preserve"> </w:t>
      </w:r>
      <w:r w:rsidR="009E0566">
        <w:rPr>
          <w:rFonts w:ascii="Calibri" w:hAnsi="Calibri" w:cs="Calibri"/>
        </w:rPr>
        <w:t>si</w:t>
      </w:r>
      <w:r w:rsidR="009E0566" w:rsidRPr="009E0566">
        <w:rPr>
          <w:rFonts w:ascii="Cambria Math" w:hAnsi="Cambria Math"/>
        </w:rPr>
        <w:t xml:space="preserve"> </w:t>
      </w:r>
      <w:r w:rsidR="009E0566">
        <w:rPr>
          <w:rFonts w:ascii="Cambria Math" w:hAnsi="Cambria Math"/>
        </w:rPr>
        <w:t>Δ</w:t>
      </w:r>
      <w:r w:rsidR="009E0566">
        <w:t>rG</w:t>
      </w:r>
      <w:r w:rsidR="009E0566">
        <w:rPr>
          <w:rFonts w:ascii="Cambria" w:hAnsi="Cambria"/>
        </w:rPr>
        <w:t>&gt;</w:t>
      </w:r>
      <w:r w:rsidR="009E0566">
        <w:rPr>
          <w:rFonts w:ascii="Cambria" w:hAnsi="Cambria"/>
        </w:rPr>
        <w:t xml:space="preserve">0 </w:t>
      </w:r>
      <w:r w:rsidR="009E0566" w:rsidRPr="009E0566">
        <w:rPr>
          <w:rFonts w:ascii="Calibri" w:hAnsi="Calibri" w:cs="Calibri"/>
        </w:rPr>
        <w:t>alors</w:t>
      </w:r>
      <w:r w:rsidR="009E0566">
        <w:rPr>
          <w:rFonts w:ascii="Cambria" w:hAnsi="Cambria"/>
        </w:rPr>
        <w:t xml:space="preserve"> </w:t>
      </w:r>
      <w:r w:rsidR="009E0566">
        <w:t>d</w:t>
      </w:r>
      <w:r w:rsidR="009E0566">
        <w:rPr>
          <w:rFonts w:ascii="Cambria" w:hAnsi="Cambria"/>
        </w:rPr>
        <w:t>ξ</w:t>
      </w:r>
      <w:r w:rsidR="009E0566">
        <w:rPr>
          <w:rFonts w:ascii="Cambria" w:hAnsi="Cambria"/>
        </w:rPr>
        <w:t>&lt;</w:t>
      </w:r>
      <w:r w:rsidR="009E0566">
        <w:rPr>
          <w:rFonts w:ascii="Cambria" w:hAnsi="Cambria"/>
        </w:rPr>
        <w:t>0</w:t>
      </w:r>
      <w:r w:rsidR="009E0566" w:rsidRPr="009E0566">
        <w:rPr>
          <w:rFonts w:ascii="Calibri" w:hAnsi="Calibri" w:cs="Calibri"/>
        </w:rPr>
        <w:t xml:space="preserve"> et la réaction évolue dans le sens </w:t>
      </w:r>
      <w:r w:rsidR="009E0566">
        <w:rPr>
          <w:rFonts w:ascii="Calibri" w:hAnsi="Calibri" w:cs="Calibri"/>
        </w:rPr>
        <w:t>in</w:t>
      </w:r>
      <w:r w:rsidR="009E0566" w:rsidRPr="009E0566">
        <w:rPr>
          <w:rFonts w:ascii="Calibri" w:hAnsi="Calibri" w:cs="Calibri"/>
        </w:rPr>
        <w:t>direct</w:t>
      </w:r>
      <w:r w:rsidR="009E0566">
        <w:rPr>
          <w:rFonts w:ascii="Calibri" w:hAnsi="Calibri" w:cs="Calibri"/>
        </w:rPr>
        <w:t xml:space="preserve">, si </w:t>
      </w:r>
      <w:r w:rsidR="009E0566" w:rsidRPr="009E0566">
        <w:rPr>
          <w:rFonts w:ascii="Cambria Math" w:hAnsi="Cambria Math"/>
          <w:b/>
          <w:bCs/>
        </w:rPr>
        <w:t>Δ</w:t>
      </w:r>
      <w:r w:rsidR="009E0566" w:rsidRPr="009E0566">
        <w:rPr>
          <w:b/>
          <w:bCs/>
        </w:rPr>
        <w:t>rG</w:t>
      </w:r>
      <w:r w:rsidR="009E0566" w:rsidRPr="009E0566">
        <w:rPr>
          <w:rFonts w:ascii="Cambria" w:hAnsi="Cambria"/>
          <w:b/>
          <w:bCs/>
        </w:rPr>
        <w:t>=</w:t>
      </w:r>
      <w:r w:rsidR="009E0566" w:rsidRPr="009E0566">
        <w:rPr>
          <w:rFonts w:ascii="Cambria" w:hAnsi="Cambria"/>
          <w:b/>
          <w:bCs/>
        </w:rPr>
        <w:t>0</w:t>
      </w:r>
      <w:r w:rsidR="009E0566">
        <w:rPr>
          <w:rFonts w:ascii="Cambria" w:hAnsi="Cambria"/>
        </w:rPr>
        <w:t xml:space="preserve"> </w:t>
      </w:r>
      <w:r w:rsidR="009E0566" w:rsidRPr="009E0566">
        <w:rPr>
          <w:rFonts w:ascii="Calibri" w:hAnsi="Calibri" w:cs="Calibri"/>
        </w:rPr>
        <w:t>alors</w:t>
      </w:r>
      <w:r w:rsidR="009E0566">
        <w:rPr>
          <w:rFonts w:ascii="Calibri" w:hAnsi="Calibri" w:cs="Calibri"/>
        </w:rPr>
        <w:t xml:space="preserve"> l’équilibre est atteint, c’est la condition d’équilibre </w:t>
      </w:r>
      <w:r w:rsidR="009E0566" w:rsidRPr="009E0566">
        <w:rPr>
          <w:rFonts w:ascii="Calibri" w:hAnsi="Calibri" w:cs="Calibri"/>
          <w:b/>
          <w:bCs/>
        </w:rPr>
        <w:t>slide</w:t>
      </w:r>
      <w:r w:rsidR="009E0566">
        <w:rPr>
          <w:rFonts w:ascii="Calibri" w:hAnsi="Calibri" w:cs="Calibri"/>
          <w:b/>
          <w:bCs/>
        </w:rPr>
        <w:t xml:space="preserve"> </w:t>
      </w:r>
      <w:r w:rsidR="009E0566">
        <w:rPr>
          <w:rFonts w:ascii="Calibri" w:hAnsi="Calibri" w:cs="Calibri"/>
        </w:rPr>
        <w:t xml:space="preserve">(si il y a 2 équilibres couplés alors la condition est </w:t>
      </w:r>
      <w:r w:rsidR="009E0566">
        <w:rPr>
          <w:rFonts w:ascii="Cambria Math" w:hAnsi="Cambria Math"/>
        </w:rPr>
        <w:t>Δ</w:t>
      </w:r>
      <w:r w:rsidR="009E0566">
        <w:t>rG</w:t>
      </w:r>
      <w:r w:rsidR="00E14D24">
        <w:t>1</w:t>
      </w:r>
      <w:r w:rsidR="009E0566">
        <w:t>d</w:t>
      </w:r>
      <w:r w:rsidR="009E0566">
        <w:rPr>
          <w:rFonts w:ascii="Cambria" w:hAnsi="Cambria"/>
        </w:rPr>
        <w:t>ξ</w:t>
      </w:r>
      <w:r w:rsidR="00E14D24">
        <w:rPr>
          <w:rFonts w:ascii="Cambria" w:hAnsi="Cambria"/>
        </w:rPr>
        <w:t>1</w:t>
      </w:r>
      <w:r w:rsidR="009E0566">
        <w:rPr>
          <w:rFonts w:ascii="Cambria" w:hAnsi="Cambria"/>
        </w:rPr>
        <w:t>+</w:t>
      </w:r>
      <w:r w:rsidR="009E0566">
        <w:rPr>
          <w:rFonts w:ascii="Cambria Math" w:hAnsi="Cambria Math"/>
        </w:rPr>
        <w:t>Δ</w:t>
      </w:r>
      <w:r w:rsidR="009E0566">
        <w:t>rG</w:t>
      </w:r>
      <w:r w:rsidR="00E14D24">
        <w:t>2</w:t>
      </w:r>
      <w:r w:rsidR="009E0566">
        <w:t>d</w:t>
      </w:r>
      <w:r w:rsidR="009E0566">
        <w:rPr>
          <w:rFonts w:ascii="Cambria" w:hAnsi="Cambria"/>
        </w:rPr>
        <w:t>ξ</w:t>
      </w:r>
      <w:r w:rsidR="00E14D24">
        <w:rPr>
          <w:rFonts w:ascii="Cambria" w:hAnsi="Cambria"/>
        </w:rPr>
        <w:t>2&lt;0</w:t>
      </w:r>
      <w:r w:rsidR="00E14D24" w:rsidRPr="00E14D24">
        <w:rPr>
          <w:rFonts w:cstheme="minorHAnsi"/>
        </w:rPr>
        <w:t>)</w:t>
      </w:r>
      <w:r w:rsidR="00E14D24">
        <w:rPr>
          <w:rFonts w:cstheme="minorHAnsi"/>
        </w:rPr>
        <w:t>. L’expression de l’enthalpie libre de réaction est donc cruciale pour déterminer l’évolution d’un système et on va chercher à l’exprimer en fonction de ses constituants pour connaître le sens d’évolution en fonction des concentrations mises en jeu.</w:t>
      </w:r>
    </w:p>
    <w:p w14:paraId="4C477251" w14:textId="0EE2ED8E" w:rsidR="0067744C" w:rsidRDefault="0067744C" w:rsidP="0067744C">
      <w:pPr>
        <w:jc w:val="both"/>
      </w:pPr>
      <w:r>
        <w:t>II</w:t>
      </w:r>
      <w:r w:rsidR="005F0F66">
        <w:t xml:space="preserve"> – Caractérisation de l’équilibre</w:t>
      </w:r>
    </w:p>
    <w:p w14:paraId="32C008AC" w14:textId="6CF80B32" w:rsidR="005F0F66" w:rsidRDefault="005F0F66" w:rsidP="005F0F66">
      <w:pPr>
        <w:pStyle w:val="Paragraphedeliste"/>
        <w:numPr>
          <w:ilvl w:val="0"/>
          <w:numId w:val="2"/>
        </w:numPr>
        <w:jc w:val="both"/>
      </w:pPr>
      <w:r>
        <w:t>Constante d’équilibre</w:t>
      </w:r>
    </w:p>
    <w:p w14:paraId="02D2738E" w14:textId="74D7CC30" w:rsidR="00FD1FF3" w:rsidRPr="004C11BD" w:rsidRDefault="00FD1FF3" w:rsidP="00FD1FF3">
      <w:pPr>
        <w:pStyle w:val="Paragraphedeliste"/>
        <w:jc w:val="both"/>
      </w:pPr>
      <w:r>
        <w:t xml:space="preserve">En notant la réaction </w:t>
      </w:r>
      <w:r>
        <w:rPr>
          <w:rFonts w:ascii="Cambria Math" w:hAnsi="Cambria Math"/>
        </w:rPr>
        <w:t>Σ</w:t>
      </w:r>
      <w:r w:rsidRPr="00506776">
        <w:rPr>
          <w:vertAlign w:val="subscript"/>
        </w:rPr>
        <w:t>i</w:t>
      </w:r>
      <w:r w:rsidRPr="00FD1FF3">
        <w:rPr>
          <w:rFonts w:ascii="Cambria" w:hAnsi="Cambria"/>
        </w:rPr>
        <w:t>ν</w:t>
      </w:r>
      <w:r w:rsidRPr="00506776">
        <w:rPr>
          <w:vertAlign w:val="subscript"/>
        </w:rPr>
        <w:t>i</w:t>
      </w:r>
      <w:r>
        <w:t>A</w:t>
      </w:r>
      <w:r w:rsidRPr="00FD1FF3">
        <w:rPr>
          <w:vertAlign w:val="subscript"/>
        </w:rPr>
        <w:t>i</w:t>
      </w:r>
      <w:r>
        <w:t xml:space="preserve">=0 avec </w:t>
      </w:r>
      <w:r w:rsidRPr="00FD1FF3">
        <w:rPr>
          <w:rFonts w:ascii="Cambria" w:hAnsi="Cambria"/>
        </w:rPr>
        <w:t>ν</w:t>
      </w:r>
      <w:r w:rsidRPr="00506776">
        <w:rPr>
          <w:vertAlign w:val="subscript"/>
        </w:rPr>
        <w:t>i</w:t>
      </w:r>
      <w:r>
        <w:rPr>
          <w:vertAlign w:val="subscript"/>
        </w:rPr>
        <w:t xml:space="preserve"> </w:t>
      </w:r>
      <w:r>
        <w:t xml:space="preserve">les coefficients stœchiométriques algébriques on a </w:t>
      </w:r>
      <w:r>
        <w:t>d</w:t>
      </w:r>
      <w:r>
        <w:rPr>
          <w:rFonts w:ascii="Cambria" w:hAnsi="Cambria"/>
        </w:rPr>
        <w:t>ξ</w:t>
      </w:r>
      <w:r>
        <w:rPr>
          <w:rFonts w:ascii="Cambria" w:hAnsi="Cambria"/>
        </w:rPr>
        <w:t>=</w:t>
      </w:r>
      <w:r>
        <w:t>dn</w:t>
      </w:r>
      <w:r w:rsidRPr="00506776">
        <w:rPr>
          <w:vertAlign w:val="subscript"/>
        </w:rPr>
        <w:t>i</w:t>
      </w:r>
      <w:r>
        <w:t>/</w:t>
      </w:r>
      <w:r w:rsidRPr="00FD1FF3">
        <w:rPr>
          <w:rFonts w:ascii="Cambria" w:hAnsi="Cambria"/>
        </w:rPr>
        <w:t>ν</w:t>
      </w:r>
      <w:r w:rsidRPr="00506776">
        <w:rPr>
          <w:vertAlign w:val="subscript"/>
        </w:rPr>
        <w:t>i</w:t>
      </w:r>
      <w:r>
        <w:t xml:space="preserve"> (on peut le montrer pour l’équilibre étudié) </w:t>
      </w:r>
      <w:r w:rsidR="004C11BD">
        <w:t>puis</w:t>
      </w:r>
      <w:r>
        <w:t xml:space="preserve"> </w:t>
      </w:r>
      <w:r>
        <w:rPr>
          <w:rFonts w:ascii="Cambria Math" w:hAnsi="Cambria Math"/>
        </w:rPr>
        <w:t>Δ</w:t>
      </w:r>
      <w:r>
        <w:t>rG</w:t>
      </w:r>
      <w:r>
        <w:t>=</w:t>
      </w:r>
      <w:r>
        <w:t>dG</w:t>
      </w:r>
      <w:r>
        <w:t>/</w:t>
      </w:r>
      <w:r>
        <w:t>d</w:t>
      </w:r>
      <w:r>
        <w:rPr>
          <w:rFonts w:ascii="Cambria" w:hAnsi="Cambria"/>
        </w:rPr>
        <w:t>ξ</w:t>
      </w:r>
      <w:r>
        <w:rPr>
          <w:rFonts w:ascii="Cambria" w:hAnsi="Cambria"/>
        </w:rPr>
        <w:t>=</w:t>
      </w:r>
      <w:r>
        <w:rPr>
          <w:rFonts w:ascii="Cambria Math" w:hAnsi="Cambria Math"/>
        </w:rPr>
        <w:t>Σ</w:t>
      </w:r>
      <w:r w:rsidRPr="00506776">
        <w:rPr>
          <w:vertAlign w:val="subscript"/>
        </w:rPr>
        <w:t>i</w:t>
      </w:r>
      <w:r>
        <w:rPr>
          <w:rFonts w:ascii="Cambria Math" w:hAnsi="Cambria Math"/>
        </w:rPr>
        <w:t>μ</w:t>
      </w:r>
      <w:r w:rsidRPr="00506776">
        <w:rPr>
          <w:vertAlign w:val="subscript"/>
        </w:rPr>
        <w:t>i</w:t>
      </w:r>
      <w:r>
        <w:t>dn</w:t>
      </w:r>
      <w:r w:rsidRPr="00506776">
        <w:rPr>
          <w:vertAlign w:val="subscript"/>
        </w:rPr>
        <w:t>i</w:t>
      </w:r>
      <w:r w:rsidRPr="00FD1FF3">
        <w:rPr>
          <w:rFonts w:ascii="Cambria" w:hAnsi="Cambria"/>
        </w:rPr>
        <w:t>ν</w:t>
      </w:r>
      <w:r w:rsidRPr="00506776">
        <w:rPr>
          <w:vertAlign w:val="subscript"/>
        </w:rPr>
        <w:t>i</w:t>
      </w:r>
      <w:r>
        <w:t>/</w:t>
      </w:r>
      <w:r>
        <w:t>dn</w:t>
      </w:r>
      <w:r w:rsidRPr="00506776">
        <w:rPr>
          <w:vertAlign w:val="subscript"/>
        </w:rPr>
        <w:t>i</w:t>
      </w:r>
      <w:r>
        <w:t>=</w:t>
      </w:r>
      <w:r>
        <w:rPr>
          <w:rFonts w:ascii="Cambria Math" w:hAnsi="Cambria Math"/>
        </w:rPr>
        <w:t>Σ</w:t>
      </w:r>
      <w:r w:rsidRPr="00506776">
        <w:rPr>
          <w:vertAlign w:val="subscript"/>
        </w:rPr>
        <w:t>i</w:t>
      </w:r>
      <w:r w:rsidR="004C11BD" w:rsidRPr="00FD1FF3">
        <w:rPr>
          <w:rFonts w:ascii="Cambria" w:hAnsi="Cambria"/>
        </w:rPr>
        <w:t>ν</w:t>
      </w:r>
      <w:r w:rsidR="004C11BD" w:rsidRPr="00506776">
        <w:rPr>
          <w:vertAlign w:val="subscript"/>
        </w:rPr>
        <w:t>i</w:t>
      </w:r>
      <w:r>
        <w:rPr>
          <w:rFonts w:ascii="Cambria Math" w:hAnsi="Cambria Math"/>
        </w:rPr>
        <w:t>μ</w:t>
      </w:r>
      <w:r w:rsidRPr="00506776">
        <w:rPr>
          <w:vertAlign w:val="subscript"/>
        </w:rPr>
        <w:t>i</w:t>
      </w:r>
      <w:r w:rsidR="004C11BD">
        <w:t xml:space="preserve">. On montre alors à partir de </w:t>
      </w:r>
      <w:r w:rsidR="004C11BD">
        <w:rPr>
          <w:rFonts w:ascii="Cambria Math" w:hAnsi="Cambria Math"/>
        </w:rPr>
        <w:t>μ</w:t>
      </w:r>
      <w:r w:rsidR="004C11BD">
        <w:t>i=</w:t>
      </w:r>
      <w:r w:rsidR="004C11BD">
        <w:rPr>
          <w:rFonts w:ascii="Cambria Math" w:hAnsi="Cambria Math"/>
        </w:rPr>
        <w:t>μ</w:t>
      </w:r>
      <w:r w:rsidR="004C11BD">
        <w:t>i</w:t>
      </w:r>
      <w:r w:rsidR="004C11BD">
        <w:t>°</w:t>
      </w:r>
      <w:r w:rsidR="004C11BD">
        <w:t>+RTln</w:t>
      </w:r>
      <w:r w:rsidR="004C11BD">
        <w:t xml:space="preserve">(ai) que </w:t>
      </w:r>
      <w:r w:rsidR="004C11BD">
        <w:rPr>
          <w:rFonts w:ascii="Cambria Math" w:hAnsi="Cambria Math"/>
        </w:rPr>
        <w:t>Δ</w:t>
      </w:r>
      <w:r w:rsidR="004C11BD">
        <w:t>rG</w:t>
      </w:r>
      <w:r w:rsidR="004C11BD">
        <w:t xml:space="preserve">(T, P, </w:t>
      </w:r>
      <w:r w:rsidR="004C11BD">
        <w:rPr>
          <w:rFonts w:ascii="Cambria" w:hAnsi="Cambria"/>
        </w:rPr>
        <w:t>ξ</w:t>
      </w:r>
      <w:r w:rsidR="004C11BD">
        <w:t>)</w:t>
      </w:r>
      <w:r w:rsidR="004C11BD">
        <w:t>=</w:t>
      </w:r>
      <w:r w:rsidR="004C11BD">
        <w:rPr>
          <w:rFonts w:ascii="Cambria Math" w:hAnsi="Cambria Math"/>
        </w:rPr>
        <w:t>Δ</w:t>
      </w:r>
      <w:r w:rsidR="004C11BD">
        <w:t>rG</w:t>
      </w:r>
      <w:r w:rsidR="004C11BD">
        <w:t xml:space="preserve">°(T)+RTln(Qr) et donc à l’équilibre </w:t>
      </w:r>
      <w:r w:rsidR="004C11BD">
        <w:rPr>
          <w:rFonts w:ascii="Cambria Math" w:hAnsi="Cambria Math"/>
        </w:rPr>
        <w:lastRenderedPageBreak/>
        <w:t>Δ</w:t>
      </w:r>
      <w:r w:rsidR="004C11BD">
        <w:t>rG°</w:t>
      </w:r>
      <w:r w:rsidR="004C11BD">
        <w:t xml:space="preserve">=-RTln(Qr,eq)=-RTlnK° où on retrouve la constante d’équilibre qui ne dépend que de T et </w:t>
      </w:r>
      <w:r w:rsidR="004C11BD">
        <w:rPr>
          <w:rFonts w:ascii="Cambria Math" w:hAnsi="Cambria Math"/>
        </w:rPr>
        <w:t>Δ</w:t>
      </w:r>
      <w:r w:rsidR="004C11BD">
        <w:t>rG</w:t>
      </w:r>
      <w:r w:rsidR="004C11BD">
        <w:t>=RTln(Qr/K°). On va vérif</w:t>
      </w:r>
      <w:r w:rsidR="006F07AF">
        <w:t>ier cette expression en mesurant la constante d’acidité (équilibre de la réaction sur l’eau) de l’acide acétique. On peut réécrire le critère d’évolution sur un axe avec Qr et K°. Maintenant on peut se demander quels paramètres fixent un équilibre.</w:t>
      </w:r>
    </w:p>
    <w:p w14:paraId="35E6F3C0" w14:textId="1519E435" w:rsidR="005F0F66" w:rsidRDefault="005F0F66" w:rsidP="005F0F66">
      <w:pPr>
        <w:pStyle w:val="Paragraphedeliste"/>
        <w:numPr>
          <w:ilvl w:val="0"/>
          <w:numId w:val="2"/>
        </w:numPr>
        <w:jc w:val="both"/>
      </w:pPr>
      <w:r>
        <w:t>Variance</w:t>
      </w:r>
    </w:p>
    <w:p w14:paraId="1D5482C6" w14:textId="5BCC427D" w:rsidR="008A4EF8" w:rsidRDefault="008A4EF8" w:rsidP="008A4EF8">
      <w:pPr>
        <w:pStyle w:val="Paragraphedeliste"/>
        <w:jc w:val="both"/>
      </w:pPr>
      <w:r>
        <w:t>N</w:t>
      </w:r>
      <w:r>
        <w:t xml:space="preserve">ombre maximal de paramètres intensifs indépendants que l’opérateur est libre de fixer. </w:t>
      </w:r>
      <w:r w:rsidR="002C1D98">
        <w:t>Si</w:t>
      </w:r>
      <w:r w:rsidR="002C1D98">
        <w:t xml:space="preserve"> </w:t>
      </w:r>
      <w:r w:rsidR="002C1D98">
        <w:t>on modifie les conditions opératoires qui ont permis d’établir un équilibre</w:t>
      </w:r>
      <w:r w:rsidR="002C1D98">
        <w:t xml:space="preserve"> </w:t>
      </w:r>
      <w:r w:rsidR="002C1D98">
        <w:t>mais</w:t>
      </w:r>
      <w:r w:rsidR="002C1D98">
        <w:t xml:space="preserve"> </w:t>
      </w:r>
      <w:r w:rsidR="002C1D98">
        <w:t>que les</w:t>
      </w:r>
      <w:r w:rsidR="002C1D98">
        <w:t xml:space="preserve"> </w:t>
      </w:r>
      <w:r w:rsidR="002C1D98">
        <w:t>espèces chimiques et les phases présentes sont les mêmes avant et après les modifications, il y</w:t>
      </w:r>
      <w:r w:rsidR="002C1D98">
        <w:t xml:space="preserve"> </w:t>
      </w:r>
      <w:r w:rsidR="002C1D98">
        <w:t>a déplacement d’équilibre</w:t>
      </w:r>
      <w:r w:rsidR="002C1D98">
        <w:t xml:space="preserve">, sinon </w:t>
      </w:r>
      <w:r w:rsidR="002C1D98">
        <w:t>il y a rupture d’équilibre</w:t>
      </w:r>
      <w:r w:rsidR="002C1D98">
        <w:t xml:space="preserve">. </w:t>
      </w:r>
      <w:r>
        <w:t>Si on a X paramètres intensifs et Y relations entre ces paramètres, v = X-Y (=2+n-r-p-phi hors programme).</w:t>
      </w:r>
      <w:r w:rsidR="002C1D98">
        <w:t xml:space="preserve"> Dans le cas du dioxyde d’azote, T, P, PNO2, PN2O4 donc X=4, P</w:t>
      </w:r>
      <w:r w:rsidR="002C1D98">
        <w:t>NO2</w:t>
      </w:r>
      <w:r w:rsidR="002C1D98">
        <w:t>+P</w:t>
      </w:r>
      <w:r w:rsidR="002C1D98">
        <w:t>N2O4</w:t>
      </w:r>
      <w:r w:rsidR="002C1D98">
        <w:t>=1 et réaction donc Y=2 soit v=4. On peut donc faire varier 2 paramètres</w:t>
      </w:r>
      <w:r w:rsidR="0023096A">
        <w:t xml:space="preserve"> sans rompre l’équilibre, par exemple des pressions partielles.</w:t>
      </w:r>
      <w:r w:rsidR="006F07AF">
        <w:t xml:space="preserve"> On a un critère d’évolution et on peut décrire les équilibres mais on peut aussi les modifier en jouant sur des paramètres comme on l’a vu en introduction, logique car K° dépend de T.</w:t>
      </w:r>
    </w:p>
    <w:p w14:paraId="6BF968E9" w14:textId="2E912B75" w:rsidR="0067744C" w:rsidRDefault="0067744C" w:rsidP="0067744C">
      <w:pPr>
        <w:jc w:val="both"/>
      </w:pPr>
      <w:r>
        <w:t>III</w:t>
      </w:r>
      <w:r w:rsidR="005F0F66">
        <w:t xml:space="preserve"> – Déplacement d’équilibre</w:t>
      </w:r>
    </w:p>
    <w:p w14:paraId="123CE878" w14:textId="461F8AC1" w:rsidR="005F0F66" w:rsidRDefault="005F0F66" w:rsidP="005F0F66">
      <w:pPr>
        <w:pStyle w:val="Paragraphedeliste"/>
        <w:numPr>
          <w:ilvl w:val="0"/>
          <w:numId w:val="3"/>
        </w:numPr>
        <w:jc w:val="both"/>
      </w:pPr>
      <w:r>
        <w:t>Influence de la température</w:t>
      </w:r>
    </w:p>
    <w:p w14:paraId="431AE3AE" w14:textId="29F1DFC4" w:rsidR="006F07AF" w:rsidRPr="00205D8C" w:rsidRDefault="006F07AF" w:rsidP="00205D8C">
      <w:pPr>
        <w:pStyle w:val="Paragraphedeliste"/>
        <w:jc w:val="both"/>
        <w:rPr>
          <w:rFonts w:ascii="Cambria Math" w:hAnsi="Cambria Math"/>
        </w:rPr>
      </w:pPr>
      <w:r w:rsidRPr="00205D8C">
        <w:rPr>
          <w:lang w:val="en-GB"/>
        </w:rPr>
        <w:t>On a lnK°=-</w:t>
      </w:r>
      <w:r w:rsidRPr="006F07AF">
        <w:rPr>
          <w:rFonts w:ascii="Cambria Math" w:hAnsi="Cambria Math"/>
        </w:rPr>
        <w:t>Δ</w:t>
      </w:r>
      <w:r w:rsidRPr="00205D8C">
        <w:rPr>
          <w:lang w:val="en-GB"/>
        </w:rPr>
        <w:t>rG°</w:t>
      </w:r>
      <w:r w:rsidRPr="00205D8C">
        <w:rPr>
          <w:lang w:val="en-GB"/>
        </w:rPr>
        <w:t xml:space="preserve">/(RT), </w:t>
      </w:r>
      <w:r w:rsidRPr="006F07AF">
        <w:rPr>
          <w:rFonts w:ascii="Cambria Math" w:hAnsi="Cambria Math"/>
        </w:rPr>
        <w:t>Δ</w:t>
      </w:r>
      <w:r w:rsidRPr="00205D8C">
        <w:rPr>
          <w:lang w:val="en-GB"/>
        </w:rPr>
        <w:t>rG°</w:t>
      </w:r>
      <w:r w:rsidRPr="00205D8C">
        <w:rPr>
          <w:lang w:val="en-GB"/>
        </w:rPr>
        <w:t>=</w:t>
      </w:r>
      <w:r w:rsidR="00205D8C" w:rsidRPr="00205D8C">
        <w:rPr>
          <w:rFonts w:ascii="Cambria Math" w:hAnsi="Cambria Math"/>
        </w:rPr>
        <w:t>Δ</w:t>
      </w:r>
      <w:r w:rsidR="00205D8C" w:rsidRPr="00205D8C">
        <w:rPr>
          <w:lang w:val="en-GB"/>
        </w:rPr>
        <w:t>r</w:t>
      </w:r>
      <w:r w:rsidR="00205D8C" w:rsidRPr="00205D8C">
        <w:rPr>
          <w:lang w:val="en-GB"/>
        </w:rPr>
        <w:t>H</w:t>
      </w:r>
      <w:r w:rsidR="00205D8C" w:rsidRPr="00205D8C">
        <w:rPr>
          <w:lang w:val="en-GB"/>
        </w:rPr>
        <w:t>°</w:t>
      </w:r>
      <w:r w:rsidR="00205D8C" w:rsidRPr="00205D8C">
        <w:rPr>
          <w:lang w:val="en-GB"/>
        </w:rPr>
        <w:t>-T</w:t>
      </w:r>
      <w:r w:rsidR="00205D8C" w:rsidRPr="00205D8C">
        <w:rPr>
          <w:rFonts w:ascii="Cambria Math" w:hAnsi="Cambria Math"/>
        </w:rPr>
        <w:t>Δ</w:t>
      </w:r>
      <w:r w:rsidR="00205D8C" w:rsidRPr="00205D8C">
        <w:rPr>
          <w:lang w:val="en-GB"/>
        </w:rPr>
        <w:t>r</w:t>
      </w:r>
      <w:r w:rsidR="00205D8C" w:rsidRPr="00205D8C">
        <w:rPr>
          <w:lang w:val="en-GB"/>
        </w:rPr>
        <w:t>S</w:t>
      </w:r>
      <w:r w:rsidR="00205D8C" w:rsidRPr="00205D8C">
        <w:rPr>
          <w:lang w:val="en-GB"/>
        </w:rPr>
        <w:t>°</w:t>
      </w:r>
      <w:r w:rsidR="00205D8C" w:rsidRPr="00205D8C">
        <w:rPr>
          <w:lang w:val="en-GB"/>
        </w:rPr>
        <w:t>, approximation d’Elling</w:t>
      </w:r>
      <w:r w:rsidR="00205D8C">
        <w:rPr>
          <w:lang w:val="en-GB"/>
        </w:rPr>
        <w:t xml:space="preserve">ham. </w:t>
      </w:r>
      <w:r w:rsidR="00205D8C" w:rsidRPr="00205D8C">
        <w:t>On obtient la loi de Van’t Hoff : dlnK/dT=</w:t>
      </w:r>
      <w:r w:rsidR="00205D8C" w:rsidRPr="006F07AF">
        <w:rPr>
          <w:rFonts w:ascii="Cambria Math" w:hAnsi="Cambria Math"/>
        </w:rPr>
        <w:t>Δ</w:t>
      </w:r>
      <w:r w:rsidR="00205D8C" w:rsidRPr="00205D8C">
        <w:t>r</w:t>
      </w:r>
      <w:r w:rsidR="00205D8C">
        <w:t>H</w:t>
      </w:r>
      <w:r w:rsidR="00205D8C" w:rsidRPr="00205D8C">
        <w:t>°/(RT</w:t>
      </w:r>
      <w:r w:rsidR="00205D8C" w:rsidRPr="00205D8C">
        <w:rPr>
          <w:vertAlign w:val="superscript"/>
        </w:rPr>
        <w:t>2</w:t>
      </w:r>
      <w:r w:rsidR="00205D8C" w:rsidRPr="00205D8C">
        <w:t>)</w:t>
      </w:r>
      <w:r w:rsidR="00205D8C">
        <w:t>, pour une réaction endothermique</w:t>
      </w:r>
      <w:r w:rsidR="00205D8C" w:rsidRPr="00205D8C">
        <w:rPr>
          <w:rFonts w:ascii="Cambria Math" w:hAnsi="Cambria Math"/>
        </w:rPr>
        <w:t xml:space="preserve"> </w:t>
      </w:r>
      <w:r w:rsidR="00205D8C" w:rsidRPr="006F07AF">
        <w:rPr>
          <w:rFonts w:ascii="Cambria Math" w:hAnsi="Cambria Math"/>
        </w:rPr>
        <w:t>Δ</w:t>
      </w:r>
      <w:r w:rsidR="00205D8C" w:rsidRPr="00205D8C">
        <w:t>r</w:t>
      </w:r>
      <w:r w:rsidR="00205D8C">
        <w:t>H</w:t>
      </w:r>
      <w:r w:rsidR="00205D8C" w:rsidRPr="00205D8C">
        <w:t>°</w:t>
      </w:r>
      <w:r w:rsidR="00205D8C">
        <w:t xml:space="preserve">&gt;0 donc K augmente avec T et pour une réaction exothermique </w:t>
      </w:r>
      <w:r w:rsidR="00205D8C" w:rsidRPr="006F07AF">
        <w:rPr>
          <w:rFonts w:ascii="Cambria Math" w:hAnsi="Cambria Math"/>
        </w:rPr>
        <w:t>Δ</w:t>
      </w:r>
      <w:r w:rsidR="00205D8C" w:rsidRPr="00205D8C">
        <w:t>r</w:t>
      </w:r>
      <w:r w:rsidR="00205D8C">
        <w:t>H</w:t>
      </w:r>
      <w:r w:rsidR="00205D8C" w:rsidRPr="00205D8C">
        <w:t>°</w:t>
      </w:r>
      <w:r w:rsidR="00205D8C">
        <w:t>&lt;0 donc K diminue avec T</w:t>
      </w:r>
      <w:r w:rsidR="00413875">
        <w:t>. Une augmentation de température à pression constante</w:t>
      </w:r>
      <w:r w:rsidR="00805E11">
        <w:t xml:space="preserve"> déplace l’équilibre dans le sens qui </w:t>
      </w:r>
      <w:r w:rsidR="00805E11" w:rsidRPr="00805E11">
        <w:rPr>
          <w:b/>
          <w:bCs/>
        </w:rPr>
        <w:t>s’oppose</w:t>
      </w:r>
      <w:r w:rsidR="00805E11">
        <w:t xml:space="preserve"> à cette augmentation, le sens endothermique. Exemple expérience gaz et solubilité.</w:t>
      </w:r>
    </w:p>
    <w:p w14:paraId="163196FF" w14:textId="3F221C0C" w:rsidR="005F0F66" w:rsidRDefault="005F0F66" w:rsidP="005F0F66">
      <w:pPr>
        <w:pStyle w:val="Paragraphedeliste"/>
        <w:numPr>
          <w:ilvl w:val="0"/>
          <w:numId w:val="3"/>
        </w:numPr>
        <w:jc w:val="both"/>
      </w:pPr>
      <w:r>
        <w:t>Influence de la pression</w:t>
      </w:r>
    </w:p>
    <w:p w14:paraId="1A9ADAE5" w14:textId="3EF45FFA" w:rsidR="00805E11" w:rsidRDefault="00805E11" w:rsidP="00805E11">
      <w:pPr>
        <w:pStyle w:val="Paragraphedeliste"/>
        <w:jc w:val="both"/>
      </w:pPr>
      <w:r>
        <w:t xml:space="preserve">Autre paramètre qu’on peut mettre en évidence avec les seringues </w:t>
      </w:r>
      <w:r w:rsidRPr="00805E11">
        <w:rPr>
          <w:b/>
          <w:bCs/>
        </w:rPr>
        <w:t>slide</w:t>
      </w:r>
      <w:r>
        <w:t xml:space="preserve">. Si la pression augmente, l’équilibre est déplacé dans le sens de la diminution de quantité de matière gazeuse et inversement. Loi de </w:t>
      </w:r>
      <w:r w:rsidRPr="00805E11">
        <w:rPr>
          <w:b/>
          <w:bCs/>
        </w:rPr>
        <w:t>modération</w:t>
      </w:r>
      <w:r>
        <w:t> : lorsqu’un équilibre est perturbé, l’équilibre réagit afin de s’opposer à la perturbation.</w:t>
      </w:r>
    </w:p>
    <w:p w14:paraId="5A3AAA87" w14:textId="34E83D1F" w:rsidR="0067744C" w:rsidRDefault="0067744C" w:rsidP="0067744C">
      <w:pPr>
        <w:jc w:val="both"/>
      </w:pPr>
      <w:r>
        <w:t>Conclusion :</w:t>
      </w:r>
      <w:r w:rsidR="00424800">
        <w:t xml:space="preserve"> à l’aide d’outils de thermochimie on a décrit l’équilibre chimique et donné des critères d’évolution. On a aussi montré l’importance des déplacements d’équilibres </w:t>
      </w:r>
      <w:r w:rsidR="00424800" w:rsidRPr="00424800">
        <w:rPr>
          <w:b/>
          <w:bCs/>
        </w:rPr>
        <w:t>slide</w:t>
      </w:r>
      <w:r w:rsidR="00424800">
        <w:t>. On comprend pourquoi le chauffage ou le refroidissement est source d’augmentation du rendement des réactions mais il y a aussi les aspects cinétiques à prendre en compte. Influence de la pression pour le procédé Haber-Bosch, Dean-Stark pour déplacer équilibre (en éliminant l’eau lors d’une estérification on déplace l’équilibre dans le sens de formation des produits)</w:t>
      </w:r>
      <w:r w:rsidR="008953FF">
        <w:t>, montrer le montage</w:t>
      </w:r>
      <w:r w:rsidR="00424800">
        <w:t>, mais aussi aspects négatifs car certaines précipitations sont endothermiques.</w:t>
      </w:r>
    </w:p>
    <w:p w14:paraId="17ACEEDD" w14:textId="77777777" w:rsidR="0067744C" w:rsidRDefault="0067744C" w:rsidP="0067744C">
      <w:pPr>
        <w:jc w:val="both"/>
      </w:pPr>
    </w:p>
    <w:p w14:paraId="60544463" w14:textId="76A7DF75" w:rsidR="0067744C" w:rsidRDefault="0067744C" w:rsidP="0067744C">
      <w:pPr>
        <w:jc w:val="both"/>
      </w:pPr>
      <w:r>
        <w:t>Questions :</w:t>
      </w:r>
      <w:r w:rsidR="008953FF">
        <w:t xml:space="preserve"> dangers, équilibre thermodynamique, système fermé, mesures, réaction où on veut déplacer l’équilibre vers les réactifs, Ellingham, variation de pression, gaz parfait, activités, profil réactionnel, Haber-Bosch, pH-mètre, réaction favorisée à basse température, ajout de réactif, réaction athermique</w:t>
      </w:r>
      <w:r w:rsidR="00F06CED">
        <w:t>, hypothèses, pKa, entropie, grandeurs standards, titrage.</w:t>
      </w:r>
    </w:p>
    <w:p w14:paraId="18108038" w14:textId="77777777" w:rsidR="00132701" w:rsidRDefault="00132701"/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248DF"/>
    <w:multiLevelType w:val="hybridMultilevel"/>
    <w:tmpl w:val="6D3041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321844"/>
    <w:multiLevelType w:val="hybridMultilevel"/>
    <w:tmpl w:val="326EF0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338AE"/>
    <w:multiLevelType w:val="hybridMultilevel"/>
    <w:tmpl w:val="ECDC3B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132701"/>
    <w:rsid w:val="00205D8C"/>
    <w:rsid w:val="0023096A"/>
    <w:rsid w:val="002C1D98"/>
    <w:rsid w:val="00413875"/>
    <w:rsid w:val="00424800"/>
    <w:rsid w:val="004C11BD"/>
    <w:rsid w:val="00506776"/>
    <w:rsid w:val="005F0F66"/>
    <w:rsid w:val="0067744C"/>
    <w:rsid w:val="006F07AF"/>
    <w:rsid w:val="00757DAD"/>
    <w:rsid w:val="00805E11"/>
    <w:rsid w:val="008953FF"/>
    <w:rsid w:val="008A4EF8"/>
    <w:rsid w:val="00905997"/>
    <w:rsid w:val="009E0566"/>
    <w:rsid w:val="00BB7BC7"/>
    <w:rsid w:val="00CA3738"/>
    <w:rsid w:val="00CE3EC5"/>
    <w:rsid w:val="00E14D24"/>
    <w:rsid w:val="00EE0754"/>
    <w:rsid w:val="00F06CED"/>
    <w:rsid w:val="00FD17AD"/>
    <w:rsid w:val="00FD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0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D8A90-0BA8-4CC7-8D6F-65ED9303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950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11</cp:revision>
  <dcterms:created xsi:type="dcterms:W3CDTF">2021-05-03T08:04:00Z</dcterms:created>
  <dcterms:modified xsi:type="dcterms:W3CDTF">2021-05-27T16:43:00Z</dcterms:modified>
</cp:coreProperties>
</file>