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8"/>
        </w:rPr>
        <w:t>PLANT DISEASE DIAGNOSIS SYSTEM</w:t>
      </w:r>
    </w:p>
    <w:p>
      <w:pPr>
        <w:spacing w:after="40"/>
        <w:jc w:val="center"/>
      </w:pPr>
      <w:r>
        <w:rPr>
          <w:b w:val="0"/>
          <w:i/>
          <w:sz w:val="26"/>
        </w:rPr>
        <w:t>An AI-Powered Web Service for Apple and Tomato Disease Detection</w:t>
        <w:br/>
        <w:t>and Fruit Freshness Assessment</w:t>
      </w:r>
    </w:p>
    <w:p>
      <w:pPr>
        <w:spacing w:after="40"/>
        <w:jc w:val="center"/>
      </w:pPr>
      <w:r>
        <w:rPr>
          <w:b/>
          <w:i w:val="0"/>
          <w:sz w:val="24"/>
        </w:rPr>
        <w:t>Project Defense Briefing Document</w:t>
      </w:r>
    </w:p>
    <w:p>
      <w:pPr>
        <w:spacing w:after="360"/>
        <w:jc w:val="center"/>
      </w:pPr>
      <w:r>
        <w:rPr>
          <w:b w:val="0"/>
          <w:i w:val="0"/>
          <w:sz w:val="22"/>
        </w:rPr>
        <w:t>July 2026</w:t>
      </w:r>
    </w:p>
    <w:p>
      <w:pPr>
        <w:pStyle w:val="Heading1"/>
      </w:pPr>
      <w:r>
        <w:t>1. Executive Summary</w:t>
      </w:r>
    </w:p>
    <w:p>
      <w:pPr>
        <w:spacing w:after="120"/>
      </w:pPr>
      <w:r>
        <w:rPr>
          <w:b w:val="0"/>
          <w:i w:val="0"/>
        </w:rPr>
        <w:t>This project is a complete, production-style AI system that diagnoses plant health from a single photograph. A user (e.g., a farmer or gardener) uploads a photo of an apple or tomato leaf — or of the fruit itself — and the system returns a diagnosis, a confidence score, a danger assessment, and actionable treatment advice.</w:t>
      </w:r>
    </w:p>
    <w:p>
      <w:pPr>
        <w:spacing w:after="120"/>
      </w:pPr>
      <w:r>
        <w:rPr>
          <w:b w:val="0"/>
          <w:i w:val="0"/>
        </w:rPr>
        <w:t>The system recognises 18 classes: 14 leaf conditions (diseases and healthy states of apple and tomato plants) and 4 fruit conditions (fresh/rotten apple and tomato). It was trained on 79,129 images using transfer learning on EfficientNetB0 and reaches approximately 94% validation accuracy.</w:t>
      </w:r>
    </w:p>
    <w:p>
      <w:pPr>
        <w:spacing w:after="120"/>
      </w:pPr>
      <w:r>
        <w:rPr>
          <w:b w:val="0"/>
          <w:i w:val="0"/>
        </w:rPr>
        <w:t>Three characteristics distinguish it from a basic image classifier:</w:t>
      </w:r>
    </w:p>
    <w:p>
      <w:pPr>
        <w:pStyle w:val="ListBullet"/>
        <w:spacing w:after="60"/>
      </w:pPr>
      <w:r>
        <w:rPr>
          <w:b/>
        </w:rPr>
        <w:t xml:space="preserve">Out-of-domain rejection. </w:t>
      </w:r>
      <w:r>
        <w:t>A dedicated binary "gate" model checks that the photo actually shows a plant/fruit before diagnosis, and class-specific confidence thresholds catch borderline cases. The system says "I don't know" instead of guessing on irrelevant images.</w:t>
      </w:r>
    </w:p>
    <w:p>
      <w:pPr>
        <w:pStyle w:val="ListBullet"/>
        <w:spacing w:after="60"/>
      </w:pPr>
      <w:r>
        <w:rPr>
          <w:b/>
        </w:rPr>
        <w:t xml:space="preserve">Continuous learning. </w:t>
      </w:r>
      <w:r>
        <w:t>Users can correct wrong predictions through a feedback endpoint. Corrected images are stored, and once enough accumulate the model automatically fine-tunes itself in the background and hot-swaps the new weights into the running service — no restart, no downtime.</w:t>
      </w:r>
    </w:p>
    <w:p>
      <w:pPr>
        <w:pStyle w:val="ListBullet"/>
        <w:spacing w:after="60"/>
      </w:pPr>
      <w:r>
        <w:rPr>
          <w:b/>
        </w:rPr>
        <w:t xml:space="preserve">Production architecture. </w:t>
      </w:r>
      <w:r>
        <w:t>A Node.js/Express gateway fronts a Python/FastAPI inference engine, giving clean separation between web concerns (validation, error handling, client compatibility) and machine-learning concerns (preprocessing, inference, retraining).</w:t>
      </w:r>
    </w:p>
    <w:p>
      <w:pPr>
        <w:pStyle w:val="Heading1"/>
      </w:pPr>
      <w:r>
        <w:t>2. Problem Statement and Objectives</w:t>
      </w:r>
    </w:p>
    <w:p>
      <w:pPr>
        <w:spacing w:after="120"/>
      </w:pPr>
      <w:r>
        <w:rPr>
          <w:b w:val="0"/>
          <w:i w:val="0"/>
        </w:rPr>
        <w:t>Crop diseases cause major yield losses, and early identification is the single most effective intervention. Manual diagnosis requires expert knowledge that smallholder farmers often lack, and laboratory testing is slow and expensive. Additionally, consumers need a quick way to judge whether fruit is still safe to eat.</w:t>
      </w:r>
    </w:p>
    <w:p>
      <w:pPr>
        <w:pStyle w:val="Heading2"/>
      </w:pPr>
      <w:r>
        <w:t>Objectives</w:t>
      </w:r>
    </w:p>
    <w:p>
      <w:pPr>
        <w:pStyle w:val="ListBullet"/>
        <w:spacing w:after="60"/>
      </w:pPr>
      <w:r>
        <w:t>Classify apple and tomato leaf diseases and fruit freshness from a single photo with high accuracy.</w:t>
      </w:r>
    </w:p>
    <w:p>
      <w:pPr>
        <w:pStyle w:val="ListBullet"/>
        <w:spacing w:after="60"/>
      </w:pPr>
      <w:r>
        <w:t>Reject images that are not apple/tomato plant material instead of producing misleading diagnoses.</w:t>
      </w:r>
    </w:p>
    <w:p>
      <w:pPr>
        <w:pStyle w:val="ListBullet"/>
        <w:spacing w:after="60"/>
      </w:pPr>
      <w:r>
        <w:t>Return human-readable guidance: what the condition is, how dangerous it is, and what to do about it.</w:t>
      </w:r>
    </w:p>
    <w:p>
      <w:pPr>
        <w:pStyle w:val="ListBullet"/>
        <w:spacing w:after="60"/>
      </w:pPr>
      <w:r>
        <w:t>Improve over time from real user corrections without manual retraining sessions.</w:t>
      </w:r>
    </w:p>
    <w:p>
      <w:pPr>
        <w:pStyle w:val="ListBullet"/>
        <w:spacing w:after="60"/>
      </w:pPr>
      <w:r>
        <w:t>Expose the capability as a robust HTTP API usable from web and mobile clients.</w:t>
      </w:r>
    </w:p>
    <w:p>
      <w:pPr>
        <w:pStyle w:val="Heading1"/>
      </w:pPr>
      <w:r>
        <w:t>3. System Architecture</w:t>
      </w:r>
    </w:p>
    <w:p>
      <w:pPr>
        <w:spacing w:after="120"/>
      </w:pPr>
      <w:r>
        <w:rPr>
          <w:b w:val="0"/>
          <w:i w:val="0"/>
        </w:rPr>
        <w:t>The system uses a two-tier service architecture:</w:t>
      </w:r>
    </w:p>
    <w:p>
      <w:pPr>
        <w:spacing w:after="120"/>
        <w:jc w:val="center"/>
      </w:pPr>
      <w:r>
        <w:rPr>
          <w:b w:val="0"/>
          <w:i/>
        </w:rPr>
        <w:t>Client (web / mobile app)  →  Express Gateway (Node.js, port 3000)  →  FastAPI AI Engine (Python, port 8000)</w:t>
      </w:r>
    </w:p>
    <w:tbl>
      <w:tblPr>
        <w:tblStyle w:val="LightGrid-Accent6"/>
        <w:tblW w:type="auto" w:w="0"/>
        <w:jc w:val="center"/>
        <w:tblLook w:firstColumn="1" w:firstRow="1" w:lastColumn="0" w:lastRow="0" w:noHBand="0" w:noVBand="1" w:val="04A0"/>
      </w:tblPr>
      <w:tblGrid>
        <w:gridCol w:w="2880"/>
        <w:gridCol w:w="2880"/>
        <w:gridCol w:w="2880"/>
      </w:tblGrid>
      <w:tr>
        <w:tc>
          <w:tcPr>
            <w:tcW w:type="dxa" w:w="1872"/>
          </w:tcPr>
          <w:p>
            <w:r/>
            <w:r>
              <w:rPr>
                <w:b/>
              </w:rPr>
              <w:t>Component</w:t>
            </w:r>
          </w:p>
        </w:tc>
        <w:tc>
          <w:tcPr>
            <w:tcW w:type="dxa" w:w="2304"/>
          </w:tcPr>
          <w:p>
            <w:r/>
            <w:r>
              <w:rPr>
                <w:b/>
              </w:rPr>
              <w:t>File</w:t>
            </w:r>
          </w:p>
        </w:tc>
        <w:tc>
          <w:tcPr>
            <w:tcW w:type="dxa" w:w="5184"/>
          </w:tcPr>
          <w:p>
            <w:r/>
            <w:r>
              <w:rPr>
                <w:b/>
              </w:rPr>
              <w:t>Responsibility</w:t>
            </w:r>
          </w:p>
        </w:tc>
      </w:tr>
      <w:tr>
        <w:tc>
          <w:tcPr>
            <w:tcW w:type="dxa" w:w="1872"/>
          </w:tcPr>
          <w:p>
            <w:r>
              <w:t>Express Gateway</w:t>
            </w:r>
          </w:p>
        </w:tc>
        <w:tc>
          <w:tcPr>
            <w:tcW w:type="dxa" w:w="2304"/>
          </w:tcPr>
          <w:p>
            <w:r>
              <w:t>server.js</w:t>
            </w:r>
          </w:p>
        </w:tc>
        <w:tc>
          <w:tcPr>
            <w:tcW w:type="dxa" w:w="5184"/>
          </w:tcPr>
          <w:p>
            <w:r>
              <w:t>Public entry point. Validates uploads (type, 10 MB size cap) with Multer in memory storage, forwards them to the AI engine, translates engine failures into clean HTTP errors (503 when the engine is down), and applies request timeouts (5 s reads, 30 s predictions).</w:t>
            </w:r>
          </w:p>
        </w:tc>
      </w:tr>
      <w:tr>
        <w:tc>
          <w:tcPr>
            <w:tcW w:type="dxa" w:w="1872"/>
          </w:tcPr>
          <w:p>
            <w:r>
              <w:t>AI Engine</w:t>
            </w:r>
          </w:p>
        </w:tc>
        <w:tc>
          <w:tcPr>
            <w:tcW w:type="dxa" w:w="2304"/>
          </w:tcPr>
          <w:p>
            <w:r>
              <w:t>prediction.py</w:t>
            </w:r>
          </w:p>
        </w:tc>
        <w:tc>
          <w:tcPr>
            <w:tcW w:type="dxa" w:w="5184"/>
          </w:tcPr>
          <w:p>
            <w:r>
              <w:t>Loads the disease model and gate model at startup. Serves /predict and /feedback plus /health, /classes and /retrain/status. Owns preprocessing, the three-stage rejection logic, advice mapping, feedback storage, and background retraining with hot reload.</w:t>
            </w:r>
          </w:p>
        </w:tc>
      </w:tr>
      <w:tr>
        <w:tc>
          <w:tcPr>
            <w:tcW w:type="dxa" w:w="1872"/>
          </w:tcPr>
          <w:p>
            <w:r>
              <w:t>Disease model</w:t>
            </w:r>
          </w:p>
        </w:tc>
        <w:tc>
          <w:tcPr>
            <w:tcW w:type="dxa" w:w="2304"/>
          </w:tcPr>
          <w:p>
            <w:r>
              <w:t>best_plant_diagnosis.keras</w:t>
            </w:r>
          </w:p>
        </w:tc>
        <w:tc>
          <w:tcPr>
            <w:tcW w:type="dxa" w:w="5184"/>
          </w:tcPr>
          <w:p>
            <w:r>
              <w:t>EfficientNetB0-based classifier over 18 classes (~21 MB).</w:t>
            </w:r>
          </w:p>
        </w:tc>
      </w:tr>
      <w:tr>
        <w:tc>
          <w:tcPr>
            <w:tcW w:type="dxa" w:w="1872"/>
          </w:tcPr>
          <w:p>
            <w:r>
              <w:t>Gate model</w:t>
            </w:r>
          </w:p>
        </w:tc>
        <w:tc>
          <w:tcPr>
            <w:tcW w:type="dxa" w:w="2304"/>
          </w:tcPr>
          <w:p>
            <w:r>
              <w:t>gate_model.keras</w:t>
            </w:r>
          </w:p>
        </w:tc>
        <w:tc>
          <w:tcPr>
            <w:tcW w:type="dxa" w:w="5184"/>
          </w:tcPr>
          <w:p>
            <w:r>
              <w:t>Binary plant-vs-not-plant classifier that screens every image before diagnosis (~19 MB).</w:t>
            </w:r>
          </w:p>
        </w:tc>
      </w:tr>
      <w:tr>
        <w:tc>
          <w:tcPr>
            <w:tcW w:type="dxa" w:w="1872"/>
          </w:tcPr>
          <w:p>
            <w:r>
              <w:t>Training pipeline</w:t>
            </w:r>
          </w:p>
        </w:tc>
        <w:tc>
          <w:tcPr>
            <w:tcW w:type="dxa" w:w="2304"/>
          </w:tcPr>
          <w:p>
            <w:r>
              <w:t>train.ipynb / train_gate.py</w:t>
            </w:r>
          </w:p>
        </w:tc>
        <w:tc>
          <w:tcPr>
            <w:tcW w:type="dxa" w:w="5184"/>
          </w:tcPr>
          <w:p>
            <w:r>
              <w:t>Reproducible training for the disease model and the gate model.</w:t>
            </w:r>
          </w:p>
        </w:tc>
      </w:tr>
      <w:tr>
        <w:tc>
          <w:tcPr>
            <w:tcW w:type="dxa" w:w="1872"/>
          </w:tcPr>
          <w:p>
            <w:r>
              <w:t>Diagnostics</w:t>
            </w:r>
          </w:p>
        </w:tc>
        <w:tc>
          <w:tcPr>
            <w:tcW w:type="dxa" w:w="2304"/>
          </w:tcPr>
          <w:p>
            <w:r>
              <w:t>diagnose_gate.py</w:t>
            </w:r>
          </w:p>
        </w:tc>
        <w:tc>
          <w:tcPr>
            <w:tcW w:type="dxa" w:w="5184"/>
          </w:tcPr>
          <w:p>
            <w:r>
              <w:t>CLI tool that scores a folder of images against the gate to tune the threshold.</w:t>
            </w:r>
          </w:p>
        </w:tc>
      </w:tr>
    </w:tbl>
    <w:p>
      <w:pPr>
        <w:spacing w:after="80"/>
      </w:pPr>
    </w:p>
    <w:p>
      <w:pPr>
        <w:pStyle w:val="Heading2"/>
      </w:pPr>
      <w:r>
        <w:t>Why two tiers?</w:t>
      </w:r>
    </w:p>
    <w:p>
      <w:pPr>
        <w:pStyle w:val="ListBullet"/>
        <w:spacing w:after="60"/>
      </w:pPr>
      <w:r>
        <w:t>Separation of concerns: web-facing validation/error handling lives in Node.js; ML inference lives in Python where the ecosystem (TensorFlow, Pillow, NumPy) is native.</w:t>
      </w:r>
    </w:p>
    <w:p>
      <w:pPr>
        <w:pStyle w:val="ListBullet"/>
        <w:spacing w:after="60"/>
      </w:pPr>
      <w:r>
        <w:t>Independent scaling: several gateway instances can front one GPU-backed inference server, or vice versa.</w:t>
      </w:r>
    </w:p>
    <w:p>
      <w:pPr>
        <w:pStyle w:val="ListBullet"/>
        <w:spacing w:after="60"/>
      </w:pPr>
      <w:r>
        <w:t>Fault isolation: if the AI engine crashes or is retraining, the gateway still answers with a controlled 503 "AI engine is unavailable" message rather than hanging clients.</w:t>
      </w:r>
    </w:p>
    <w:p>
      <w:pPr>
        <w:pStyle w:val="ListBullet"/>
        <w:spacing w:after="60"/>
      </w:pPr>
      <w:r>
        <w:t>Client compatibility: the engine additionally accepts application/octet-stream because some mobile apps send binary uploads without a proper MIME type.</w:t>
      </w:r>
    </w:p>
    <w:p>
      <w:pPr>
        <w:pStyle w:val="Heading1"/>
      </w:pPr>
      <w:r>
        <w:t>4. Dataset</w:t>
      </w:r>
    </w:p>
    <w:p>
      <w:pPr>
        <w:spacing w:after="120"/>
      </w:pPr>
      <w:r>
        <w:rPr>
          <w:b w:val="0"/>
          <w:i w:val="0"/>
        </w:rPr>
        <w:t>The training corpus contains 79,129 images across 18 classes, split 80/20 into 63,304 training and 15,825 validation images (fixed seed 123 for reproducibility). All images are resized to 224×224 RGB, the native input size of EfficientNetB0.</w:t>
      </w:r>
    </w:p>
    <w:tbl>
      <w:tblPr>
        <w:tblStyle w:val="LightGrid-Accent6"/>
        <w:tblW w:type="auto" w:w="0"/>
        <w:jc w:val="center"/>
        <w:tblLook w:firstColumn="1" w:firstRow="1" w:lastColumn="0" w:lastRow="0" w:noHBand="0" w:noVBand="1" w:val="04A0"/>
      </w:tblPr>
      <w:tblGrid>
        <w:gridCol w:w="4320"/>
        <w:gridCol w:w="4320"/>
      </w:tblGrid>
      <w:tr>
        <w:tc>
          <w:tcPr>
            <w:tcW w:type="dxa" w:w="2304"/>
          </w:tcPr>
          <w:p>
            <w:r/>
            <w:r>
              <w:rPr>
                <w:b/>
              </w:rPr>
              <w:t>Group</w:t>
            </w:r>
          </w:p>
        </w:tc>
        <w:tc>
          <w:tcPr>
            <w:tcW w:type="dxa" w:w="7056"/>
          </w:tcPr>
          <w:p>
            <w:r/>
            <w:r>
              <w:rPr>
                <w:b/>
              </w:rPr>
              <w:t>Classes</w:t>
            </w:r>
          </w:p>
        </w:tc>
      </w:tr>
      <w:tr>
        <w:tc>
          <w:tcPr>
            <w:tcW w:type="dxa" w:w="2304"/>
          </w:tcPr>
          <w:p>
            <w:r>
              <w:t>Apple leaf (4)</w:t>
            </w:r>
          </w:p>
        </w:tc>
        <w:tc>
          <w:tcPr>
            <w:tcW w:type="dxa" w:w="7056"/>
          </w:tcPr>
          <w:p>
            <w:r>
              <w:t>Apple scab, Black rot, Cedar apple rust, Healthy</w:t>
            </w:r>
          </w:p>
        </w:tc>
      </w:tr>
      <w:tr>
        <w:tc>
          <w:tcPr>
            <w:tcW w:type="dxa" w:w="2304"/>
          </w:tcPr>
          <w:p>
            <w:r>
              <w:t>Tomato leaf (10)</w:t>
            </w:r>
          </w:p>
        </w:tc>
        <w:tc>
          <w:tcPr>
            <w:tcW w:type="dxa" w:w="7056"/>
          </w:tcPr>
          <w:p>
            <w:r>
              <w:t>Bacterial spot, Early blight, Late blight, Leaf mold, Septoria leaf spot, Spider mites (two-spotted), Target spot, Yellow leaf curl virus, Mosaic virus, Healthy</w:t>
            </w:r>
          </w:p>
        </w:tc>
      </w:tr>
      <w:tr>
        <w:tc>
          <w:tcPr>
            <w:tcW w:type="dxa" w:w="2304"/>
          </w:tcPr>
          <w:p>
            <w:r>
              <w:t>Fruit condition (4)</w:t>
            </w:r>
          </w:p>
        </w:tc>
        <w:tc>
          <w:tcPr>
            <w:tcW w:type="dxa" w:w="7056"/>
          </w:tcPr>
          <w:p>
            <w:r>
              <w:t>Apple fresh, Apple rotten, Tomato fresh, Tomato rotten</w:t>
            </w:r>
          </w:p>
        </w:tc>
      </w:tr>
    </w:tbl>
    <w:p>
      <w:pPr>
        <w:spacing w:after="80"/>
      </w:pPr>
    </w:p>
    <w:p>
      <w:pPr>
        <w:spacing w:after="120"/>
      </w:pPr>
      <w:r>
        <w:rPr>
          <w:b w:val="0"/>
          <w:i w:val="0"/>
        </w:rPr>
        <w:t>Leaf classes follow the PlantVillage naming convention (e.g., "Tomato___Early_blight"); fruit classes come from a fresh/rotten fruit dataset. A separate held-out test_dataset folder (fresh/rotten) is kept for end-to-end API testing.</w:t>
      </w:r>
    </w:p>
    <w:p>
      <w:pPr>
        <w:pStyle w:val="Heading2"/>
      </w:pPr>
      <w:r>
        <w:t>Data augmentation</w:t>
      </w:r>
    </w:p>
    <w:p>
      <w:pPr>
        <w:spacing w:after="120"/>
      </w:pPr>
      <w:r>
        <w:rPr>
          <w:b w:val="0"/>
          <w:i w:val="0"/>
        </w:rPr>
        <w:t>To improve robustness to real-world photo conditions, training images are randomly augmented on the fly: horizontal flips, rotation (±20%), zoom (±20%), contrast (±20%) and brightness (±20%). Augmentation runs inside the tf.data pipeline so the model sees different variations every epoch while validation data stays untouched.</w:t>
      </w:r>
    </w:p>
    <w:p>
      <w:pPr>
        <w:pStyle w:val="Heading1"/>
      </w:pPr>
      <w:r>
        <w:t>5. Model Design and Training</w:t>
      </w:r>
    </w:p>
    <w:p>
      <w:pPr>
        <w:pStyle w:val="Heading2"/>
      </w:pPr>
      <w:r>
        <w:t>Architecture — transfer learning on EfficientNetB0</w:t>
      </w:r>
    </w:p>
    <w:p>
      <w:pPr>
        <w:spacing w:after="120"/>
      </w:pPr>
      <w:r>
        <w:rPr>
          <w:b w:val="0"/>
          <w:i w:val="0"/>
        </w:rPr>
        <w:t>The classifier is built on EfficientNetB0 pre-trained on ImageNet, with the backbone frozen and a custom classification head trained on top:</w:t>
      </w:r>
    </w:p>
    <w:p>
      <w:pPr>
        <w:spacing w:after="120"/>
      </w:pPr>
      <w:r>
        <w:rPr>
          <w:b w:val="0"/>
          <w:i/>
        </w:rPr>
        <w:t>Input 224×224×3 → EfficientNet preprocessing → EfficientNetB0 (frozen) → GlobalAveragePooling2D → Dense(256, ReLU) → BatchNormalization → Dropout(0.5) → Dense(18, softmax)</w:t>
      </w:r>
    </w:p>
    <w:p>
      <w:pPr>
        <w:pStyle w:val="ListBullet"/>
        <w:spacing w:after="60"/>
      </w:pPr>
      <w:r>
        <w:rPr>
          <w:b/>
        </w:rPr>
        <w:t xml:space="preserve">Why EfficientNetB0: </w:t>
      </w:r>
      <w:r>
        <w:t>state-of-the-art accuracy-per-parameter; small enough (~5.3M backbone parameters) to run inference on CPU in near real time, which matters for a web service without a GPU.</w:t>
      </w:r>
    </w:p>
    <w:p>
      <w:pPr>
        <w:pStyle w:val="ListBullet"/>
        <w:spacing w:after="60"/>
      </w:pPr>
      <w:r>
        <w:rPr>
          <w:b/>
        </w:rPr>
        <w:t xml:space="preserve">Why freeze the backbone: </w:t>
      </w:r>
      <w:r>
        <w:t>with the backbone frozen, only the head is learned, which prevents overfitting, dramatically shortens training, and preserves the general visual features learned from ImageNet.</w:t>
      </w:r>
    </w:p>
    <w:p>
      <w:pPr>
        <w:pStyle w:val="ListBullet"/>
        <w:spacing w:after="60"/>
      </w:pPr>
      <w:r>
        <w:rPr>
          <w:b/>
        </w:rPr>
        <w:t xml:space="preserve">Why BatchNorm + Dropout 0.5 in the head: </w:t>
      </w:r>
      <w:r>
        <w:t>stabilises training of the new Dense layer and provides strong regularisation against memorising the training set.</w:t>
      </w:r>
    </w:p>
    <w:p>
      <w:pPr>
        <w:pStyle w:val="Heading2"/>
      </w:pPr>
      <w:r>
        <w:t>Training configuration</w:t>
      </w:r>
    </w:p>
    <w:tbl>
      <w:tblPr>
        <w:tblStyle w:val="LightGrid-Accent6"/>
        <w:tblW w:type="auto" w:w="0"/>
        <w:jc w:val="center"/>
        <w:tblLook w:firstColumn="1" w:firstRow="1" w:lastColumn="0" w:lastRow="0" w:noHBand="0" w:noVBand="1" w:val="04A0"/>
      </w:tblPr>
      <w:tblGrid>
        <w:gridCol w:w="2880"/>
        <w:gridCol w:w="2880"/>
        <w:gridCol w:w="2880"/>
      </w:tblGrid>
      <w:tr>
        <w:tc>
          <w:tcPr>
            <w:tcW w:type="dxa" w:w="2448"/>
          </w:tcPr>
          <w:p>
            <w:r/>
            <w:r>
              <w:rPr>
                <w:b/>
              </w:rPr>
              <w:t>Setting</w:t>
            </w:r>
          </w:p>
        </w:tc>
        <w:tc>
          <w:tcPr>
            <w:tcW w:type="dxa" w:w="2880"/>
          </w:tcPr>
          <w:p>
            <w:r/>
            <w:r>
              <w:rPr>
                <w:b/>
              </w:rPr>
              <w:t>Value</w:t>
            </w:r>
          </w:p>
        </w:tc>
        <w:tc>
          <w:tcPr>
            <w:tcW w:type="dxa" w:w="4032"/>
          </w:tcPr>
          <w:p>
            <w:r/>
            <w:r>
              <w:rPr>
                <w:b/>
              </w:rPr>
              <w:t>Purpose</w:t>
            </w:r>
          </w:p>
        </w:tc>
      </w:tr>
      <w:tr>
        <w:tc>
          <w:tcPr>
            <w:tcW w:type="dxa" w:w="2448"/>
          </w:tcPr>
          <w:p>
            <w:r>
              <w:t>Optimizer</w:t>
            </w:r>
          </w:p>
        </w:tc>
        <w:tc>
          <w:tcPr>
            <w:tcW w:type="dxa" w:w="2880"/>
          </w:tcPr>
          <w:p>
            <w:r>
              <w:t>Adam, lr = 5e-4</w:t>
            </w:r>
          </w:p>
        </w:tc>
        <w:tc>
          <w:tcPr>
            <w:tcW w:type="dxa" w:w="4032"/>
          </w:tcPr>
          <w:p>
            <w:r>
              <w:t>Fast, adaptive convergence for the head</w:t>
            </w:r>
          </w:p>
        </w:tc>
      </w:tr>
      <w:tr>
        <w:tc>
          <w:tcPr>
            <w:tcW w:type="dxa" w:w="2448"/>
          </w:tcPr>
          <w:p>
            <w:r>
              <w:t>Loss</w:t>
            </w:r>
          </w:p>
        </w:tc>
        <w:tc>
          <w:tcPr>
            <w:tcW w:type="dxa" w:w="2880"/>
          </w:tcPr>
          <w:p>
            <w:r>
              <w:t>Categorical cross-entropy</w:t>
            </w:r>
          </w:p>
        </w:tc>
        <w:tc>
          <w:tcPr>
            <w:tcW w:type="dxa" w:w="4032"/>
          </w:tcPr>
          <w:p>
            <w:r>
              <w:t>Standard multi-class objective (one-hot labels)</w:t>
            </w:r>
          </w:p>
        </w:tc>
      </w:tr>
      <w:tr>
        <w:tc>
          <w:tcPr>
            <w:tcW w:type="dxa" w:w="2448"/>
          </w:tcPr>
          <w:p>
            <w:r>
              <w:t>Batch size / epochs</w:t>
            </w:r>
          </w:p>
        </w:tc>
        <w:tc>
          <w:tcPr>
            <w:tcW w:type="dxa" w:w="2880"/>
          </w:tcPr>
          <w:p>
            <w:r>
              <w:t>32 / up to 30</w:t>
            </w:r>
          </w:p>
        </w:tc>
        <w:tc>
          <w:tcPr>
            <w:tcW w:type="dxa" w:w="4032"/>
          </w:tcPr>
          <w:p>
            <w:r>
              <w:t>Balanced throughput vs. gradient noise</w:t>
            </w:r>
          </w:p>
        </w:tc>
      </w:tr>
      <w:tr>
        <w:tc>
          <w:tcPr>
            <w:tcW w:type="dxa" w:w="2448"/>
          </w:tcPr>
          <w:p>
            <w:r>
              <w:t>EarlyStopping</w:t>
            </w:r>
          </w:p>
        </w:tc>
        <w:tc>
          <w:tcPr>
            <w:tcW w:type="dxa" w:w="2880"/>
          </w:tcPr>
          <w:p>
            <w:r>
              <w:t>patience 5, restore best weights</w:t>
            </w:r>
          </w:p>
        </w:tc>
        <w:tc>
          <w:tcPr>
            <w:tcW w:type="dxa" w:w="4032"/>
          </w:tcPr>
          <w:p>
            <w:r>
              <w:t>Stop when validation loss stops improving</w:t>
            </w:r>
          </w:p>
        </w:tc>
      </w:tr>
      <w:tr>
        <w:tc>
          <w:tcPr>
            <w:tcW w:type="dxa" w:w="2448"/>
          </w:tcPr>
          <w:p>
            <w:r>
              <w:t>ReduceLROnPlateau</w:t>
            </w:r>
          </w:p>
        </w:tc>
        <w:tc>
          <w:tcPr>
            <w:tcW w:type="dxa" w:w="2880"/>
          </w:tcPr>
          <w:p>
            <w:r>
              <w:t>factor 0.2, patience 3, min 1e-6</w:t>
            </w:r>
          </w:p>
        </w:tc>
        <w:tc>
          <w:tcPr>
            <w:tcW w:type="dxa" w:w="4032"/>
          </w:tcPr>
          <w:p>
            <w:r>
              <w:t>Fine steps as training converges (5e-4 → 1e-4 → 2e-5)</w:t>
            </w:r>
          </w:p>
        </w:tc>
      </w:tr>
      <w:tr>
        <w:tc>
          <w:tcPr>
            <w:tcW w:type="dxa" w:w="2448"/>
          </w:tcPr>
          <w:p>
            <w:r>
              <w:t>ModelCheckpoint</w:t>
            </w:r>
          </w:p>
        </w:tc>
        <w:tc>
          <w:tcPr>
            <w:tcW w:type="dxa" w:w="2880"/>
          </w:tcPr>
          <w:p>
            <w:r>
              <w:t>save best only</w:t>
            </w:r>
          </w:p>
        </w:tc>
        <w:tc>
          <w:tcPr>
            <w:tcW w:type="dxa" w:w="4032"/>
          </w:tcPr>
          <w:p>
            <w:r>
              <w:t>best_plant_diagnosis.keras always holds the best validation model</w:t>
            </w:r>
          </w:p>
        </w:tc>
      </w:tr>
    </w:tbl>
    <w:p>
      <w:pPr>
        <w:spacing w:after="80"/>
      </w:pPr>
    </w:p>
    <w:p>
      <w:pPr>
        <w:pStyle w:val="Heading2"/>
      </w:pPr>
      <w:r>
        <w:t>Results</w:t>
      </w:r>
    </w:p>
    <w:p>
      <w:pPr>
        <w:spacing w:after="120"/>
      </w:pPr>
      <w:r>
        <w:rPr>
          <w:b w:val="0"/>
          <w:i w:val="0"/>
        </w:rPr>
        <w:t>Training ran the full 30 epochs. Validation accuracy climbed from 87.3% after the first epoch to a best of 94.0% (validation loss 0.183). The learning-rate schedule is clearly visible in the curve: each automatic reduction (epoch 13 and epoch 23) produced a fresh accuracy jump. Training and validation accuracy stayed within ~1.5 points of each other throughout, indicating the model generalises rather than overfits.</w:t>
      </w:r>
    </w:p>
    <w:tbl>
      <w:tblPr>
        <w:tblStyle w:val="LightGrid-Accent6"/>
        <w:tblW w:type="auto" w:w="0"/>
        <w:jc w:val="center"/>
        <w:tblLook w:firstColumn="1" w:firstRow="1" w:lastColumn="0" w:lastRow="0" w:noHBand="0" w:noVBand="1" w:val="04A0"/>
      </w:tblPr>
      <w:tblGrid>
        <w:gridCol w:w="2160"/>
        <w:gridCol w:w="2160"/>
        <w:gridCol w:w="2160"/>
        <w:gridCol w:w="2160"/>
      </w:tblGrid>
      <w:tr>
        <w:tc>
          <w:tcPr>
            <w:tcW w:type="dxa" w:w="3456"/>
          </w:tcPr>
          <w:p>
            <w:r/>
            <w:r>
              <w:rPr>
                <w:b/>
              </w:rPr>
              <w:t>Milestone</w:t>
            </w:r>
          </w:p>
        </w:tc>
        <w:tc>
          <w:tcPr>
            <w:tcW w:type="dxa" w:w="2016"/>
          </w:tcPr>
          <w:p>
            <w:r/>
            <w:r>
              <w:rPr>
                <w:b/>
              </w:rPr>
              <w:t>Train accuracy</w:t>
            </w:r>
          </w:p>
        </w:tc>
        <w:tc>
          <w:tcPr>
            <w:tcW w:type="dxa" w:w="2304"/>
          </w:tcPr>
          <w:p>
            <w:r/>
            <w:r>
              <w:rPr>
                <w:b/>
              </w:rPr>
              <w:t>Validation accuracy</w:t>
            </w:r>
          </w:p>
        </w:tc>
        <w:tc>
          <w:tcPr>
            <w:tcW w:type="dxa" w:w="1872"/>
          </w:tcPr>
          <w:p>
            <w:r/>
            <w:r>
              <w:rPr>
                <w:b/>
              </w:rPr>
              <w:t>Validation loss</w:t>
            </w:r>
          </w:p>
        </w:tc>
      </w:tr>
      <w:tr>
        <w:tc>
          <w:tcPr>
            <w:tcW w:type="dxa" w:w="3456"/>
          </w:tcPr>
          <w:p>
            <w:r>
              <w:t>Epoch 1</w:t>
            </w:r>
          </w:p>
        </w:tc>
        <w:tc>
          <w:tcPr>
            <w:tcW w:type="dxa" w:w="2016"/>
          </w:tcPr>
          <w:p>
            <w:r>
              <w:t>77.4%</w:t>
            </w:r>
          </w:p>
        </w:tc>
        <w:tc>
          <w:tcPr>
            <w:tcW w:type="dxa" w:w="2304"/>
          </w:tcPr>
          <w:p>
            <w:r>
              <w:t>87.3%</w:t>
            </w:r>
          </w:p>
        </w:tc>
        <w:tc>
          <w:tcPr>
            <w:tcW w:type="dxa" w:w="1872"/>
          </w:tcPr>
          <w:p>
            <w:r>
              <w:t>0.389</w:t>
            </w:r>
          </w:p>
        </w:tc>
      </w:tr>
      <w:tr>
        <w:tc>
          <w:tcPr>
            <w:tcW w:type="dxa" w:w="3456"/>
          </w:tcPr>
          <w:p>
            <w:r>
              <w:t>Epoch 12 (lr 5e-4 phase ends)</w:t>
            </w:r>
          </w:p>
        </w:tc>
        <w:tc>
          <w:tcPr>
            <w:tcW w:type="dxa" w:w="2016"/>
          </w:tcPr>
          <w:p>
            <w:r>
              <w:t>90.0%</w:t>
            </w:r>
          </w:p>
        </w:tc>
        <w:tc>
          <w:tcPr>
            <w:tcW w:type="dxa" w:w="2304"/>
          </w:tcPr>
          <w:p>
            <w:r>
              <w:t>92.4%</w:t>
            </w:r>
          </w:p>
        </w:tc>
        <w:tc>
          <w:tcPr>
            <w:tcW w:type="dxa" w:w="1872"/>
          </w:tcPr>
          <w:p>
            <w:r>
              <w:t>0.225</w:t>
            </w:r>
          </w:p>
        </w:tc>
      </w:tr>
      <w:tr>
        <w:tc>
          <w:tcPr>
            <w:tcW w:type="dxa" w:w="3456"/>
          </w:tcPr>
          <w:p>
            <w:r>
              <w:t>Epoch 22 (lr 1e-4 phase ends)</w:t>
            </w:r>
          </w:p>
        </w:tc>
        <w:tc>
          <w:tcPr>
            <w:tcW w:type="dxa" w:w="2016"/>
          </w:tcPr>
          <w:p>
            <w:r>
              <w:t>92.1%</w:t>
            </w:r>
          </w:p>
        </w:tc>
        <w:tc>
          <w:tcPr>
            <w:tcW w:type="dxa" w:w="2304"/>
          </w:tcPr>
          <w:p>
            <w:r>
              <w:t>93.5%</w:t>
            </w:r>
          </w:p>
        </w:tc>
        <w:tc>
          <w:tcPr>
            <w:tcW w:type="dxa" w:w="1872"/>
          </w:tcPr>
          <w:p>
            <w:r>
              <w:t>0.196</w:t>
            </w:r>
          </w:p>
        </w:tc>
      </w:tr>
      <w:tr>
        <w:tc>
          <w:tcPr>
            <w:tcW w:type="dxa" w:w="3456"/>
          </w:tcPr>
          <w:p>
            <w:r>
              <w:t>Epoch 29 (best)</w:t>
            </w:r>
          </w:p>
        </w:tc>
        <w:tc>
          <w:tcPr>
            <w:tcW w:type="dxa" w:w="2016"/>
          </w:tcPr>
          <w:p>
            <w:r>
              <w:t>92.5%</w:t>
            </w:r>
          </w:p>
        </w:tc>
        <w:tc>
          <w:tcPr>
            <w:tcW w:type="dxa" w:w="2304"/>
          </w:tcPr>
          <w:p>
            <w:r>
              <w:t>94.0%</w:t>
            </w:r>
          </w:p>
        </w:tc>
        <w:tc>
          <w:tcPr>
            <w:tcW w:type="dxa" w:w="1872"/>
          </w:tcPr>
          <w:p>
            <w:r>
              <w:t>0.183</w:t>
            </w:r>
          </w:p>
        </w:tc>
      </w:tr>
    </w:tbl>
    <w:p>
      <w:pPr>
        <w:spacing w:after="80"/>
      </w:pPr>
    </w:p>
    <w:p>
      <w:pPr>
        <w:pStyle w:val="Heading1"/>
      </w:pPr>
      <w:r>
        <w:t>6. Out-of-Domain Rejection — the "Gate" Design</w:t>
      </w:r>
    </w:p>
    <w:p>
      <w:pPr>
        <w:spacing w:after="120"/>
      </w:pPr>
      <w:r>
        <w:rPr>
          <w:b w:val="0"/>
          <w:i w:val="0"/>
        </w:rPr>
        <w:t>A softmax classifier always outputs some class, even for a photo of a car — a classic weakness that produces embarrassing and dangerous misdiagnoses. This system defends against it in three stages:</w:t>
      </w:r>
    </w:p>
    <w:p>
      <w:pPr>
        <w:pStyle w:val="Heading2"/>
      </w:pPr>
      <w:r>
        <w:t>Stage 1 — the gate model</w:t>
      </w:r>
    </w:p>
    <w:p>
      <w:pPr>
        <w:spacing w:after="120"/>
      </w:pPr>
      <w:r>
        <w:rPr>
          <w:b w:val="0"/>
          <w:i w:val="0"/>
        </w:rPr>
        <w:t>A dedicated binary classifier (EfficientNetB0 frozen backbone + small sigmoid head: GAP → Dense(128, ReLU) → Dropout(0.4) → Dense(1, sigmoid)) answers one question: is this a plant/fruit image at all? It was trained on 1,500 plant images sampled from the project dataset versus 1,500 real-world non-plant photos from Imagenette (an ImageNet subset: fish, chainsaws, churches, gas pumps, golf balls, parachutes, etc.). Imagenette was chosen deliberately over low-resolution sets like CIFAR-10 so the gate learns actual content differences instead of a resolution/blur shortcut. Images scoring below the threshold (default 0.60, tunable via the GATE_THRESHOLD environment variable) are rejected immediately with guidance to photograph a single leaf or fruit up close — and the expensive 18-class model is never run.</w:t>
      </w:r>
    </w:p>
    <w:p>
      <w:pPr>
        <w:pStyle w:val="Heading2"/>
      </w:pPr>
      <w:r>
        <w:t>Stage 2 — class-aware confidence thresholds</w:t>
      </w:r>
    </w:p>
    <w:p>
      <w:pPr>
        <w:spacing w:after="120"/>
      </w:pPr>
      <w:r>
        <w:rPr>
          <w:b w:val="0"/>
          <w:i w:val="0"/>
        </w:rPr>
        <w:t>If the gate passes the image, the disease model's own confidence is checked against two thresholds: 0.80 for disease/rotten classes and a stricter 0.90 for healthy/fresh classes. The healthy threshold is deliberately higher because "healthy"-looking classes act as magnets for arbitrary clean photos that slip past the gate. Below threshold, the API returns "Not Recognised" rather than a diagnosis.</w:t>
      </w:r>
    </w:p>
    <w:p>
      <w:pPr>
        <w:pStyle w:val="Heading2"/>
      </w:pPr>
      <w:r>
        <w:t>Stage 3 — moderate-confidence warning</w:t>
      </w:r>
    </w:p>
    <w:p>
      <w:pPr>
        <w:spacing w:after="120"/>
      </w:pPr>
      <w:r>
        <w:rPr>
          <w:b w:val="0"/>
          <w:i w:val="0"/>
        </w:rPr>
        <w:t>Predictions that pass but score below 0.85 still carry a visible warning advising the user to retake a clearer, close-up photo, so borderline results are never presented as certainties.</w:t>
      </w:r>
    </w:p>
    <w:p>
      <w:pPr>
        <w:spacing w:after="120"/>
      </w:pPr>
      <w:r>
        <w:rPr>
          <w:b w:val="0"/>
          <w:i w:val="0"/>
        </w:rPr>
        <w:t>A companion CLI tool (diagnose_gate.py) scores any folder of images against the gate and reports the distribution (mean/min/max, % below candidate thresholds), which is how the 0.60 operating point was validated empirically.</w:t>
      </w:r>
    </w:p>
    <w:p>
      <w:pPr>
        <w:pStyle w:val="Heading1"/>
      </w:pPr>
      <w:r>
        <w:t>7. The Prediction Pipeline (Request Walk-through)</w:t>
      </w:r>
    </w:p>
    <w:p>
      <w:pPr>
        <w:spacing w:after="120"/>
      </w:pPr>
      <w:r>
        <w:rPr>
          <w:b w:val="0"/>
          <w:i w:val="0"/>
        </w:rPr>
        <w:t>What happens when a user submits POST /predict with a photo:</w:t>
      </w:r>
    </w:p>
    <w:p>
      <w:pPr>
        <w:pStyle w:val="ListBullet"/>
        <w:spacing w:after="60"/>
      </w:pPr>
      <w:r>
        <w:t>1. Gateway validation — Multer accepts only JPEG/PNG/WEBP/BMP and enforces the 10 MB limit before anything reaches Python.</w:t>
      </w:r>
    </w:p>
    <w:p>
      <w:pPr>
        <w:pStyle w:val="ListBullet"/>
        <w:spacing w:after="60"/>
      </w:pPr>
      <w:r>
        <w:t>2. Engine validation — FastAPI re-checks content type and size (defence in depth), then Pillow attempts to decode the image; undecodable files get a clean 400 error.</w:t>
      </w:r>
    </w:p>
    <w:p>
      <w:pPr>
        <w:pStyle w:val="ListBullet"/>
        <w:spacing w:after="60"/>
      </w:pPr>
      <w:r>
        <w:t>3. Preprocessing — decode to RGB, resize to 224×224, apply EfficientNet preprocess_input, add batch dimension.</w:t>
      </w:r>
    </w:p>
    <w:p>
      <w:pPr>
        <w:pStyle w:val="ListBullet"/>
        <w:spacing w:after="60"/>
      </w:pPr>
      <w:r>
        <w:t>4. Gate check — reject non-plant images (score &lt; 0.60) with helpful photography advice.</w:t>
      </w:r>
    </w:p>
    <w:p>
      <w:pPr>
        <w:pStyle w:val="ListBullet"/>
        <w:spacing w:after="60"/>
      </w:pPr>
      <w:r>
        <w:t>5. Classification — the 18-class model produces a softmax distribution; argmax gives the predicted class and confidence.</w:t>
      </w:r>
    </w:p>
    <w:p>
      <w:pPr>
        <w:pStyle w:val="ListBullet"/>
        <w:spacing w:after="60"/>
      </w:pPr>
      <w:r>
        <w:t>6. Confidence check — apply the 0.80 / 0.90 class-aware thresholds; below threshold returns "Not Recognised".</w:t>
      </w:r>
    </w:p>
    <w:p>
      <w:pPr>
        <w:pStyle w:val="ListBullet"/>
        <w:spacing w:after="60"/>
      </w:pPr>
      <w:r>
        <w:t>7. Response building — the class is mapped to a human-readable status (e.g., "Tomato Leaf – Early Blight"), a danger assessment (e.g., food-poisoning risk for rotten fruit), and curated treatment advice (e.g., "Remove infected leaves, apply fungicide, rotate crops").</w:t>
      </w:r>
    </w:p>
    <w:p>
      <w:pPr>
        <w:spacing w:after="120"/>
      </w:pPr>
      <w:r>
        <w:rPr>
          <w:b w:val="0"/>
          <w:i w:val="0"/>
        </w:rPr>
        <w:t>The JSON response contains: success flag, message, status, confidence percentage, danger, advice, optional warning, and the raw class_name (used by clients to pre-fill the feedback form).</w:t>
      </w:r>
    </w:p>
    <w:p>
      <w:pPr>
        <w:pStyle w:val="Heading1"/>
      </w:pPr>
      <w:r>
        <w:t>8. Continuous Learning — Feedback and Automatic Retraining</w:t>
      </w:r>
    </w:p>
    <w:p>
      <w:pPr>
        <w:spacing w:after="120"/>
      </w:pPr>
      <w:r>
        <w:rPr>
          <w:b w:val="0"/>
          <w:i w:val="0"/>
        </w:rPr>
        <w:t>The system implements a human-in-the-loop learning cycle:</w:t>
      </w:r>
    </w:p>
    <w:p>
      <w:pPr>
        <w:pStyle w:val="ListBullet"/>
        <w:spacing w:after="60"/>
      </w:pPr>
      <w:r>
        <w:rPr>
          <w:b/>
        </w:rPr>
        <w:t xml:space="preserve">Feedback capture. </w:t>
      </w:r>
      <w:r>
        <w:t>POST /feedback accepts an image plus the user-confirmed correct label. The label is validated against the known class list; the image is stored under feedback_data/&lt;label&gt;/ with a timestamped filename.</w:t>
      </w:r>
    </w:p>
    <w:p>
      <w:pPr>
        <w:pStyle w:val="ListBullet"/>
        <w:spacing w:after="60"/>
      </w:pPr>
      <w:r>
        <w:rPr>
          <w:b/>
        </w:rPr>
        <w:t xml:space="preserve">Automatic trigger. </w:t>
      </w:r>
      <w:r>
        <w:t>After every feedback submission the engine counts images collected since the last retrain. Once the threshold is reached (default 10, configurable), fine-tuning starts automatically in a background thread. A lock plus double-checked flag guarantees only one retraining job can run at a time.</w:t>
      </w:r>
    </w:p>
    <w:p>
      <w:pPr>
        <w:pStyle w:val="ListBullet"/>
        <w:spacing w:after="60"/>
      </w:pPr>
      <w:r>
        <w:rPr>
          <w:b/>
        </w:rPr>
        <w:t xml:space="preserve">Conservative fine-tuning. </w:t>
      </w:r>
      <w:r>
        <w:t>The current model is fine-tuned on the accumulated feedback with a very low learning rate (1e-5), up to 10 epochs with early stopping — enough to absorb the corrections without catastrophically forgetting the original 79k-image training.</w:t>
      </w:r>
    </w:p>
    <w:p>
      <w:pPr>
        <w:pStyle w:val="ListBullet"/>
        <w:spacing w:after="60"/>
      </w:pPr>
      <w:r>
        <w:rPr>
          <w:b/>
        </w:rPr>
        <w:t xml:space="preserve">Hot reload. </w:t>
      </w:r>
      <w:r>
        <w:t>The retrained model is saved and then atomically swapped into the running service. Users experience zero downtime; the very next prediction uses the improved weights.</w:t>
      </w:r>
    </w:p>
    <w:p>
      <w:pPr>
        <w:pStyle w:val="ListBullet"/>
        <w:spacing w:after="60"/>
      </w:pPr>
      <w:r>
        <w:rPr>
          <w:b/>
        </w:rPr>
        <w:t xml:space="preserve">Observability. </w:t>
      </w:r>
      <w:r>
        <w:t>GET /retrain/status reports whether training is running, progress toward the next trigger, total samples, and a log of recent retraining events.</w:t>
      </w:r>
    </w:p>
    <w:p>
      <w:pPr>
        <w:spacing w:after="120"/>
      </w:pPr>
      <w:r>
        <w:rPr>
          <w:b w:val="0"/>
          <w:i w:val="0"/>
        </w:rPr>
        <w:t>A marker file (retrain_marker.json) records the feedback count at the last retrain, so progress counting survives server restarts.</w:t>
      </w:r>
    </w:p>
    <w:p>
      <w:pPr>
        <w:pStyle w:val="Heading1"/>
      </w:pPr>
      <w:r>
        <w:t>9. Technology Stack</w:t>
      </w:r>
    </w:p>
    <w:tbl>
      <w:tblPr>
        <w:tblStyle w:val="LightGrid-Accent6"/>
        <w:tblW w:type="auto" w:w="0"/>
        <w:jc w:val="center"/>
        <w:tblLook w:firstColumn="1" w:firstRow="1" w:lastColumn="0" w:lastRow="0" w:noHBand="0" w:noVBand="1" w:val="04A0"/>
      </w:tblPr>
      <w:tblGrid>
        <w:gridCol w:w="2880"/>
        <w:gridCol w:w="2880"/>
        <w:gridCol w:w="2880"/>
      </w:tblGrid>
      <w:tr>
        <w:tc>
          <w:tcPr>
            <w:tcW w:type="dxa" w:w="2016"/>
          </w:tcPr>
          <w:p>
            <w:r/>
            <w:r>
              <w:rPr>
                <w:b/>
              </w:rPr>
              <w:t>Layer</w:t>
            </w:r>
          </w:p>
        </w:tc>
        <w:tc>
          <w:tcPr>
            <w:tcW w:type="dxa" w:w="3600"/>
          </w:tcPr>
          <w:p>
            <w:r/>
            <w:r>
              <w:rPr>
                <w:b/>
              </w:rPr>
              <w:t>Technology</w:t>
            </w:r>
          </w:p>
        </w:tc>
        <w:tc>
          <w:tcPr>
            <w:tcW w:type="dxa" w:w="3744"/>
          </w:tcPr>
          <w:p>
            <w:r/>
            <w:r>
              <w:rPr>
                <w:b/>
              </w:rPr>
              <w:t>Role</w:t>
            </w:r>
          </w:p>
        </w:tc>
      </w:tr>
      <w:tr>
        <w:tc>
          <w:tcPr>
            <w:tcW w:type="dxa" w:w="2016"/>
          </w:tcPr>
          <w:p>
            <w:r>
              <w:t>Deep learning</w:t>
            </w:r>
          </w:p>
        </w:tc>
        <w:tc>
          <w:tcPr>
            <w:tcW w:type="dxa" w:w="3600"/>
          </w:tcPr>
          <w:p>
            <w:r>
              <w:t>TensorFlow 2.21 / Keras 3.14</w:t>
            </w:r>
          </w:p>
        </w:tc>
        <w:tc>
          <w:tcPr>
            <w:tcW w:type="dxa" w:w="3744"/>
          </w:tcPr>
          <w:p>
            <w:r>
              <w:t>Model definition, training, inference</w:t>
            </w:r>
          </w:p>
        </w:tc>
      </w:tr>
      <w:tr>
        <w:tc>
          <w:tcPr>
            <w:tcW w:type="dxa" w:w="2016"/>
          </w:tcPr>
          <w:p>
            <w:r>
              <w:t>Base network</w:t>
            </w:r>
          </w:p>
        </w:tc>
        <w:tc>
          <w:tcPr>
            <w:tcW w:type="dxa" w:w="3600"/>
          </w:tcPr>
          <w:p>
            <w:r>
              <w:t>EfficientNetB0 (ImageNet weights)</w:t>
            </w:r>
          </w:p>
        </w:tc>
        <w:tc>
          <w:tcPr>
            <w:tcW w:type="dxa" w:w="3744"/>
          </w:tcPr>
          <w:p>
            <w:r>
              <w:t>Feature extraction backbone for both models</w:t>
            </w:r>
          </w:p>
        </w:tc>
      </w:tr>
      <w:tr>
        <w:tc>
          <w:tcPr>
            <w:tcW w:type="dxa" w:w="2016"/>
          </w:tcPr>
          <w:p>
            <w:r>
              <w:t>AI service</w:t>
            </w:r>
          </w:p>
        </w:tc>
        <w:tc>
          <w:tcPr>
            <w:tcW w:type="dxa" w:w="3600"/>
          </w:tcPr>
          <w:p>
            <w:r>
              <w:t>FastAPI + Uvicorn (Python)</w:t>
            </w:r>
          </w:p>
        </w:tc>
        <w:tc>
          <w:tcPr>
            <w:tcW w:type="dxa" w:w="3744"/>
          </w:tcPr>
          <w:p>
            <w:r>
              <w:t>Async inference API with automatic validation</w:t>
            </w:r>
          </w:p>
        </w:tc>
      </w:tr>
      <w:tr>
        <w:tc>
          <w:tcPr>
            <w:tcW w:type="dxa" w:w="2016"/>
          </w:tcPr>
          <w:p>
            <w:r>
              <w:t>Gateway</w:t>
            </w:r>
          </w:p>
        </w:tc>
        <w:tc>
          <w:tcPr>
            <w:tcW w:type="dxa" w:w="3600"/>
          </w:tcPr>
          <w:p>
            <w:r>
              <w:t>Express 5 + Multer + Axios (Node.js)</w:t>
            </w:r>
          </w:p>
        </w:tc>
        <w:tc>
          <w:tcPr>
            <w:tcW w:type="dxa" w:w="3744"/>
          </w:tcPr>
          <w:p>
            <w:r>
              <w:t>Public API, upload validation, proxying, error mapping</w:t>
            </w:r>
          </w:p>
        </w:tc>
      </w:tr>
      <w:tr>
        <w:tc>
          <w:tcPr>
            <w:tcW w:type="dxa" w:w="2016"/>
          </w:tcPr>
          <w:p>
            <w:r>
              <w:t>Imaging</w:t>
            </w:r>
          </w:p>
        </w:tc>
        <w:tc>
          <w:tcPr>
            <w:tcW w:type="dxa" w:w="3600"/>
          </w:tcPr>
          <w:p>
            <w:r>
              <w:t>Pillow, NumPy</w:t>
            </w:r>
          </w:p>
        </w:tc>
        <w:tc>
          <w:tcPr>
            <w:tcW w:type="dxa" w:w="3744"/>
          </w:tcPr>
          <w:p>
            <w:r>
              <w:t>Decoding, resizing, tensor preparation</w:t>
            </w:r>
          </w:p>
        </w:tc>
      </w:tr>
      <w:tr>
        <w:tc>
          <w:tcPr>
            <w:tcW w:type="dxa" w:w="2016"/>
          </w:tcPr>
          <w:p>
            <w:r>
              <w:t>Configuration</w:t>
            </w:r>
          </w:p>
        </w:tc>
        <w:tc>
          <w:tcPr>
            <w:tcW w:type="dxa" w:w="3600"/>
          </w:tcPr>
          <w:p>
            <w:r>
              <w:t>dotenv / environment variables</w:t>
            </w:r>
          </w:p>
        </w:tc>
        <w:tc>
          <w:tcPr>
            <w:tcW w:type="dxa" w:w="3744"/>
          </w:tcPr>
          <w:p>
            <w:r>
              <w:t>Thresholds, ports and trigger counts tunable without code changes</w:t>
            </w:r>
          </w:p>
        </w:tc>
      </w:tr>
      <w:tr>
        <w:tc>
          <w:tcPr>
            <w:tcW w:type="dxa" w:w="2016"/>
          </w:tcPr>
          <w:p>
            <w:r>
              <w:t>Training data tooling</w:t>
            </w:r>
          </w:p>
        </w:tc>
        <w:tc>
          <w:tcPr>
            <w:tcW w:type="dxa" w:w="3600"/>
          </w:tcPr>
          <w:p>
            <w:r>
              <w:t>TensorFlow Datasets (Imagenette)</w:t>
            </w:r>
          </w:p>
        </w:tc>
        <w:tc>
          <w:tcPr>
            <w:tcW w:type="dxa" w:w="3744"/>
          </w:tcPr>
          <w:p>
            <w:r>
              <w:t>Negative samples for the gate model</w:t>
            </w:r>
          </w:p>
        </w:tc>
      </w:tr>
    </w:tbl>
    <w:p>
      <w:pPr>
        <w:spacing w:after="80"/>
      </w:pPr>
    </w:p>
    <w:p>
      <w:pPr>
        <w:pStyle w:val="Heading1"/>
      </w:pPr>
      <w:r>
        <w:t>10. Key Design Decisions and Justifications</w:t>
      </w:r>
    </w:p>
    <w:tbl>
      <w:tblPr>
        <w:tblStyle w:val="LightGrid-Accent6"/>
        <w:tblW w:type="auto" w:w="0"/>
        <w:jc w:val="center"/>
        <w:tblLook w:firstColumn="1" w:firstRow="1" w:lastColumn="0" w:lastRow="0" w:noHBand="0" w:noVBand="1" w:val="04A0"/>
      </w:tblPr>
      <w:tblGrid>
        <w:gridCol w:w="2880"/>
        <w:gridCol w:w="2880"/>
        <w:gridCol w:w="2880"/>
      </w:tblGrid>
      <w:tr>
        <w:tc>
          <w:tcPr>
            <w:tcW w:type="dxa" w:w="2736"/>
          </w:tcPr>
          <w:p>
            <w:r/>
            <w:r>
              <w:rPr>
                <w:b/>
              </w:rPr>
              <w:t>Decision</w:t>
            </w:r>
          </w:p>
        </w:tc>
        <w:tc>
          <w:tcPr>
            <w:tcW w:type="dxa" w:w="2448"/>
          </w:tcPr>
          <w:p>
            <w:r/>
            <w:r>
              <w:rPr>
                <w:b/>
              </w:rPr>
              <w:t>Alternative considered</w:t>
            </w:r>
          </w:p>
        </w:tc>
        <w:tc>
          <w:tcPr>
            <w:tcW w:type="dxa" w:w="4176"/>
          </w:tcPr>
          <w:p>
            <w:r/>
            <w:r>
              <w:rPr>
                <w:b/>
              </w:rPr>
              <w:t>Why this choice</w:t>
            </w:r>
          </w:p>
        </w:tc>
      </w:tr>
      <w:tr>
        <w:tc>
          <w:tcPr>
            <w:tcW w:type="dxa" w:w="2736"/>
          </w:tcPr>
          <w:p>
            <w:r>
              <w:t>Transfer learning (frozen EfficientNetB0)</w:t>
            </w:r>
          </w:p>
        </w:tc>
        <w:tc>
          <w:tcPr>
            <w:tcW w:type="dxa" w:w="2448"/>
          </w:tcPr>
          <w:p>
            <w:r>
              <w:t>Training a CNN from scratch</w:t>
            </w:r>
          </w:p>
        </w:tc>
        <w:tc>
          <w:tcPr>
            <w:tcW w:type="dxa" w:w="4176"/>
          </w:tcPr>
          <w:p>
            <w:r>
              <w:t>79k images is not enough to train a deep network from scratch to 94%; transfer learning converges faster, generalises better, and runs on modest hardware.</w:t>
            </w:r>
          </w:p>
        </w:tc>
      </w:tr>
      <w:tr>
        <w:tc>
          <w:tcPr>
            <w:tcW w:type="dxa" w:w="2736"/>
          </w:tcPr>
          <w:p>
            <w:r>
              <w:t>Separate gate model</w:t>
            </w:r>
          </w:p>
        </w:tc>
        <w:tc>
          <w:tcPr>
            <w:tcW w:type="dxa" w:w="2448"/>
          </w:tcPr>
          <w:p>
            <w:r>
              <w:t>Adding an 'unknown' class to the main classifier</w:t>
            </w:r>
          </w:p>
        </w:tc>
        <w:tc>
          <w:tcPr>
            <w:tcW w:type="dxa" w:w="4176"/>
          </w:tcPr>
          <w:p>
            <w:r>
              <w:t>An 'unknown' class can never cover the infinite variety of non-plant images; a dedicated binary gate trained on diverse real-world negatives is more reliable and cheaper to run first.</w:t>
            </w:r>
          </w:p>
        </w:tc>
      </w:tr>
      <w:tr>
        <w:tc>
          <w:tcPr>
            <w:tcW w:type="dxa" w:w="2736"/>
          </w:tcPr>
          <w:p>
            <w:r>
              <w:t>Imagenette negatives for the gate</w:t>
            </w:r>
          </w:p>
        </w:tc>
        <w:tc>
          <w:tcPr>
            <w:tcW w:type="dxa" w:w="2448"/>
          </w:tcPr>
          <w:p>
            <w:r>
              <w:t>CIFAR-10 negatives</w:t>
            </w:r>
          </w:p>
        </w:tc>
        <w:tc>
          <w:tcPr>
            <w:tcW w:type="dxa" w:w="4176"/>
          </w:tcPr>
          <w:p>
            <w:r>
              <w:t>CIFAR-10's 32×32 images teach the gate a resolution/blur shortcut instead of content; Imagenette provides full-resolution real photos, forcing genuine semantic discrimination.</w:t>
            </w:r>
          </w:p>
        </w:tc>
      </w:tr>
      <w:tr>
        <w:tc>
          <w:tcPr>
            <w:tcW w:type="dxa" w:w="2736"/>
          </w:tcPr>
          <w:p>
            <w:r>
              <w:t>Higher threshold for healthy classes (0.90 vs 0.80)</w:t>
            </w:r>
          </w:p>
        </w:tc>
        <w:tc>
          <w:tcPr>
            <w:tcW w:type="dxa" w:w="2448"/>
          </w:tcPr>
          <w:p>
            <w:r>
              <w:t>One uniform threshold</w:t>
            </w:r>
          </w:p>
        </w:tc>
        <w:tc>
          <w:tcPr>
            <w:tcW w:type="dxa" w:w="4176"/>
          </w:tcPr>
          <w:p>
            <w:r>
              <w:t>Random clean photos disproportionately land in 'healthy/fresh' classes; the asymmetric threshold counteracts that bias. A false 'healthy' verdict on a diseased plant is also the costliest error.</w:t>
            </w:r>
          </w:p>
        </w:tc>
      </w:tr>
      <w:tr>
        <w:tc>
          <w:tcPr>
            <w:tcW w:type="dxa" w:w="2736"/>
          </w:tcPr>
          <w:p>
            <w:r>
              <w:t>Fine-tune at lr 1e-5 on feedback</w:t>
            </w:r>
          </w:p>
        </w:tc>
        <w:tc>
          <w:tcPr>
            <w:tcW w:type="dxa" w:w="2448"/>
          </w:tcPr>
          <w:p>
            <w:r>
              <w:t>Full retraining on the whole dataset</w:t>
            </w:r>
          </w:p>
        </w:tc>
        <w:tc>
          <w:tcPr>
            <w:tcW w:type="dxa" w:w="4176"/>
          </w:tcPr>
          <w:p>
            <w:r>
              <w:t>Full retraining takes ~40 hours; low-LR fine-tuning absorbs corrections in minutes while preserving existing knowledge.</w:t>
            </w:r>
          </w:p>
        </w:tc>
      </w:tr>
      <w:tr>
        <w:tc>
          <w:tcPr>
            <w:tcW w:type="dxa" w:w="2736"/>
          </w:tcPr>
          <w:p>
            <w:r>
              <w:t>Background thread + hot reload</w:t>
            </w:r>
          </w:p>
        </w:tc>
        <w:tc>
          <w:tcPr>
            <w:tcW w:type="dxa" w:w="2448"/>
          </w:tcPr>
          <w:p>
            <w:r>
              <w:t>Taking the service down to retrain</w:t>
            </w:r>
          </w:p>
        </w:tc>
        <w:tc>
          <w:tcPr>
            <w:tcW w:type="dxa" w:w="4176"/>
          </w:tcPr>
          <w:p>
            <w:r>
              <w:t>Predictions keep flowing during retraining; the model swap is a single reference assignment, which is atomic in Python.</w:t>
            </w:r>
          </w:p>
        </w:tc>
      </w:tr>
      <w:tr>
        <w:tc>
          <w:tcPr>
            <w:tcW w:type="dxa" w:w="2736"/>
          </w:tcPr>
          <w:p>
            <w:r>
              <w:t>Express gateway in front of FastAPI</w:t>
            </w:r>
          </w:p>
        </w:tc>
        <w:tc>
          <w:tcPr>
            <w:tcW w:type="dxa" w:w="2448"/>
          </w:tcPr>
          <w:p>
            <w:r>
              <w:t>Exposing FastAPI directly</w:t>
            </w:r>
          </w:p>
        </w:tc>
        <w:tc>
          <w:tcPr>
            <w:tcW w:type="dxa" w:w="4176"/>
          </w:tcPr>
          <w:p>
            <w:r>
              <w:t>Separates public-facing concerns, adds an independent validation layer, isolates clients from engine restarts, and provides a natural place for future auth/rate-limiting.</w:t>
            </w:r>
          </w:p>
        </w:tc>
      </w:tr>
    </w:tbl>
    <w:p>
      <w:pPr>
        <w:spacing w:after="80"/>
      </w:pPr>
    </w:p>
    <w:p>
      <w:pPr>
        <w:pStyle w:val="Heading1"/>
      </w:pPr>
      <w:r>
        <w:t>11. Limitations and Future Work</w:t>
      </w:r>
    </w:p>
    <w:p>
      <w:pPr>
        <w:pStyle w:val="ListBullet"/>
        <w:spacing w:after="60"/>
      </w:pPr>
      <w:r>
        <w:t>Scope: only apple and tomato are supported; extending to more crops requires new data and retraining (the architecture itself scales by changing the output layer).</w:t>
      </w:r>
    </w:p>
    <w:p>
      <w:pPr>
        <w:pStyle w:val="ListBullet"/>
        <w:spacing w:after="60"/>
      </w:pPr>
      <w:r>
        <w:t>Dataset bias: PlantVillage-style images have fairly uniform backgrounds; field photos with cluttered backgrounds are harder — the confidence thresholds mitigate but do not eliminate this.</w:t>
      </w:r>
    </w:p>
    <w:p>
      <w:pPr>
        <w:pStyle w:val="ListBullet"/>
        <w:spacing w:after="60"/>
      </w:pPr>
      <w:r>
        <w:t>Feedback trust: feedback labels are accepted as ground truth; a malicious or careless user could submit wrong labels. Future work: moderation queue or agreement-based filtering before images enter retraining.</w:t>
      </w:r>
    </w:p>
    <w:p>
      <w:pPr>
        <w:pStyle w:val="ListBullet"/>
        <w:spacing w:after="60"/>
      </w:pPr>
      <w:r>
        <w:t>Retraining data: fine-tuning uses only feedback images; mixing in a replay buffer of original training data would further guard against drift and catastrophic forgetting.</w:t>
      </w:r>
    </w:p>
    <w:p>
      <w:pPr>
        <w:pStyle w:val="ListBullet"/>
        <w:spacing w:after="60"/>
      </w:pPr>
      <w:r>
        <w:t>Evaluation of retrains: a new model is deployed without an automatic holdout evaluation; adding a validation gate before hot-reload is a planned hardening step.</w:t>
      </w:r>
    </w:p>
    <w:p>
      <w:pPr>
        <w:pStyle w:val="ListBullet"/>
        <w:spacing w:after="60"/>
      </w:pPr>
      <w:r>
        <w:t>Single-instance state: feedback counting and the retrain lock are in-process; horizontal scaling would need shared storage and a job queue.</w:t>
      </w:r>
    </w:p>
    <w:p>
      <w:pPr>
        <w:pStyle w:val="ListBullet"/>
        <w:spacing w:after="60"/>
      </w:pPr>
      <w:r>
        <w:t>Security hardening for public deployment: authentication, rate limiting, and HTTPS termination would be added at the gateway.</w:t>
      </w:r>
    </w:p>
    <w:p>
      <w:pPr>
        <w:pStyle w:val="Heading1"/>
      </w:pPr>
      <w:r>
        <w:t>12. Anticipated Defense Questions and Suggested Answers</w:t>
      </w:r>
    </w:p>
    <w:p>
      <w:pPr>
        <w:spacing w:after="40"/>
      </w:pPr>
      <w:r>
        <w:rPr>
          <w:b/>
          <w:i w:val="0"/>
        </w:rPr>
        <w:t>Q: Why EfficientNetB0 and not ResNet50, VGG16, or a Vision Transformer?</w:t>
      </w:r>
    </w:p>
    <w:p>
      <w:pPr>
        <w:spacing w:after="200"/>
      </w:pPr>
      <w:r>
        <w:rPr>
          <w:b w:val="0"/>
          <w:i w:val="0"/>
        </w:rPr>
        <w:t>A: EfficientNetB0 gives the best accuracy-per-FLOP of the classic CNN families thanks to compound scaling of depth, width and resolution. VGG16 is ~5× larger with lower accuracy; ResNet50 is heavier for similar accuracy; ViTs need far more data or heavy augmentation to outperform CNNs at this dataset size, and are slower on CPU inference. B0 lets the whole service run in real time without a GPU.</w:t>
      </w:r>
    </w:p>
    <w:p>
      <w:pPr>
        <w:spacing w:after="40"/>
      </w:pPr>
      <w:r>
        <w:rPr>
          <w:b/>
          <w:i w:val="0"/>
        </w:rPr>
        <w:t>Q: How do you know the model isn't overfitting?</w:t>
      </w:r>
    </w:p>
    <w:p>
      <w:pPr>
        <w:spacing w:after="200"/>
      </w:pPr>
      <w:r>
        <w:rPr>
          <w:b w:val="0"/>
          <w:i w:val="0"/>
        </w:rPr>
        <w:t>A: Three signals: validation accuracy (94.0%) tracks training accuracy (92.5%) closely — validation is actually slightly higher because dropout and augmentation are active only during training; validation loss decreased steadily across all 30 epochs; and the head uses strong regularisation (Dropout 0.5, BatchNorm) while the backbone is frozen entirely.</w:t>
      </w:r>
    </w:p>
    <w:p>
      <w:pPr>
        <w:spacing w:after="40"/>
      </w:pPr>
      <w:r>
        <w:rPr>
          <w:b/>
          <w:i w:val="0"/>
        </w:rPr>
        <w:t>Q: What happens if I upload a picture of a dog or a car?</w:t>
      </w:r>
    </w:p>
    <w:p>
      <w:pPr>
        <w:spacing w:after="200"/>
      </w:pPr>
      <w:r>
        <w:rPr>
          <w:b w:val="0"/>
          <w:i w:val="0"/>
        </w:rPr>
        <w:t>A: The gate model scores it below 0.60 and the API returns 'Not Recognised' with photography guidance — the disease classifier never even runs. If an unusual image slips past the gate, the 0.80/0.90 confidence thresholds provide a second rejection layer.</w:t>
      </w:r>
    </w:p>
    <w:p>
      <w:pPr>
        <w:spacing w:after="40"/>
      </w:pPr>
      <w:r>
        <w:rPr>
          <w:b/>
          <w:i w:val="0"/>
        </w:rPr>
        <w:t>Q: Could the feedback loop make the model worse?</w:t>
      </w:r>
    </w:p>
    <w:p>
      <w:pPr>
        <w:spacing w:after="200"/>
      </w:pPr>
      <w:r>
        <w:rPr>
          <w:b w:val="0"/>
          <w:i w:val="0"/>
        </w:rPr>
        <w:t>A: It is deliberately conservative: fine-tuning uses a very low learning rate (1e-5) with early stopping, requires a minimum batch of images, and only labels from the known class list are accepted. Acknowledged residual risk — mislabelled feedback — is addressed in future work (moderation and pre-deployment validation).</w:t>
      </w:r>
    </w:p>
    <w:p>
      <w:pPr>
        <w:spacing w:after="40"/>
      </w:pPr>
      <w:r>
        <w:rPr>
          <w:b/>
          <w:i w:val="0"/>
        </w:rPr>
        <w:t>Q: Why is the healthy-class threshold higher than the disease threshold?</w:t>
      </w:r>
    </w:p>
    <w:p>
      <w:pPr>
        <w:spacing w:after="200"/>
      </w:pPr>
      <w:r>
        <w:rPr>
          <w:b w:val="0"/>
          <w:i w:val="0"/>
        </w:rPr>
        <w:t>A: Empirically, random non-plant or ambiguous photos that get past the gate tend to be classified as 'healthy' or 'fresh' because those classes resemble generic clean photos. Requiring 0.90 confidence there filters such cases. It also embodies a safety asymmetry: a false 'healthy' on a diseased crop is costlier than asking the user for a better photo.</w:t>
      </w:r>
    </w:p>
    <w:p>
      <w:pPr>
        <w:spacing w:after="40"/>
      </w:pPr>
      <w:r>
        <w:rPr>
          <w:b/>
          <w:i w:val="0"/>
        </w:rPr>
        <w:t>Q: How does the system stay available while retraining?</w:t>
      </w:r>
    </w:p>
    <w:p>
      <w:pPr>
        <w:spacing w:after="200"/>
      </w:pPr>
      <w:r>
        <w:rPr>
          <w:b w:val="0"/>
          <w:i w:val="0"/>
        </w:rPr>
        <w:t>A: Retraining runs in a daemon background thread on a copy of the model loaded from disk; the serving model keeps answering requests. When training finishes, the global model reference is swapped in one assignment — effectively atomic under Python's GIL — so there is no downtime and no torn state.</w:t>
      </w:r>
    </w:p>
    <w:p>
      <w:pPr>
        <w:spacing w:after="40"/>
      </w:pPr>
      <w:r>
        <w:rPr>
          <w:b/>
          <w:i w:val="0"/>
        </w:rPr>
        <w:t>Q: How would you scale this to production traffic?</w:t>
      </w:r>
    </w:p>
    <w:p>
      <w:pPr>
        <w:spacing w:after="200"/>
      </w:pPr>
      <w:r>
        <w:rPr>
          <w:b w:val="0"/>
          <w:i w:val="0"/>
        </w:rPr>
        <w:t>A: Run multiple Uvicorn workers or replicas of the AI engine behind the gateway, move feedback storage to object storage (e.g., S3) and the retrain trigger to a job queue, serve the model via a dedicated inference server (TF Serving) with versioned models, and add caching, auth and rate limiting at the gateway.</w:t>
      </w:r>
    </w:p>
    <w:p>
      <w:pPr>
        <w:spacing w:after="40"/>
      </w:pPr>
      <w:r>
        <w:rPr>
          <w:b/>
          <w:i w:val="0"/>
        </w:rPr>
        <w:t>Q: How were the thresholds (0.60 gate, 0.80/0.90 confidence) chosen?</w:t>
      </w:r>
    </w:p>
    <w:p>
      <w:pPr>
        <w:spacing w:after="200"/>
      </w:pPr>
      <w:r>
        <w:rPr>
          <w:b w:val="0"/>
          <w:i w:val="0"/>
        </w:rPr>
        <w:t>A: With the diagnose_gate.py diagnostic tool: it scores folders of known plant and non-plant images and reports what fraction falls below candidate thresholds, allowing the operating point to be picked empirically. All three thresholds are environment variables, so they can be re-tuned in deployment without touching code.</w:t>
      </w:r>
    </w:p>
    <w:p>
      <w:pPr>
        <w:pStyle w:val="Heading1"/>
      </w:pPr>
      <w:r>
        <w:t>Appendix A — API Reference</w:t>
      </w:r>
    </w:p>
    <w:tbl>
      <w:tblPr>
        <w:tblStyle w:val="LightGrid-Accent6"/>
        <w:tblW w:type="auto" w:w="0"/>
        <w:jc w:val="center"/>
        <w:tblLook w:firstColumn="1" w:firstRow="1" w:lastColumn="0" w:lastRow="0" w:noHBand="0" w:noVBand="1" w:val="04A0"/>
      </w:tblPr>
      <w:tblGrid>
        <w:gridCol w:w="2880"/>
        <w:gridCol w:w="2880"/>
        <w:gridCol w:w="2880"/>
      </w:tblGrid>
      <w:tr>
        <w:tc>
          <w:tcPr>
            <w:tcW w:type="dxa" w:w="2448"/>
          </w:tcPr>
          <w:p>
            <w:r/>
            <w:r>
              <w:rPr>
                <w:b/>
              </w:rPr>
              <w:t>Method &amp; Path</w:t>
            </w:r>
          </w:p>
        </w:tc>
        <w:tc>
          <w:tcPr>
            <w:tcW w:type="dxa" w:w="3456"/>
          </w:tcPr>
          <w:p>
            <w:r/>
            <w:r>
              <w:rPr>
                <w:b/>
              </w:rPr>
              <w:t>Purpose</w:t>
            </w:r>
          </w:p>
        </w:tc>
        <w:tc>
          <w:tcPr>
            <w:tcW w:type="dxa" w:w="3456"/>
          </w:tcPr>
          <w:p>
            <w:r/>
            <w:r>
              <w:rPr>
                <w:b/>
              </w:rPr>
              <w:t>Key responses</w:t>
            </w:r>
          </w:p>
        </w:tc>
      </w:tr>
      <w:tr>
        <w:tc>
          <w:tcPr>
            <w:tcW w:type="dxa" w:w="2448"/>
          </w:tcPr>
          <w:p>
            <w:r>
              <w:t>GET /health</w:t>
            </w:r>
          </w:p>
        </w:tc>
        <w:tc>
          <w:tcPr>
            <w:tcW w:type="dxa" w:w="3456"/>
          </w:tcPr>
          <w:p>
            <w:r>
              <w:t>Liveness of gateway and AI engine</w:t>
            </w:r>
          </w:p>
        </w:tc>
        <w:tc>
          <w:tcPr>
            <w:tcW w:type="dxa" w:w="3456"/>
          </w:tcPr>
          <w:p>
            <w:r>
              <w:t>status: ok / degraded</w:t>
            </w:r>
          </w:p>
        </w:tc>
      </w:tr>
      <w:tr>
        <w:tc>
          <w:tcPr>
            <w:tcW w:type="dxa" w:w="2448"/>
          </w:tcPr>
          <w:p>
            <w:r>
              <w:t>GET /classes</w:t>
            </w:r>
          </w:p>
        </w:tc>
        <w:tc>
          <w:tcPr>
            <w:tcW w:type="dxa" w:w="3456"/>
          </w:tcPr>
          <w:p>
            <w:r>
              <w:t>List of the 18 valid class labels</w:t>
            </w:r>
          </w:p>
        </w:tc>
        <w:tc>
          <w:tcPr>
            <w:tcW w:type="dxa" w:w="3456"/>
          </w:tcPr>
          <w:p>
            <w:r>
              <w:t>classes: [...]</w:t>
            </w:r>
          </w:p>
        </w:tc>
      </w:tr>
      <w:tr>
        <w:tc>
          <w:tcPr>
            <w:tcW w:type="dxa" w:w="2448"/>
          </w:tcPr>
          <w:p>
            <w:r>
              <w:t>POST /predict</w:t>
            </w:r>
          </w:p>
        </w:tc>
        <w:tc>
          <w:tcPr>
            <w:tcW w:type="dxa" w:w="3456"/>
          </w:tcPr>
          <w:p>
            <w:r>
              <w:t>Diagnose an uploaded image (multipart 'file')</w:t>
            </w:r>
          </w:p>
        </w:tc>
        <w:tc>
          <w:tcPr>
            <w:tcW w:type="dxa" w:w="3456"/>
          </w:tcPr>
          <w:p>
            <w:r>
              <w:t>message, status, confidence, danger, advice, warning, class_name</w:t>
            </w:r>
          </w:p>
        </w:tc>
      </w:tr>
      <w:tr>
        <w:tc>
          <w:tcPr>
            <w:tcW w:type="dxa" w:w="2448"/>
          </w:tcPr>
          <w:p>
            <w:r>
              <w:t>POST /feedback</w:t>
            </w:r>
          </w:p>
        </w:tc>
        <w:tc>
          <w:tcPr>
            <w:tcW w:type="dxa" w:w="3456"/>
          </w:tcPr>
          <w:p>
            <w:r>
              <w:t>Submit corrected label (multipart 'file' + 'label')</w:t>
            </w:r>
          </w:p>
        </w:tc>
        <w:tc>
          <w:tcPr>
            <w:tcW w:type="dxa" w:w="3456"/>
          </w:tcPr>
          <w:p>
            <w:r>
              <w:t>progress toward retrain threshold, retrain_triggered flag</w:t>
            </w:r>
          </w:p>
        </w:tc>
      </w:tr>
      <w:tr>
        <w:tc>
          <w:tcPr>
            <w:tcW w:type="dxa" w:w="2448"/>
          </w:tcPr>
          <w:p>
            <w:r>
              <w:t>GET /retrain/status</w:t>
            </w:r>
          </w:p>
        </w:tc>
        <w:tc>
          <w:tcPr>
            <w:tcW w:type="dxa" w:w="3456"/>
          </w:tcPr>
          <w:p>
            <w:r>
              <w:t>Retraining progress and event log</w:t>
            </w:r>
          </w:p>
        </w:tc>
        <w:tc>
          <w:tcPr>
            <w:tcW w:type="dxa" w:w="3456"/>
          </w:tcPr>
          <w:p>
            <w:r>
              <w:t>status, progress, threshold, total_samples, log</w:t>
            </w:r>
          </w:p>
        </w:tc>
      </w:tr>
    </w:tbl>
    <w:p>
      <w:pPr>
        <w:spacing w:after="80"/>
      </w:pPr>
    </w:p>
    <w:p>
      <w:pPr>
        <w:pStyle w:val="Heading1"/>
      </w:pPr>
      <w:r>
        <w:t>Appendix B — Configuration (environment variables)</w:t>
      </w:r>
    </w:p>
    <w:tbl>
      <w:tblPr>
        <w:tblStyle w:val="LightGrid-Accent6"/>
        <w:tblW w:type="auto" w:w="0"/>
        <w:jc w:val="center"/>
        <w:tblLook w:firstColumn="1" w:firstRow="1" w:lastColumn="0" w:lastRow="0" w:noHBand="0" w:noVBand="1" w:val="04A0"/>
      </w:tblPr>
      <w:tblGrid>
        <w:gridCol w:w="2880"/>
        <w:gridCol w:w="2880"/>
        <w:gridCol w:w="2880"/>
      </w:tblGrid>
      <w:tr>
        <w:tc>
          <w:tcPr>
            <w:tcW w:type="dxa" w:w="3024"/>
          </w:tcPr>
          <w:p>
            <w:r/>
            <w:r>
              <w:rPr>
                <w:b/>
              </w:rPr>
              <w:t>Variable</w:t>
            </w:r>
          </w:p>
        </w:tc>
        <w:tc>
          <w:tcPr>
            <w:tcW w:type="dxa" w:w="2448"/>
          </w:tcPr>
          <w:p>
            <w:r/>
            <w:r>
              <w:rPr>
                <w:b/>
              </w:rPr>
              <w:t>Default</w:t>
            </w:r>
          </w:p>
        </w:tc>
        <w:tc>
          <w:tcPr>
            <w:tcW w:type="dxa" w:w="3888"/>
          </w:tcPr>
          <w:p>
            <w:r/>
            <w:r>
              <w:rPr>
                <w:b/>
              </w:rPr>
              <w:t>Meaning</w:t>
            </w:r>
          </w:p>
        </w:tc>
      </w:tr>
      <w:tr>
        <w:tc>
          <w:tcPr>
            <w:tcW w:type="dxa" w:w="3024"/>
          </w:tcPr>
          <w:p>
            <w:r>
              <w:t>PORT</w:t>
            </w:r>
          </w:p>
        </w:tc>
        <w:tc>
          <w:tcPr>
            <w:tcW w:type="dxa" w:w="2448"/>
          </w:tcPr>
          <w:p>
            <w:r>
              <w:t>3000</w:t>
            </w:r>
          </w:p>
        </w:tc>
        <w:tc>
          <w:tcPr>
            <w:tcW w:type="dxa" w:w="3888"/>
          </w:tcPr>
          <w:p>
            <w:r>
              <w:t>Express gateway port</w:t>
            </w:r>
          </w:p>
        </w:tc>
      </w:tr>
      <w:tr>
        <w:tc>
          <w:tcPr>
            <w:tcW w:type="dxa" w:w="3024"/>
          </w:tcPr>
          <w:p>
            <w:r>
              <w:t>PYTHON_API_URL</w:t>
            </w:r>
          </w:p>
        </w:tc>
        <w:tc>
          <w:tcPr>
            <w:tcW w:type="dxa" w:w="2448"/>
          </w:tcPr>
          <w:p>
            <w:r>
              <w:t>http://localhost:8000</w:t>
            </w:r>
          </w:p>
        </w:tc>
        <w:tc>
          <w:tcPr>
            <w:tcW w:type="dxa" w:w="3888"/>
          </w:tcPr>
          <w:p>
            <w:r>
              <w:t>Address of the AI engine</w:t>
            </w:r>
          </w:p>
        </w:tc>
      </w:tr>
      <w:tr>
        <w:tc>
          <w:tcPr>
            <w:tcW w:type="dxa" w:w="3024"/>
          </w:tcPr>
          <w:p>
            <w:r>
              <w:t>GATE_THRESHOLD</w:t>
            </w:r>
          </w:p>
        </w:tc>
        <w:tc>
          <w:tcPr>
            <w:tcW w:type="dxa" w:w="2448"/>
          </w:tcPr>
          <w:p>
            <w:r>
              <w:t>0.60</w:t>
            </w:r>
          </w:p>
        </w:tc>
        <w:tc>
          <w:tcPr>
            <w:tcW w:type="dxa" w:w="3888"/>
          </w:tcPr>
          <w:p>
            <w:r>
              <w:t>Gate score below this = not a plant</w:t>
            </w:r>
          </w:p>
        </w:tc>
      </w:tr>
      <w:tr>
        <w:tc>
          <w:tcPr>
            <w:tcW w:type="dxa" w:w="3024"/>
          </w:tcPr>
          <w:p>
            <w:r>
              <w:t>MIN_CONFIDENCE</w:t>
            </w:r>
          </w:p>
        </w:tc>
        <w:tc>
          <w:tcPr>
            <w:tcW w:type="dxa" w:w="2448"/>
          </w:tcPr>
          <w:p>
            <w:r>
              <w:t>0.80</w:t>
            </w:r>
          </w:p>
        </w:tc>
        <w:tc>
          <w:tcPr>
            <w:tcW w:type="dxa" w:w="3888"/>
          </w:tcPr>
          <w:p>
            <w:r>
              <w:t>Minimum confidence for disease/rotten classes</w:t>
            </w:r>
          </w:p>
        </w:tc>
      </w:tr>
      <w:tr>
        <w:tc>
          <w:tcPr>
            <w:tcW w:type="dxa" w:w="3024"/>
          </w:tcPr>
          <w:p>
            <w:r>
              <w:t>MIN_CONFIDENCE_HEALTHY</w:t>
            </w:r>
          </w:p>
        </w:tc>
        <w:tc>
          <w:tcPr>
            <w:tcW w:type="dxa" w:w="2448"/>
          </w:tcPr>
          <w:p>
            <w:r>
              <w:t>0.90</w:t>
            </w:r>
          </w:p>
        </w:tc>
        <w:tc>
          <w:tcPr>
            <w:tcW w:type="dxa" w:w="3888"/>
          </w:tcPr>
          <w:p>
            <w:r>
              <w:t>Stricter minimum for healthy/fresh classes</w:t>
            </w:r>
          </w:p>
        </w:tc>
      </w:tr>
      <w:tr>
        <w:tc>
          <w:tcPr>
            <w:tcW w:type="dxa" w:w="3024"/>
          </w:tcPr>
          <w:p>
            <w:r>
              <w:t>RETRAIN_THRESHOLD</w:t>
            </w:r>
          </w:p>
        </w:tc>
        <w:tc>
          <w:tcPr>
            <w:tcW w:type="dxa" w:w="2448"/>
          </w:tcPr>
          <w:p>
            <w:r>
              <w:t>10</w:t>
            </w:r>
          </w:p>
        </w:tc>
        <w:tc>
          <w:tcPr>
            <w:tcW w:type="dxa" w:w="3888"/>
          </w:tcPr>
          <w:p>
            <w:r>
              <w:t>New feedback images that trigger auto-retraining</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