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AI-Driven Guided Response for SOCs: Engineering Specification</w:t>
      </w:r>
    </w:p>
    <w:p>
      <w:pPr>
        <w:spacing w:after="320"/>
      </w:pPr>
      <w:r>
        <w:rPr>
          <w:rFonts w:ascii="Calibri" w:hAnsi="Calibri"/>
          <w:color w:val="646464"/>
          <w:sz w:val="24"/>
        </w:rPr>
        <w:t>Architectural Breakdown, Data Pipeline Specifications, and Implementation Blueprint</w:t>
      </w:r>
    </w:p>
    <w:p>
      <w:pPr>
        <w:pStyle w:val="Heading1"/>
        <w:keepNext/>
        <w:spacing w:before="280" w:after="80"/>
      </w:pPr>
      <w:r>
        <w:rPr>
          <w:rFonts w:ascii="Calibri" w:hAnsi="Calibri"/>
          <w:b/>
          <w:color w:val="1F4E79"/>
          <w:sz w:val="32"/>
        </w:rPr>
        <w:t>1. Executive Summary &amp; The Core Technological Delta</w:t>
      </w:r>
    </w:p>
    <w:p>
      <w:r>
        <w:rPr>
          <w:i/>
        </w:rPr>
        <w:t>Plain English Summary: Enterprise security analysts are drowning in alerts, but fully autonomous bots are too risky to trust with mission-critical systems. This system acts as an intelligent co-pilot that classifies incidents, retrieves historical twins, and prescribes targeted containment actions with guaranteed high precision.</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1872"/>
            <w:shd w:fill="1F4E79"/>
            <w:tcMar>
              <w:top w:w="140" w:type="dxa"/>
              <w:bottom w:w="140" w:type="dxa"/>
              <w:left w:w="160" w:type="dxa"/>
              <w:right w:w="160" w:type="dxa"/>
            </w:tcMar>
            <w:vAlign w:val="center"/>
          </w:tcPr>
          <w:p>
            <w:pPr>
              <w:jc w:val="left"/>
            </w:pPr>
            <w:r>
              <w:rPr>
                <w:rFonts w:ascii="Calibri" w:hAnsi="Calibri"/>
                <w:b/>
                <w:color w:val="FFFFFF"/>
                <w:sz w:val="19"/>
              </w:rPr>
              <w:t>Component / Concept</w:t>
            </w:r>
          </w:p>
        </w:tc>
        <w:tc>
          <w:tcPr>
            <w:tcW w:type="dxa" w:w="2448"/>
            <w:shd w:fill="1F4E79"/>
            <w:tcMar>
              <w:top w:w="140" w:type="dxa"/>
              <w:bottom w:w="140" w:type="dxa"/>
              <w:left w:w="160" w:type="dxa"/>
              <w:right w:w="160" w:type="dxa"/>
            </w:tcMar>
            <w:vAlign w:val="center"/>
          </w:tcPr>
          <w:p>
            <w:pPr>
              <w:jc w:val="left"/>
            </w:pPr>
            <w:r>
              <w:rPr>
                <w:rFonts w:ascii="Calibri" w:hAnsi="Calibri"/>
                <w:b/>
                <w:color w:val="FFFFFF"/>
                <w:sz w:val="19"/>
              </w:rPr>
              <w:t>Traditional Baseline</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Copilot Guided Response (CGR) Delta</w:t>
            </w:r>
          </w:p>
        </w:tc>
        <w:tc>
          <w:tcPr>
            <w:tcW w:type="dxa" w:w="2448"/>
            <w:shd w:fill="1F4E79"/>
            <w:tcMar>
              <w:top w:w="140" w:type="dxa"/>
              <w:bottom w:w="140" w:type="dxa"/>
              <w:left w:w="160" w:type="dxa"/>
              <w:right w:w="160" w:type="dxa"/>
            </w:tcMar>
            <w:vAlign w:val="center"/>
          </w:tcPr>
          <w:p>
            <w:pPr>
              <w:jc w:val="left"/>
            </w:pPr>
            <w:r>
              <w:rPr>
                <w:rFonts w:ascii="Calibri" w:hAnsi="Calibri"/>
                <w:b/>
                <w:color w:val="FFFFFF"/>
                <w:sz w:val="19"/>
              </w:rPr>
              <w:t>Why It Matters for Engineering</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Automation Model</w:t>
            </w:r>
          </w:p>
        </w:tc>
        <w:tc>
          <w:tcPr>
            <w:tcW w:type="dxa" w:w="2448"/>
            <w:shd w:fill="FFFFFF"/>
            <w:tcMar>
              <w:top w:w="100" w:type="dxa"/>
              <w:bottom w:w="100" w:type="dxa"/>
              <w:left w:w="140" w:type="dxa"/>
              <w:right w:w="140" w:type="dxa"/>
            </w:tcMar>
            <w:vAlign w:val="center"/>
          </w:tcPr>
          <w:p>
            <w:pPr>
              <w:jc w:val="left"/>
            </w:pPr>
            <w:r>
              <w:rPr>
                <w:rFonts w:ascii="Calibri" w:hAnsi="Calibri"/>
                <w:sz w:val="18"/>
              </w:rPr>
              <w:t>Full automation (SOAR) requiring &gt;99% confidence, or purely manual triage by junior tier-1 analysts.</w:t>
            </w:r>
          </w:p>
        </w:tc>
        <w:tc>
          <w:tcPr>
            <w:tcW w:type="dxa" w:w="2592"/>
            <w:shd w:fill="FFFFFF"/>
            <w:tcMar>
              <w:top w:w="100" w:type="dxa"/>
              <w:bottom w:w="100" w:type="dxa"/>
              <w:left w:w="140" w:type="dxa"/>
              <w:right w:w="140" w:type="dxa"/>
            </w:tcMar>
            <w:vAlign w:val="center"/>
          </w:tcPr>
          <w:p>
            <w:pPr>
              <w:jc w:val="left"/>
            </w:pPr>
            <w:r>
              <w:rPr>
                <w:rFonts w:ascii="Calibri" w:hAnsi="Calibri"/>
                <w:sz w:val="18"/>
              </w:rPr>
              <w:t>Guided Human-in-the-Loop response recommending 3 tasks: triage, investigation, and remediation.</w:t>
            </w:r>
          </w:p>
        </w:tc>
        <w:tc>
          <w:tcPr>
            <w:tcW w:type="dxa" w:w="2448"/>
            <w:shd w:fill="FFFFFF"/>
            <w:tcMar>
              <w:top w:w="100" w:type="dxa"/>
              <w:bottom w:w="100" w:type="dxa"/>
              <w:left w:w="140" w:type="dxa"/>
              <w:right w:w="140" w:type="dxa"/>
            </w:tcMar>
            <w:vAlign w:val="center"/>
          </w:tcPr>
          <w:p>
            <w:pPr>
              <w:jc w:val="left"/>
            </w:pPr>
            <w:r>
              <w:rPr>
                <w:rFonts w:ascii="Calibri" w:hAnsi="Calibri"/>
                <w:sz w:val="18"/>
              </w:rPr>
              <w:t>Removes catastrophic downtime risk while cutting analyst triage fatigue by up to 89%.</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Core Classifier Architecture</w:t>
            </w:r>
          </w:p>
        </w:tc>
        <w:tc>
          <w:tcPr>
            <w:tcW w:type="dxa" w:w="2448"/>
            <w:shd w:fill="F2F4F7"/>
            <w:tcMar>
              <w:top w:w="100" w:type="dxa"/>
              <w:bottom w:w="100" w:type="dxa"/>
              <w:left w:w="140" w:type="dxa"/>
              <w:right w:w="140" w:type="dxa"/>
            </w:tcMar>
            <w:vAlign w:val="center"/>
          </w:tcPr>
          <w:p>
            <w:pPr>
              <w:jc w:val="left"/>
            </w:pPr>
            <w:r>
              <w:rPr>
                <w:rFonts w:ascii="Calibri" w:hAnsi="Calibri"/>
                <w:sz w:val="18"/>
              </w:rPr>
              <w:t>Black-box deep neural networks or complex LLM chains that are slow and compute-heavy.</w:t>
            </w:r>
          </w:p>
        </w:tc>
        <w:tc>
          <w:tcPr>
            <w:tcW w:type="dxa" w:w="2592"/>
            <w:shd w:fill="F2F4F7"/>
            <w:tcMar>
              <w:top w:w="100" w:type="dxa"/>
              <w:bottom w:w="100" w:type="dxa"/>
              <w:left w:w="140" w:type="dxa"/>
              <w:right w:w="140" w:type="dxa"/>
            </w:tcMar>
            <w:vAlign w:val="center"/>
          </w:tcPr>
          <w:p>
            <w:pPr>
              <w:jc w:val="left"/>
            </w:pPr>
            <w:r>
              <w:rPr>
                <w:rFonts w:ascii="Calibri" w:hAnsi="Calibri"/>
                <w:sz w:val="18"/>
              </w:rPr>
              <w:t>Decoupled Random Forests with strict precision gating (&gt;=0.90) on top of distributed PCA embeddings.</w:t>
            </w:r>
          </w:p>
        </w:tc>
        <w:tc>
          <w:tcPr>
            <w:tcW w:type="dxa" w:w="2448"/>
            <w:shd w:fill="F2F4F7"/>
            <w:tcMar>
              <w:top w:w="100" w:type="dxa"/>
              <w:bottom w:w="100" w:type="dxa"/>
              <w:left w:w="140" w:type="dxa"/>
              <w:right w:w="140" w:type="dxa"/>
            </w:tcMar>
            <w:vAlign w:val="center"/>
          </w:tcPr>
          <w:p>
            <w:pPr>
              <w:jc w:val="left"/>
            </w:pPr>
            <w:r>
              <w:rPr>
                <w:rFonts w:ascii="Calibri" w:hAnsi="Calibri"/>
                <w:sz w:val="18"/>
              </w:rPr>
              <w:t>Sub-millisecond inference per sample with explainable feature importance and zero GPU dependencies.</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High-Cardinality Categoricals</w:t>
            </w:r>
          </w:p>
        </w:tc>
        <w:tc>
          <w:tcPr>
            <w:tcW w:type="dxa" w:w="2448"/>
            <w:shd w:fill="FFFFFF"/>
            <w:tcMar>
              <w:top w:w="100" w:type="dxa"/>
              <w:bottom w:w="100" w:type="dxa"/>
              <w:left w:w="140" w:type="dxa"/>
              <w:right w:w="140" w:type="dxa"/>
            </w:tcMar>
            <w:vAlign w:val="center"/>
          </w:tcPr>
          <w:p>
            <w:pPr>
              <w:jc w:val="left"/>
            </w:pPr>
            <w:r>
              <w:rPr>
                <w:rFonts w:ascii="Calibri" w:hAnsi="Calibri"/>
                <w:sz w:val="18"/>
              </w:rPr>
              <w:t>Dropping IDs entirely or allowing OHE dimensions to explode past 100,000 sparse columns.</w:t>
            </w:r>
          </w:p>
        </w:tc>
        <w:tc>
          <w:tcPr>
            <w:tcW w:type="dxa" w:w="2592"/>
            <w:shd w:fill="FFFFFF"/>
            <w:tcMar>
              <w:top w:w="100" w:type="dxa"/>
              <w:bottom w:w="100" w:type="dxa"/>
              <w:left w:w="140" w:type="dxa"/>
              <w:right w:w="140" w:type="dxa"/>
            </w:tcMar>
            <w:vAlign w:val="center"/>
          </w:tcPr>
          <w:p>
            <w:pPr>
              <w:jc w:val="left"/>
            </w:pPr>
            <w:r>
              <w:rPr>
                <w:rFonts w:ascii="Calibri" w:hAnsi="Calibri"/>
                <w:sz w:val="18"/>
              </w:rPr>
              <w:t>Frequency thresholding (count &lt; 10 -&gt; 'generic') followed by MLlib PCA reduction to k=40 components.</w:t>
            </w:r>
          </w:p>
        </w:tc>
        <w:tc>
          <w:tcPr>
            <w:tcW w:type="dxa" w:w="2448"/>
            <w:shd w:fill="FFFFFF"/>
            <w:tcMar>
              <w:top w:w="100" w:type="dxa"/>
              <w:bottom w:w="100" w:type="dxa"/>
              <w:left w:w="140" w:type="dxa"/>
              <w:right w:w="140" w:type="dxa"/>
            </w:tcMar>
            <w:vAlign w:val="center"/>
          </w:tcPr>
          <w:p>
            <w:pPr>
              <w:jc w:val="left"/>
            </w:pPr>
            <w:r>
              <w:rPr>
                <w:rFonts w:ascii="Calibri" w:hAnsi="Calibri"/>
                <w:sz w:val="18"/>
              </w:rPr>
              <w:t>Prevents out-of-memory driver crashes during PySpark distributed clustering and vectorization.</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Investigation Retrieval</w:t>
            </w:r>
          </w:p>
        </w:tc>
        <w:tc>
          <w:tcPr>
            <w:tcW w:type="dxa" w:w="2448"/>
            <w:shd w:fill="F2F4F7"/>
            <w:tcMar>
              <w:top w:w="100" w:type="dxa"/>
              <w:bottom w:w="100" w:type="dxa"/>
              <w:left w:w="140" w:type="dxa"/>
              <w:right w:w="140" w:type="dxa"/>
            </w:tcMar>
            <w:vAlign w:val="center"/>
          </w:tcPr>
          <w:p>
            <w:pPr>
              <w:jc w:val="left"/>
            </w:pPr>
            <w:r>
              <w:rPr>
                <w:rFonts w:ascii="Calibri" w:hAnsi="Calibri"/>
                <w:sz w:val="18"/>
              </w:rPr>
              <w:t>Exact artifact/IOC string matching or expensive full k-NN vector search across terabytes.</w:t>
            </w:r>
          </w:p>
        </w:tc>
        <w:tc>
          <w:tcPr>
            <w:tcW w:type="dxa" w:w="2592"/>
            <w:shd w:fill="F2F4F7"/>
            <w:tcMar>
              <w:top w:w="100" w:type="dxa"/>
              <w:bottom w:w="100" w:type="dxa"/>
              <w:left w:w="140" w:type="dxa"/>
              <w:right w:w="140" w:type="dxa"/>
            </w:tcMar>
            <w:vAlign w:val="center"/>
          </w:tcPr>
          <w:p>
            <w:pPr>
              <w:jc w:val="left"/>
            </w:pPr>
            <w:r>
              <w:rPr>
                <w:rFonts w:ascii="Calibri" w:hAnsi="Calibri"/>
                <w:sz w:val="18"/>
              </w:rPr>
              <w:t>Two-tier retrieval: SHA-1 IncidentHash matching first, fallback to Cosine Similarity (threshold &gt;= 0.90).</w:t>
            </w:r>
          </w:p>
        </w:tc>
        <w:tc>
          <w:tcPr>
            <w:tcW w:type="dxa" w:w="2448"/>
            <w:shd w:fill="F2F4F7"/>
            <w:tcMar>
              <w:top w:w="100" w:type="dxa"/>
              <w:bottom w:w="100" w:type="dxa"/>
              <w:left w:w="140" w:type="dxa"/>
              <w:right w:w="140" w:type="dxa"/>
            </w:tcMar>
            <w:vAlign w:val="center"/>
          </w:tcPr>
          <w:p>
            <w:pPr>
              <w:jc w:val="left"/>
            </w:pPr>
            <w:r>
              <w:rPr>
                <w:rFonts w:ascii="Calibri" w:hAnsi="Calibri"/>
                <w:sz w:val="18"/>
              </w:rPr>
              <w:t>Guarantees ultra-fast retrieval across 180 days of history while surfacing relevant past incidents 94% of the time.</w:t>
            </w:r>
          </w:p>
        </w:tc>
      </w:tr>
    </w:tbl>
    <w:p/>
    <w:p>
      <w:pPr>
        <w:pStyle w:val="Heading1"/>
        <w:keepNext/>
        <w:spacing w:before="280" w:after="80"/>
      </w:pPr>
      <w:r>
        <w:rPr>
          <w:rFonts w:ascii="Calibri" w:hAnsi="Calibri"/>
          <w:b/>
          <w:color w:val="1F4E79"/>
          <w:sz w:val="32"/>
        </w:rPr>
        <w:t>2. Dataset Specifications, Preprocessing Pipeline, &amp; Edge Cases</w:t>
      </w:r>
    </w:p>
    <w:p>
      <w:r>
        <w:rPr>
          <w:i/>
        </w:rPr>
        <w:t>Plain English Summary: The system transforms messy, multi-tenant alert logs into compact numerical embeddings using distributed Spark jobs. Rare categories are merged, incidents are fingerprinted via hashes, and representations are compressed to 40 dimensions.</w:t>
      </w:r>
    </w:p>
    <w:p>
      <w:pPr>
        <w:pStyle w:val="Heading2"/>
        <w:keepNext/>
        <w:spacing w:before="200" w:after="60"/>
      </w:pPr>
      <w:r>
        <w:rPr>
          <w:rFonts w:ascii="Calibri" w:hAnsi="Calibri"/>
          <w:b/>
          <w:color w:val="2F5597"/>
          <w:sz w:val="26"/>
        </w:rPr>
        <w:t>2.1 Dataset Specifications (GUIDE Benchmark)</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1872"/>
            <w:shd w:fill="1F4E79"/>
            <w:tcMar>
              <w:top w:w="140" w:type="dxa"/>
              <w:bottom w:w="140" w:type="dxa"/>
              <w:left w:w="160" w:type="dxa"/>
              <w:right w:w="160" w:type="dxa"/>
            </w:tcMar>
            <w:vAlign w:val="center"/>
          </w:tcPr>
          <w:p>
            <w:pPr>
              <w:jc w:val="left"/>
            </w:pPr>
            <w:r>
              <w:rPr>
                <w:rFonts w:ascii="Calibri" w:hAnsi="Calibri"/>
                <w:b/>
                <w:color w:val="FFFFFF"/>
                <w:sz w:val="19"/>
              </w:rPr>
              <w:t>Dataset Attribute</w:t>
            </w:r>
          </w:p>
        </w:tc>
        <w:tc>
          <w:tcPr>
            <w:tcW w:type="dxa" w:w="2304"/>
            <w:shd w:fill="1F4E79"/>
            <w:tcMar>
              <w:top w:w="140" w:type="dxa"/>
              <w:bottom w:w="140" w:type="dxa"/>
              <w:left w:w="160" w:type="dxa"/>
              <w:right w:w="160" w:type="dxa"/>
            </w:tcMar>
            <w:vAlign w:val="center"/>
          </w:tcPr>
          <w:p>
            <w:pPr>
              <w:jc w:val="left"/>
            </w:pPr>
            <w:r>
              <w:rPr>
                <w:rFonts w:ascii="Calibri" w:hAnsi="Calibri"/>
                <w:b/>
                <w:color w:val="FFFFFF"/>
                <w:sz w:val="19"/>
              </w:rPr>
              <w:t>Paper Value / Specification</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Technical Explanation</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Implementation Takeaway</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Dataset Name &amp; License</w:t>
            </w:r>
          </w:p>
        </w:tc>
        <w:tc>
          <w:tcPr>
            <w:tcW w:type="dxa" w:w="2304"/>
            <w:shd w:fill="FFFFFF"/>
            <w:tcMar>
              <w:top w:w="100" w:type="dxa"/>
              <w:bottom w:w="100" w:type="dxa"/>
              <w:left w:w="140" w:type="dxa"/>
              <w:right w:w="140" w:type="dxa"/>
            </w:tcMar>
            <w:vAlign w:val="center"/>
          </w:tcPr>
          <w:p>
            <w:pPr>
              <w:jc w:val="left"/>
            </w:pPr>
            <w:r>
              <w:rPr>
                <w:rFonts w:ascii="Calibri" w:hAnsi="Calibri"/>
                <w:sz w:val="18"/>
              </w:rPr>
              <w:t>GUIDE (CDLA-2.0 Permissive)</w:t>
            </w:r>
          </w:p>
        </w:tc>
        <w:tc>
          <w:tcPr>
            <w:tcW w:type="dxa" w:w="2592"/>
            <w:shd w:fill="FFFFFF"/>
            <w:tcMar>
              <w:top w:w="100" w:type="dxa"/>
              <w:bottom w:w="100" w:type="dxa"/>
              <w:left w:w="140" w:type="dxa"/>
              <w:right w:w="140" w:type="dxa"/>
            </w:tcMar>
            <w:vAlign w:val="center"/>
          </w:tcPr>
          <w:p>
            <w:pPr>
              <w:jc w:val="left"/>
            </w:pPr>
            <w:r>
              <w:rPr>
                <w:rFonts w:ascii="Calibri" w:hAnsi="Calibri"/>
                <w:sz w:val="18"/>
              </w:rPr>
              <w:t>Largest publicly released enterprise cybersecurity incident dataset.</w:t>
            </w:r>
          </w:p>
        </w:tc>
        <w:tc>
          <w:tcPr>
            <w:tcW w:type="dxa" w:w="2592"/>
            <w:shd w:fill="FFFFFF"/>
            <w:tcMar>
              <w:top w:w="100" w:type="dxa"/>
              <w:bottom w:w="100" w:type="dxa"/>
              <w:left w:w="140" w:type="dxa"/>
              <w:right w:w="140" w:type="dxa"/>
            </w:tcMar>
            <w:vAlign w:val="center"/>
          </w:tcPr>
          <w:p>
            <w:pPr>
              <w:jc w:val="left"/>
            </w:pPr>
            <w:r>
              <w:rPr>
                <w:rFonts w:ascii="Calibri" w:hAnsi="Calibri"/>
                <w:sz w:val="18"/>
              </w:rPr>
              <w:t>Commercially usable and fully open for benchmarking on Kaggle without licensing friction.</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Volume &amp; Scale</w:t>
            </w:r>
          </w:p>
        </w:tc>
        <w:tc>
          <w:tcPr>
            <w:tcW w:type="dxa" w:w="2304"/>
            <w:shd w:fill="F2F4F7"/>
            <w:tcMar>
              <w:top w:w="100" w:type="dxa"/>
              <w:bottom w:w="100" w:type="dxa"/>
              <w:left w:w="140" w:type="dxa"/>
              <w:right w:w="140" w:type="dxa"/>
            </w:tcMar>
            <w:vAlign w:val="center"/>
          </w:tcPr>
          <w:p>
            <w:pPr>
              <w:jc w:val="left"/>
            </w:pPr>
            <w:r>
              <w:rPr>
                <w:rFonts w:ascii="Calibri" w:hAnsi="Calibri"/>
                <w:sz w:val="18"/>
              </w:rPr>
              <w:t>13M evidences, 1.6M alerts, 1M incidents across 6.1k organizations.</w:t>
            </w:r>
          </w:p>
        </w:tc>
        <w:tc>
          <w:tcPr>
            <w:tcW w:type="dxa" w:w="2592"/>
            <w:shd w:fill="F2F4F7"/>
            <w:tcMar>
              <w:top w:w="100" w:type="dxa"/>
              <w:bottom w:w="100" w:type="dxa"/>
              <w:left w:w="140" w:type="dxa"/>
              <w:right w:w="140" w:type="dxa"/>
            </w:tcMar>
            <w:vAlign w:val="center"/>
          </w:tcPr>
          <w:p>
            <w:pPr>
              <w:jc w:val="left"/>
            </w:pPr>
            <w:r>
              <w:rPr>
                <w:rFonts w:ascii="Calibri" w:hAnsi="Calibri"/>
                <w:sz w:val="18"/>
              </w:rPr>
              <w:t>Derived from Region 2 over a 2-week active enterprise telemetry window.</w:t>
            </w:r>
          </w:p>
        </w:tc>
        <w:tc>
          <w:tcPr>
            <w:tcW w:type="dxa" w:w="2592"/>
            <w:shd w:fill="F2F4F7"/>
            <w:tcMar>
              <w:top w:w="100" w:type="dxa"/>
              <w:bottom w:w="100" w:type="dxa"/>
              <w:left w:w="140" w:type="dxa"/>
              <w:right w:w="140" w:type="dxa"/>
            </w:tcMar>
            <w:vAlign w:val="center"/>
          </w:tcPr>
          <w:p>
            <w:pPr>
              <w:jc w:val="left"/>
            </w:pPr>
            <w:r>
              <w:rPr>
                <w:rFonts w:ascii="Calibri" w:hAnsi="Calibri"/>
                <w:sz w:val="18"/>
              </w:rPr>
              <w:t>Massive scale; must be processed in chunks or downsampled on standard local development machines.</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Triage Class Distribution</w:t>
            </w:r>
          </w:p>
        </w:tc>
        <w:tc>
          <w:tcPr>
            <w:tcW w:type="dxa" w:w="2304"/>
            <w:shd w:fill="FFFFFF"/>
            <w:tcMar>
              <w:top w:w="100" w:type="dxa"/>
              <w:bottom w:w="100" w:type="dxa"/>
              <w:left w:w="140" w:type="dxa"/>
              <w:right w:w="140" w:type="dxa"/>
            </w:tcMar>
            <w:vAlign w:val="center"/>
          </w:tcPr>
          <w:p>
            <w:pPr>
              <w:jc w:val="left"/>
            </w:pPr>
            <w:r>
              <w:rPr>
                <w:rFonts w:ascii="Calibri" w:hAnsi="Calibri"/>
                <w:sz w:val="18"/>
              </w:rPr>
              <w:t>TP: 19% (True Positive), FP: 35% (False Positive), BP: 46% (Benign Positive).</w:t>
            </w:r>
          </w:p>
        </w:tc>
        <w:tc>
          <w:tcPr>
            <w:tcW w:type="dxa" w:w="2592"/>
            <w:shd w:fill="FFFFFF"/>
            <w:tcMar>
              <w:top w:w="100" w:type="dxa"/>
              <w:bottom w:w="100" w:type="dxa"/>
              <w:left w:w="140" w:type="dxa"/>
              <w:right w:w="140" w:type="dxa"/>
            </w:tcMar>
            <w:vAlign w:val="center"/>
          </w:tcPr>
          <w:p>
            <w:pPr>
              <w:jc w:val="left"/>
            </w:pPr>
            <w:r>
              <w:rPr>
                <w:rFonts w:ascii="Calibri" w:hAnsi="Calibri"/>
                <w:sz w:val="18"/>
              </w:rPr>
              <w:t>Multi-class ground truth assigned by professional customer SOC analysts.</w:t>
            </w:r>
          </w:p>
        </w:tc>
        <w:tc>
          <w:tcPr>
            <w:tcW w:type="dxa" w:w="2592"/>
            <w:shd w:fill="FFFFFF"/>
            <w:tcMar>
              <w:top w:w="100" w:type="dxa"/>
              <w:bottom w:w="100" w:type="dxa"/>
              <w:left w:w="140" w:type="dxa"/>
              <w:right w:w="140" w:type="dxa"/>
            </w:tcMar>
            <w:vAlign w:val="center"/>
          </w:tcPr>
          <w:p>
            <w:pPr>
              <w:jc w:val="left"/>
            </w:pPr>
            <w:r>
              <w:rPr>
                <w:rFonts w:ascii="Calibri" w:hAnsi="Calibri"/>
                <w:sz w:val="18"/>
              </w:rPr>
              <w:t>Requires balanced class weighting or threshold tuning to avoid majority-class bias toward BP/FP.</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Remediation Class Labels</w:t>
            </w:r>
          </w:p>
        </w:tc>
        <w:tc>
          <w:tcPr>
            <w:tcW w:type="dxa" w:w="2304"/>
            <w:shd w:fill="F2F4F7"/>
            <w:tcMar>
              <w:top w:w="100" w:type="dxa"/>
              <w:bottom w:w="100" w:type="dxa"/>
              <w:left w:w="140" w:type="dxa"/>
              <w:right w:w="140" w:type="dxa"/>
            </w:tcMar>
            <w:vAlign w:val="center"/>
          </w:tcPr>
          <w:p>
            <w:pPr>
              <w:jc w:val="left"/>
            </w:pPr>
            <w:r>
              <w:rPr>
                <w:rFonts w:ascii="Calibri" w:hAnsi="Calibri"/>
                <w:sz w:val="18"/>
              </w:rPr>
              <w:t>26k labeled alerts: Contain Account (67%), Isolate Device (23%), Stop VM (&lt;1%).</w:t>
            </w:r>
          </w:p>
        </w:tc>
        <w:tc>
          <w:tcPr>
            <w:tcW w:type="dxa" w:w="2592"/>
            <w:shd w:fill="F2F4F7"/>
            <w:tcMar>
              <w:top w:w="100" w:type="dxa"/>
              <w:bottom w:w="100" w:type="dxa"/>
              <w:left w:w="140" w:type="dxa"/>
              <w:right w:w="140" w:type="dxa"/>
            </w:tcMar>
            <w:vAlign w:val="center"/>
          </w:tcPr>
          <w:p>
            <w:pPr>
              <w:jc w:val="left"/>
            </w:pPr>
            <w:r>
              <w:rPr>
                <w:rFonts w:ascii="Calibri" w:hAnsi="Calibri"/>
                <w:sz w:val="18"/>
              </w:rPr>
              <w:t>Ground truth containment actions executed by human operators.</w:t>
            </w:r>
          </w:p>
        </w:tc>
        <w:tc>
          <w:tcPr>
            <w:tcW w:type="dxa" w:w="2592"/>
            <w:shd w:fill="F2F4F7"/>
            <w:tcMar>
              <w:top w:w="100" w:type="dxa"/>
              <w:bottom w:w="100" w:type="dxa"/>
              <w:left w:w="140" w:type="dxa"/>
              <w:right w:w="140" w:type="dxa"/>
            </w:tcMar>
            <w:vAlign w:val="center"/>
          </w:tcPr>
          <w:p>
            <w:pPr>
              <w:jc w:val="left"/>
            </w:pPr>
            <w:r>
              <w:rPr>
                <w:rFonts w:ascii="Calibri" w:hAnsi="Calibri"/>
                <w:sz w:val="18"/>
              </w:rPr>
              <w:t>Severe class imbalance; Stop VM requires specific evaluation handling and sensitive thresholding.</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Train / Test Partitioning</w:t>
            </w:r>
          </w:p>
        </w:tc>
        <w:tc>
          <w:tcPr>
            <w:tcW w:type="dxa" w:w="2304"/>
            <w:shd w:fill="FFFFFF"/>
            <w:tcMar>
              <w:top w:w="100" w:type="dxa"/>
              <w:bottom w:w="100" w:type="dxa"/>
              <w:left w:w="140" w:type="dxa"/>
              <w:right w:w="140" w:type="dxa"/>
            </w:tcMar>
            <w:vAlign w:val="center"/>
          </w:tcPr>
          <w:p>
            <w:pPr>
              <w:jc w:val="left"/>
            </w:pPr>
            <w:r>
              <w:rPr>
                <w:rFonts w:ascii="Calibri" w:hAnsi="Calibri"/>
                <w:sz w:val="18"/>
              </w:rPr>
              <w:t>70% Train, 30% Test stratified by IncidentGrade, OrgId, and DetectorId.</w:t>
            </w:r>
          </w:p>
        </w:tc>
        <w:tc>
          <w:tcPr>
            <w:tcW w:type="dxa" w:w="2592"/>
            <w:shd w:fill="FFFFFF"/>
            <w:tcMar>
              <w:top w:w="100" w:type="dxa"/>
              <w:bottom w:w="100" w:type="dxa"/>
              <w:left w:w="140" w:type="dxa"/>
              <w:right w:w="140" w:type="dxa"/>
            </w:tcMar>
            <w:vAlign w:val="center"/>
          </w:tcPr>
          <w:p>
            <w:pPr>
              <w:jc w:val="left"/>
            </w:pPr>
            <w:r>
              <w:rPr>
                <w:rFonts w:ascii="Calibri" w:hAnsi="Calibri"/>
                <w:sz w:val="18"/>
              </w:rPr>
              <w:t>Grouped splitting ensuring alerts from one incident never cross split boundaries.</w:t>
            </w:r>
          </w:p>
        </w:tc>
        <w:tc>
          <w:tcPr>
            <w:tcW w:type="dxa" w:w="2592"/>
            <w:shd w:fill="FFFFFF"/>
            <w:tcMar>
              <w:top w:w="100" w:type="dxa"/>
              <w:bottom w:w="100" w:type="dxa"/>
              <w:left w:w="140" w:type="dxa"/>
              <w:right w:w="140" w:type="dxa"/>
            </w:tcMar>
            <w:vAlign w:val="center"/>
          </w:tcPr>
          <w:p>
            <w:pPr>
              <w:jc w:val="left"/>
            </w:pPr>
            <w:r>
              <w:rPr>
                <w:rFonts w:ascii="Calibri" w:hAnsi="Calibri"/>
                <w:sz w:val="18"/>
              </w:rPr>
              <w:t>Completely prevents data leakage across the evaluation pipeline.</w:t>
            </w:r>
          </w:p>
        </w:tc>
      </w:tr>
    </w:tbl>
    <w:p/>
    <w:p>
      <w:pPr>
        <w:pStyle w:val="Heading2"/>
        <w:keepNext/>
        <w:spacing w:before="200" w:after="60"/>
      </w:pPr>
      <w:r>
        <w:rPr>
          <w:rFonts w:ascii="Calibri" w:hAnsi="Calibri"/>
          <w:b/>
          <w:color w:val="2F5597"/>
          <w:sz w:val="26"/>
        </w:rPr>
        <w:t>2.2 Preprocessing Pipeline: Step-by-Step (T1 - T7)</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1728"/>
            <w:shd w:fill="1F4E79"/>
            <w:tcMar>
              <w:top w:w="140" w:type="dxa"/>
              <w:bottom w:w="140" w:type="dxa"/>
              <w:left w:w="160" w:type="dxa"/>
              <w:right w:w="160" w:type="dxa"/>
            </w:tcMar>
            <w:vAlign w:val="center"/>
          </w:tcPr>
          <w:p>
            <w:pPr>
              <w:jc w:val="left"/>
            </w:pPr>
            <w:r>
              <w:rPr>
                <w:rFonts w:ascii="Calibri" w:hAnsi="Calibri"/>
                <w:b/>
                <w:color w:val="FFFFFF"/>
                <w:sz w:val="19"/>
              </w:rPr>
              <w:t>Step ID &amp; Name</w:t>
            </w:r>
          </w:p>
        </w:tc>
        <w:tc>
          <w:tcPr>
            <w:tcW w:type="dxa" w:w="2304"/>
            <w:shd w:fill="1F4E79"/>
            <w:tcMar>
              <w:top w:w="140" w:type="dxa"/>
              <w:bottom w:w="140" w:type="dxa"/>
              <w:left w:w="160" w:type="dxa"/>
              <w:right w:w="160" w:type="dxa"/>
            </w:tcMar>
            <w:vAlign w:val="center"/>
          </w:tcPr>
          <w:p>
            <w:pPr>
              <w:jc w:val="left"/>
            </w:pPr>
            <w:r>
              <w:rPr>
                <w:rFonts w:ascii="Calibri" w:hAnsi="Calibri"/>
                <w:b/>
                <w:color w:val="FFFFFF"/>
                <w:sz w:val="19"/>
              </w:rPr>
              <w:t>Operation Performed</w:t>
            </w:r>
          </w:p>
        </w:tc>
        <w:tc>
          <w:tcPr>
            <w:tcW w:type="dxa" w:w="2736"/>
            <w:shd w:fill="1F4E79"/>
            <w:tcMar>
              <w:top w:w="140" w:type="dxa"/>
              <w:bottom w:w="140" w:type="dxa"/>
              <w:left w:w="160" w:type="dxa"/>
              <w:right w:w="160" w:type="dxa"/>
            </w:tcMar>
            <w:vAlign w:val="center"/>
          </w:tcPr>
          <w:p>
            <w:pPr>
              <w:jc w:val="left"/>
            </w:pPr>
            <w:r>
              <w:rPr>
                <w:rFonts w:ascii="Calibri" w:hAnsi="Calibri"/>
                <w:b/>
                <w:color w:val="FFFFFF"/>
                <w:sz w:val="19"/>
              </w:rPr>
              <w:t>Underlying Mechanics / Threshold</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Engineering Failure Prevented</w:t>
            </w:r>
          </w:p>
        </w:tc>
      </w:tr>
      <w:tr>
        <w:tc>
          <w:tcPr>
            <w:tcW w:type="dxa" w:w="1728"/>
            <w:shd w:fill="FFFFFF"/>
            <w:tcMar>
              <w:top w:w="100" w:type="dxa"/>
              <w:bottom w:w="100" w:type="dxa"/>
              <w:left w:w="140" w:type="dxa"/>
              <w:right w:w="140" w:type="dxa"/>
            </w:tcMar>
            <w:vAlign w:val="center"/>
          </w:tcPr>
          <w:p>
            <w:pPr>
              <w:jc w:val="left"/>
            </w:pPr>
            <w:r>
              <w:rPr>
                <w:rFonts w:ascii="Calibri" w:hAnsi="Calibri"/>
                <w:sz w:val="18"/>
              </w:rPr>
              <w:t>T1: Feature Engineering</w:t>
            </w:r>
          </w:p>
        </w:tc>
        <w:tc>
          <w:tcPr>
            <w:tcW w:type="dxa" w:w="2304"/>
            <w:shd w:fill="FFFFFF"/>
            <w:tcMar>
              <w:top w:w="100" w:type="dxa"/>
              <w:bottom w:w="100" w:type="dxa"/>
              <w:left w:w="140" w:type="dxa"/>
              <w:right w:w="140" w:type="dxa"/>
            </w:tcMar>
            <w:vAlign w:val="center"/>
          </w:tcPr>
          <w:p>
            <w:pPr>
              <w:jc w:val="left"/>
            </w:pPr>
            <w:r>
              <w:rPr>
                <w:rFonts w:ascii="Calibri" w:hAnsi="Calibri"/>
                <w:sz w:val="18"/>
              </w:rPr>
              <w:t>Join alert telemetry tables from ADLS into PySpark DataFrame.</w:t>
            </w:r>
          </w:p>
        </w:tc>
        <w:tc>
          <w:tcPr>
            <w:tcW w:type="dxa" w:w="2736"/>
            <w:shd w:fill="FFFFFF"/>
            <w:tcMar>
              <w:top w:w="100" w:type="dxa"/>
              <w:bottom w:w="100" w:type="dxa"/>
              <w:left w:w="140" w:type="dxa"/>
              <w:right w:w="140" w:type="dxa"/>
            </w:tcMar>
            <w:vAlign w:val="center"/>
          </w:tcPr>
          <w:p>
            <w:pPr>
              <w:jc w:val="left"/>
            </w:pPr>
            <w:r>
              <w:rPr>
                <w:rFonts w:ascii="Calibri" w:hAnsi="Calibri"/>
                <w:sz w:val="18"/>
              </w:rPr>
              <w:t>Retains 5 categorical features (Org, Detector, Product, Category, Severity) + 67 numericals.</w:t>
            </w:r>
          </w:p>
        </w:tc>
        <w:tc>
          <w:tcPr>
            <w:tcW w:type="dxa" w:w="2592"/>
            <w:shd w:fill="FFFFFF"/>
            <w:tcMar>
              <w:top w:w="100" w:type="dxa"/>
              <w:bottom w:w="100" w:type="dxa"/>
              <w:left w:w="140" w:type="dxa"/>
              <w:right w:w="140" w:type="dxa"/>
            </w:tcMar>
            <w:vAlign w:val="center"/>
          </w:tcPr>
          <w:p>
            <w:pPr>
              <w:jc w:val="left"/>
            </w:pPr>
            <w:r>
              <w:rPr>
                <w:rFonts w:ascii="Calibri" w:hAnsi="Calibri"/>
                <w:sz w:val="18"/>
              </w:rPr>
              <w:t>Standardizes multi-source telemetry while retaining unlabeled alerts for later incident aggregation.</w:t>
            </w:r>
          </w:p>
        </w:tc>
      </w:tr>
      <w:tr>
        <w:tc>
          <w:tcPr>
            <w:tcW w:type="dxa" w:w="1728"/>
            <w:shd w:fill="F2F4F7"/>
            <w:tcMar>
              <w:top w:w="100" w:type="dxa"/>
              <w:bottom w:w="100" w:type="dxa"/>
              <w:left w:w="140" w:type="dxa"/>
              <w:right w:w="140" w:type="dxa"/>
            </w:tcMar>
            <w:vAlign w:val="center"/>
          </w:tcPr>
          <w:p>
            <w:pPr>
              <w:jc w:val="left"/>
            </w:pPr>
            <w:r>
              <w:rPr>
                <w:rFonts w:ascii="Calibri" w:hAnsi="Calibri"/>
                <w:sz w:val="18"/>
              </w:rPr>
              <w:t>T2: Space Compression</w:t>
            </w:r>
          </w:p>
        </w:tc>
        <w:tc>
          <w:tcPr>
            <w:tcW w:type="dxa" w:w="2304"/>
            <w:shd w:fill="F2F4F7"/>
            <w:tcMar>
              <w:top w:w="100" w:type="dxa"/>
              <w:bottom w:w="100" w:type="dxa"/>
              <w:left w:w="140" w:type="dxa"/>
              <w:right w:w="140" w:type="dxa"/>
            </w:tcMar>
            <w:vAlign w:val="center"/>
          </w:tcPr>
          <w:p>
            <w:pPr>
              <w:jc w:val="left"/>
            </w:pPr>
            <w:r>
              <w:rPr>
                <w:rFonts w:ascii="Calibri" w:hAnsi="Calibri"/>
                <w:sz w:val="18"/>
              </w:rPr>
              <w:t>Frequency thresholding on high-cardinality keys.</w:t>
            </w:r>
          </w:p>
        </w:tc>
        <w:tc>
          <w:tcPr>
            <w:tcW w:type="dxa" w:w="2736"/>
            <w:shd w:fill="F2F4F7"/>
            <w:tcMar>
              <w:top w:w="100" w:type="dxa"/>
              <w:bottom w:w="100" w:type="dxa"/>
              <w:left w:w="140" w:type="dxa"/>
              <w:right w:w="140" w:type="dxa"/>
            </w:tcMar>
            <w:vAlign w:val="center"/>
          </w:tcPr>
          <w:p>
            <w:pPr>
              <w:jc w:val="left"/>
            </w:pPr>
            <w:r>
              <w:rPr>
                <w:rFonts w:ascii="Calibri" w:hAnsi="Calibri"/>
                <w:sz w:val="18"/>
              </w:rPr>
              <w:t>Any DetectorId or OrgId with count &lt; 10 alerts is replaced with a generic 'Other' token.</w:t>
            </w:r>
          </w:p>
        </w:tc>
        <w:tc>
          <w:tcPr>
            <w:tcW w:type="dxa" w:w="2592"/>
            <w:shd w:fill="F2F4F7"/>
            <w:tcMar>
              <w:top w:w="100" w:type="dxa"/>
              <w:bottom w:w="100" w:type="dxa"/>
              <w:left w:w="140" w:type="dxa"/>
              <w:right w:w="140" w:type="dxa"/>
            </w:tcMar>
            <w:vAlign w:val="center"/>
          </w:tcPr>
          <w:p>
            <w:pPr>
              <w:jc w:val="left"/>
            </w:pPr>
            <w:r>
              <w:rPr>
                <w:rFonts w:ascii="Calibri" w:hAnsi="Calibri"/>
                <w:sz w:val="18"/>
              </w:rPr>
              <w:t>Prevents PySpark driver OOM crashes caused by 100k+ sparse column expansion.</w:t>
            </w:r>
          </w:p>
        </w:tc>
      </w:tr>
      <w:tr>
        <w:tc>
          <w:tcPr>
            <w:tcW w:type="dxa" w:w="1728"/>
            <w:shd w:fill="FFFFFF"/>
            <w:tcMar>
              <w:top w:w="100" w:type="dxa"/>
              <w:bottom w:w="100" w:type="dxa"/>
              <w:left w:w="140" w:type="dxa"/>
              <w:right w:w="140" w:type="dxa"/>
            </w:tcMar>
            <w:vAlign w:val="center"/>
          </w:tcPr>
          <w:p>
            <w:pPr>
              <w:jc w:val="left"/>
            </w:pPr>
            <w:r>
              <w:rPr>
                <w:rFonts w:ascii="Calibri" w:hAnsi="Calibri"/>
                <w:sz w:val="18"/>
              </w:rPr>
              <w:t>T3: One-Hot Encoding</w:t>
            </w:r>
          </w:p>
        </w:tc>
        <w:tc>
          <w:tcPr>
            <w:tcW w:type="dxa" w:w="2304"/>
            <w:shd w:fill="FFFFFF"/>
            <w:tcMar>
              <w:top w:w="100" w:type="dxa"/>
              <w:bottom w:w="100" w:type="dxa"/>
              <w:left w:w="140" w:type="dxa"/>
              <w:right w:w="140" w:type="dxa"/>
            </w:tcMar>
            <w:vAlign w:val="center"/>
          </w:tcPr>
          <w:p>
            <w:pPr>
              <w:jc w:val="left"/>
            </w:pPr>
            <w:r>
              <w:rPr>
                <w:rFonts w:ascii="Calibri" w:hAnsi="Calibri"/>
                <w:sz w:val="18"/>
              </w:rPr>
              <w:t>Fit OHE encoder on compressed categorical features.</w:t>
            </w:r>
          </w:p>
        </w:tc>
        <w:tc>
          <w:tcPr>
            <w:tcW w:type="dxa" w:w="2736"/>
            <w:shd w:fill="FFFFFF"/>
            <w:tcMar>
              <w:top w:w="100" w:type="dxa"/>
              <w:bottom w:w="100" w:type="dxa"/>
              <w:left w:w="140" w:type="dxa"/>
              <w:right w:w="140" w:type="dxa"/>
            </w:tcMar>
            <w:vAlign w:val="center"/>
          </w:tcPr>
          <w:p>
            <w:pPr>
              <w:jc w:val="left"/>
            </w:pPr>
            <w:r>
              <w:rPr>
                <w:rFonts w:ascii="Calibri" w:hAnsi="Calibri"/>
                <w:sz w:val="18"/>
              </w:rPr>
              <w:t>Generates high-dimensional sparse vectors; saves pipeline to Azure Blob for inference reuse.</w:t>
            </w:r>
          </w:p>
        </w:tc>
        <w:tc>
          <w:tcPr>
            <w:tcW w:type="dxa" w:w="2592"/>
            <w:shd w:fill="FFFFFF"/>
            <w:tcMar>
              <w:top w:w="100" w:type="dxa"/>
              <w:bottom w:w="100" w:type="dxa"/>
              <w:left w:w="140" w:type="dxa"/>
              <w:right w:w="140" w:type="dxa"/>
            </w:tcMar>
            <w:vAlign w:val="center"/>
          </w:tcPr>
          <w:p>
            <w:pPr>
              <w:jc w:val="left"/>
            </w:pPr>
            <w:r>
              <w:rPr>
                <w:rFonts w:ascii="Calibri" w:hAnsi="Calibri"/>
                <w:sz w:val="18"/>
              </w:rPr>
              <w:t>Guarantees exact schema parity between weekly training jobs and 15-minute inference tasks.</w:t>
            </w:r>
          </w:p>
        </w:tc>
      </w:tr>
      <w:tr>
        <w:tc>
          <w:tcPr>
            <w:tcW w:type="dxa" w:w="1728"/>
            <w:shd w:fill="F2F4F7"/>
            <w:tcMar>
              <w:top w:w="100" w:type="dxa"/>
              <w:bottom w:w="100" w:type="dxa"/>
              <w:left w:w="140" w:type="dxa"/>
              <w:right w:w="140" w:type="dxa"/>
            </w:tcMar>
            <w:vAlign w:val="center"/>
          </w:tcPr>
          <w:p>
            <w:pPr>
              <w:jc w:val="left"/>
            </w:pPr>
            <w:r>
              <w:rPr>
                <w:rFonts w:ascii="Calibri" w:hAnsi="Calibri"/>
                <w:sz w:val="18"/>
              </w:rPr>
              <w:t>T4: Incident Formation</w:t>
            </w:r>
          </w:p>
        </w:tc>
        <w:tc>
          <w:tcPr>
            <w:tcW w:type="dxa" w:w="2304"/>
            <w:shd w:fill="F2F4F7"/>
            <w:tcMar>
              <w:top w:w="100" w:type="dxa"/>
              <w:bottom w:w="100" w:type="dxa"/>
              <w:left w:w="140" w:type="dxa"/>
              <w:right w:w="140" w:type="dxa"/>
            </w:tcMar>
            <w:vAlign w:val="center"/>
          </w:tcPr>
          <w:p>
            <w:pPr>
              <w:jc w:val="left"/>
            </w:pPr>
            <w:r>
              <w:rPr>
                <w:rFonts w:ascii="Calibri" w:hAnsi="Calibri"/>
                <w:sz w:val="18"/>
              </w:rPr>
              <w:t>Aggregate alerts into cohesive incident boundaries.</w:t>
            </w:r>
          </w:p>
        </w:tc>
        <w:tc>
          <w:tcPr>
            <w:tcW w:type="dxa" w:w="2736"/>
            <w:shd w:fill="F2F4F7"/>
            <w:tcMar>
              <w:top w:w="100" w:type="dxa"/>
              <w:bottom w:w="100" w:type="dxa"/>
              <w:left w:w="140" w:type="dxa"/>
              <w:right w:w="140" w:type="dxa"/>
            </w:tcMar>
            <w:vAlign w:val="center"/>
          </w:tcPr>
          <w:p>
            <w:pPr>
              <w:jc w:val="left"/>
            </w:pPr>
            <w:r>
              <w:rPr>
                <w:rFonts w:ascii="Calibri" w:hAnsi="Calibri"/>
                <w:sz w:val="18"/>
              </w:rPr>
              <w:t>Group by IncidentId: sum numerical columns; majority vote for grade (ties default to True Positive).</w:t>
            </w:r>
          </w:p>
        </w:tc>
        <w:tc>
          <w:tcPr>
            <w:tcW w:type="dxa" w:w="2592"/>
            <w:shd w:fill="F2F4F7"/>
            <w:tcMar>
              <w:top w:w="100" w:type="dxa"/>
              <w:bottom w:w="100" w:type="dxa"/>
              <w:left w:w="140" w:type="dxa"/>
              <w:right w:w="140" w:type="dxa"/>
            </w:tcMar>
            <w:vAlign w:val="center"/>
          </w:tcPr>
          <w:p>
            <w:pPr>
              <w:jc w:val="left"/>
            </w:pPr>
            <w:r>
              <w:rPr>
                <w:rFonts w:ascii="Calibri" w:hAnsi="Calibri"/>
                <w:sz w:val="18"/>
              </w:rPr>
              <w:t>Converts alert noise into incident-level intelligence while prioritizing security safety on ties.</w:t>
            </w:r>
          </w:p>
        </w:tc>
      </w:tr>
      <w:tr>
        <w:tc>
          <w:tcPr>
            <w:tcW w:type="dxa" w:w="1728"/>
            <w:shd w:fill="FFFFFF"/>
            <w:tcMar>
              <w:top w:w="100" w:type="dxa"/>
              <w:bottom w:w="100" w:type="dxa"/>
              <w:left w:w="140" w:type="dxa"/>
              <w:right w:w="140" w:type="dxa"/>
            </w:tcMar>
            <w:vAlign w:val="center"/>
          </w:tcPr>
          <w:p>
            <w:pPr>
              <w:jc w:val="left"/>
            </w:pPr>
            <w:r>
              <w:rPr>
                <w:rFonts w:ascii="Calibri" w:hAnsi="Calibri"/>
                <w:sz w:val="18"/>
              </w:rPr>
              <w:t>T5: Incident Sampling</w:t>
            </w:r>
          </w:p>
        </w:tc>
        <w:tc>
          <w:tcPr>
            <w:tcW w:type="dxa" w:w="2304"/>
            <w:shd w:fill="FFFFFF"/>
            <w:tcMar>
              <w:top w:w="100" w:type="dxa"/>
              <w:bottom w:w="100" w:type="dxa"/>
              <w:left w:w="140" w:type="dxa"/>
              <w:right w:w="140" w:type="dxa"/>
            </w:tcMar>
            <w:vAlign w:val="center"/>
          </w:tcPr>
          <w:p>
            <w:pPr>
              <w:jc w:val="left"/>
            </w:pPr>
            <w:r>
              <w:rPr>
                <w:rFonts w:ascii="Calibri" w:hAnsi="Calibri"/>
                <w:sz w:val="18"/>
              </w:rPr>
              <w:t>Cap frequent alert patterns to balance memory footprint.</w:t>
            </w:r>
          </w:p>
        </w:tc>
        <w:tc>
          <w:tcPr>
            <w:tcW w:type="dxa" w:w="2736"/>
            <w:shd w:fill="FFFFFF"/>
            <w:tcMar>
              <w:top w:w="100" w:type="dxa"/>
              <w:bottom w:w="100" w:type="dxa"/>
              <w:left w:w="140" w:type="dxa"/>
              <w:right w:w="140" w:type="dxa"/>
            </w:tcMar>
            <w:vAlign w:val="center"/>
          </w:tcPr>
          <w:p>
            <w:pPr>
              <w:jc w:val="left"/>
            </w:pPr>
            <w:r>
              <w:rPr>
                <w:rFonts w:ascii="Calibri" w:hAnsi="Calibri"/>
                <w:sz w:val="18"/>
              </w:rPr>
              <w:t>Sort constituent DetectorIds, SHA-1 hash to form IncidentHash. Cap each (Hash, Grade) pair at 1,000.</w:t>
            </w:r>
          </w:p>
        </w:tc>
        <w:tc>
          <w:tcPr>
            <w:tcW w:type="dxa" w:w="2592"/>
            <w:shd w:fill="FFFFFF"/>
            <w:tcMar>
              <w:top w:w="100" w:type="dxa"/>
              <w:bottom w:w="100" w:type="dxa"/>
              <w:left w:w="140" w:type="dxa"/>
              <w:right w:w="140" w:type="dxa"/>
            </w:tcMar>
            <w:vAlign w:val="center"/>
          </w:tcPr>
          <w:p>
            <w:pPr>
              <w:jc w:val="left"/>
            </w:pPr>
            <w:r>
              <w:rPr>
                <w:rFonts w:ascii="Calibri" w:hAnsi="Calibri"/>
                <w:sz w:val="18"/>
              </w:rPr>
              <w:t>Stops commodity alert floods (e.g. repeated scanner pings) from dominating memory and biasing trees.</w:t>
            </w:r>
          </w:p>
        </w:tc>
      </w:tr>
      <w:tr>
        <w:tc>
          <w:tcPr>
            <w:tcW w:type="dxa" w:w="1728"/>
            <w:shd w:fill="F2F4F7"/>
            <w:tcMar>
              <w:top w:w="100" w:type="dxa"/>
              <w:bottom w:w="100" w:type="dxa"/>
              <w:left w:w="140" w:type="dxa"/>
              <w:right w:w="140" w:type="dxa"/>
            </w:tcMar>
            <w:vAlign w:val="center"/>
          </w:tcPr>
          <w:p>
            <w:pPr>
              <w:jc w:val="left"/>
            </w:pPr>
            <w:r>
              <w:rPr>
                <w:rFonts w:ascii="Calibri" w:hAnsi="Calibri"/>
                <w:sz w:val="18"/>
              </w:rPr>
              <w:t>T6: Dimensionality Reduction</w:t>
            </w:r>
          </w:p>
        </w:tc>
        <w:tc>
          <w:tcPr>
            <w:tcW w:type="dxa" w:w="2304"/>
            <w:shd w:fill="F2F4F7"/>
            <w:tcMar>
              <w:top w:w="100" w:type="dxa"/>
              <w:bottom w:w="100" w:type="dxa"/>
              <w:left w:w="140" w:type="dxa"/>
              <w:right w:w="140" w:type="dxa"/>
            </w:tcMar>
            <w:vAlign w:val="center"/>
          </w:tcPr>
          <w:p>
            <w:pPr>
              <w:jc w:val="left"/>
            </w:pPr>
            <w:r>
              <w:rPr>
                <w:rFonts w:ascii="Calibri" w:hAnsi="Calibri"/>
                <w:sz w:val="18"/>
              </w:rPr>
              <w:t>Distributed Principal Component Analysis (PCA).</w:t>
            </w:r>
          </w:p>
        </w:tc>
        <w:tc>
          <w:tcPr>
            <w:tcW w:type="dxa" w:w="2736"/>
            <w:shd w:fill="F2F4F7"/>
            <w:tcMar>
              <w:top w:w="100" w:type="dxa"/>
              <w:bottom w:w="100" w:type="dxa"/>
              <w:left w:w="140" w:type="dxa"/>
              <w:right w:w="140" w:type="dxa"/>
            </w:tcMar>
            <w:vAlign w:val="center"/>
          </w:tcPr>
          <w:p>
            <w:pPr>
              <w:jc w:val="left"/>
            </w:pPr>
            <w:r>
              <w:rPr>
                <w:rFonts w:ascii="Calibri" w:hAnsi="Calibri"/>
                <w:sz w:val="18"/>
              </w:rPr>
              <w:t>Condense sparse incident and alert feature matrices down to k=40 components (explaining 95% variance).</w:t>
            </w:r>
          </w:p>
        </w:tc>
        <w:tc>
          <w:tcPr>
            <w:tcW w:type="dxa" w:w="2592"/>
            <w:shd w:fill="F2F4F7"/>
            <w:tcMar>
              <w:top w:w="100" w:type="dxa"/>
              <w:bottom w:w="100" w:type="dxa"/>
              <w:left w:w="140" w:type="dxa"/>
              <w:right w:w="140" w:type="dxa"/>
            </w:tcMar>
            <w:vAlign w:val="center"/>
          </w:tcPr>
          <w:p>
            <w:pPr>
              <w:jc w:val="left"/>
            </w:pPr>
            <w:r>
              <w:rPr>
                <w:rFonts w:ascii="Calibri" w:hAnsi="Calibri"/>
                <w:sz w:val="18"/>
              </w:rPr>
              <w:t>Enables massive tabular data to easily convert from PySpark into local Pandas memory for Scikit-Learn.</w:t>
            </w:r>
          </w:p>
        </w:tc>
      </w:tr>
      <w:tr>
        <w:tc>
          <w:tcPr>
            <w:tcW w:type="dxa" w:w="1728"/>
            <w:shd w:fill="FFFFFF"/>
            <w:tcMar>
              <w:top w:w="100" w:type="dxa"/>
              <w:bottom w:w="100" w:type="dxa"/>
              <w:left w:w="140" w:type="dxa"/>
              <w:right w:w="140" w:type="dxa"/>
            </w:tcMar>
            <w:vAlign w:val="center"/>
          </w:tcPr>
          <w:p>
            <w:pPr>
              <w:jc w:val="left"/>
            </w:pPr>
            <w:r>
              <w:rPr>
                <w:rFonts w:ascii="Calibri" w:hAnsi="Calibri"/>
                <w:sz w:val="18"/>
              </w:rPr>
              <w:t>T7: Embedding Store</w:t>
            </w:r>
          </w:p>
        </w:tc>
        <w:tc>
          <w:tcPr>
            <w:tcW w:type="dxa" w:w="2304"/>
            <w:shd w:fill="FFFFFF"/>
            <w:tcMar>
              <w:top w:w="100" w:type="dxa"/>
              <w:bottom w:w="100" w:type="dxa"/>
              <w:left w:w="140" w:type="dxa"/>
              <w:right w:w="140" w:type="dxa"/>
            </w:tcMar>
            <w:vAlign w:val="center"/>
          </w:tcPr>
          <w:p>
            <w:pPr>
              <w:jc w:val="left"/>
            </w:pPr>
            <w:r>
              <w:rPr>
                <w:rFonts w:ascii="Calibri" w:hAnsi="Calibri"/>
                <w:sz w:val="18"/>
              </w:rPr>
              <w:t>Persist incident vector representations.</w:t>
            </w:r>
          </w:p>
        </w:tc>
        <w:tc>
          <w:tcPr>
            <w:tcW w:type="dxa" w:w="2736"/>
            <w:shd w:fill="FFFFFF"/>
            <w:tcMar>
              <w:top w:w="100" w:type="dxa"/>
              <w:bottom w:w="100" w:type="dxa"/>
              <w:left w:w="140" w:type="dxa"/>
              <w:right w:w="140" w:type="dxa"/>
            </w:tcMar>
            <w:vAlign w:val="center"/>
          </w:tcPr>
          <w:p>
            <w:pPr>
              <w:jc w:val="left"/>
            </w:pPr>
            <w:r>
              <w:rPr>
                <w:rFonts w:ascii="Calibri" w:hAnsi="Calibri"/>
                <w:sz w:val="18"/>
              </w:rPr>
              <w:t>Save up to 5 vector embeddings per unique (IncidentHash, TriageGrade) combination into ADLS.</w:t>
            </w:r>
          </w:p>
        </w:tc>
        <w:tc>
          <w:tcPr>
            <w:tcW w:type="dxa" w:w="2592"/>
            <w:shd w:fill="FFFFFF"/>
            <w:tcMar>
              <w:top w:w="100" w:type="dxa"/>
              <w:bottom w:w="100" w:type="dxa"/>
              <w:left w:w="140" w:type="dxa"/>
              <w:right w:w="140" w:type="dxa"/>
            </w:tcMar>
            <w:vAlign w:val="center"/>
          </w:tcPr>
          <w:p>
            <w:pPr>
              <w:jc w:val="left"/>
            </w:pPr>
            <w:r>
              <w:rPr>
                <w:rFonts w:ascii="Calibri" w:hAnsi="Calibri"/>
                <w:sz w:val="18"/>
              </w:rPr>
              <w:t>Populates the fast vector store required by the 180-day historical investigation pipeline.</w:t>
            </w:r>
          </w:p>
        </w:tc>
      </w:tr>
    </w:tbl>
    <w:p/>
    <w:p>
      <w:pPr>
        <w:pStyle w:val="Heading1"/>
        <w:keepNext/>
        <w:spacing w:before="280" w:after="80"/>
      </w:pPr>
      <w:r>
        <w:rPr>
          <w:rFonts w:ascii="Calibri" w:hAnsi="Calibri"/>
          <w:b/>
          <w:color w:val="1F4E79"/>
          <w:sz w:val="32"/>
        </w:rPr>
        <w:t>3. Architecture &amp; System Design</w:t>
      </w:r>
    </w:p>
    <w:p>
      <w:r>
        <w:rPr>
          <w:i/>
        </w:rPr>
        <w:t>Plain English Summary: CGR decouples heavy model training (weekly) from rapid batch inference (every 15 minutes). Three modular engines run in parallel: a triage forest, a two-tier similarity search, and an action forest paired with deterministic entity rules.</w:t>
      </w:r>
    </w:p>
    <w:p>
      <w:pPr>
        <w:pStyle w:val="Heading2"/>
        <w:keepNext/>
        <w:spacing w:before="200" w:after="60"/>
      </w:pPr>
      <w:r>
        <w:rPr>
          <w:rFonts w:ascii="Calibri" w:hAnsi="Calibri"/>
          <w:b/>
          <w:color w:val="2F5597"/>
          <w:sz w:val="26"/>
        </w:rPr>
        <w:t>3.1 End-to-End Pipeline ASCII Architecture</w:t>
      </w:r>
    </w:p>
    <w:p>
      <w:pPr>
        <w:spacing w:before="80" w:after="120"/>
        <w:ind w:left="288"/>
      </w:pPr>
      <w:r>
        <w:rPr>
          <w:rFonts w:ascii="Consolas" w:hAnsi="Consolas"/>
          <w:color w:val="282828"/>
          <w:sz w:val="17"/>
        </w:rPr>
        <w:t>+-----------------------------------------------------------------------------------------+</w:t>
        <w:br/>
        <w:t>|                     COPILOT GUIDED RESPONSE: SYSTEM DATAFLOW                            |</w:t>
        <w:br/>
        <w:t>+-----------------------------------------------------------------------------------------+</w:t>
        <w:br/>
        <w:t xml:space="preserve">                                                                                           </w:t>
        <w:br/>
        <w:t xml:space="preserve"> [Raw Alert Stream] (ADLS Telemetry Table)                                                </w:t>
        <w:br/>
        <w:t xml:space="preserve">         │                                                                                 </w:t>
        <w:br/>
        <w:t xml:space="preserve">         ▼                                                                                 </w:t>
        <w:br/>
        <w:t xml:space="preserve"> [T1-T2: Frequency Filter] (Drop IDs with count &lt; 10 -&gt; 'Generic')                        </w:t>
        <w:br/>
        <w:t xml:space="preserve">         │                                                                                 </w:t>
        <w:br/>
        <w:t xml:space="preserve">         ▼                                                                                 </w:t>
        <w:br/>
        <w:t xml:space="preserve"> [T3: PySpark OHE Transformer]                                                            </w:t>
        <w:br/>
        <w:t xml:space="preserve">         ├─────────────────────────────────────────┐                                       </w:t>
        <w:br/>
        <w:t xml:space="preserve">         ▼                                         ▼                                       </w:t>
        <w:br/>
        <w:t xml:space="preserve"> [T4: Group by IncidentId]                 [Alert Action Telemetry]                        </w:t>
        <w:br/>
        <w:t xml:space="preserve"> (Sum Numerics, Label Majority)            (Filter alerts with actions)                    </w:t>
        <w:br/>
        <w:t xml:space="preserve">         │                                         │                                       </w:t>
        <w:br/>
        <w:t xml:space="preserve">         ▼                                         ▼                                       </w:t>
        <w:br/>
        <w:t xml:space="preserve"> [T6: MLlib PCA (k=40)]                    [T6: MLlib PCA (k=40)]                          </w:t>
        <w:br/>
        <w:t xml:space="preserve"> (Condense to 40 dims)                     (Condense to 40 dims)                           </w:t>
        <w:br/>
        <w:t xml:space="preserve">         │                                         │                                       </w:t>
        <w:br/>
        <w:t xml:space="preserve">         ├────────────────────┐                    │                                       </w:t>
        <w:br/>
        <w:t xml:space="preserve">         ▼                    ▼                    ▼                                       </w:t>
        <w:br/>
        <w:t xml:space="preserve"> +---------------+   +------------------+  +-------------------+                           </w:t>
        <w:br/>
        <w:t xml:space="preserve"> | MODULE 1:     |   | MODULE 2:        |  | MODULE 3:         |                           </w:t>
        <w:br/>
        <w:t xml:space="preserve"> | Triage Forest |   | Retrieval Engine |  | Action Forest     |                           </w:t>
        <w:br/>
        <w:t xml:space="preserve"> | (Predict TP/  |   | (Hash Match +    |  | (Predict CA/      |                           </w:t>
        <w:br/>
        <w:t xml:space="preserve"> |  FP / BP)     |   |  Cosine Sim)     |  |  ID / VM)         |                           </w:t>
        <w:br/>
        <w:t xml:space="preserve"> +---------------+   +------------------+  +-------------------+                           </w:t>
        <w:br/>
        <w:t xml:space="preserve">         │                    │                    │                                       </w:t>
        <w:br/>
        <w:t xml:space="preserve">         ▼                    │                    ▼                                       </w:t>
        <w:br/>
        <w:t xml:space="preserve"> [Gate: Conf &gt;= 0.90]         │            [Gate: Conf &gt;= 0.90]                            </w:t>
        <w:br/>
        <w:t xml:space="preserve">         │                    │                    │                                       </w:t>
        <w:br/>
        <w:t xml:space="preserve">         │                    │                    ▼                                       </w:t>
        <w:br/>
        <w:t xml:space="preserve">         │                    │            [Entity Resolution Rules]                       </w:t>
        <w:br/>
        <w:t xml:space="preserve">         │                    │            (Map to User/Device/VM)                         </w:t>
        <w:br/>
        <w:t xml:space="preserve">         │                    │                    │                                       </w:t>
        <w:br/>
        <w:t xml:space="preserve">         ▼                    ▼                    ▼                                       </w:t>
        <w:br/>
        <w:t xml:space="preserve"> +-------------------------------------------------------------+                           </w:t>
        <w:br/>
        <w:t xml:space="preserve"> |           Final Output: Copilot Guided Response Card        |                           </w:t>
        <w:br/>
        <w:t xml:space="preserve"> |  - Recommended Grade (TP/FP/BP)                             |                           </w:t>
        <w:br/>
        <w:t xml:space="preserve"> |  - Top-5 Historically Similar Incidents (with Context)      |                           </w:t>
        <w:br/>
        <w:t xml:space="preserve"> |  - Targeted Containment Actions (e.g. Isolate Machine X)    |                           </w:t>
        <w:br/>
        <w:t xml:space="preserve"> +-------------------------------------------------------------+           </w:t>
      </w:r>
    </w:p>
    <w:p>
      <w:pPr>
        <w:pStyle w:val="Heading2"/>
        <w:keepNext/>
        <w:spacing w:before="200" w:after="60"/>
      </w:pPr>
      <w:r>
        <w:rPr>
          <w:rFonts w:ascii="Calibri" w:hAnsi="Calibri"/>
          <w:b/>
          <w:color w:val="2F5597"/>
          <w:sz w:val="26"/>
        </w:rPr>
        <w:t>3.2 Layer-by-Layer Architectural Specifications</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1872"/>
            <w:shd w:fill="1F4E79"/>
            <w:tcMar>
              <w:top w:w="140" w:type="dxa"/>
              <w:bottom w:w="140" w:type="dxa"/>
              <w:left w:w="160" w:type="dxa"/>
              <w:right w:w="160" w:type="dxa"/>
            </w:tcMar>
            <w:vAlign w:val="center"/>
          </w:tcPr>
          <w:p>
            <w:pPr>
              <w:jc w:val="left"/>
            </w:pPr>
            <w:r>
              <w:rPr>
                <w:rFonts w:ascii="Calibri" w:hAnsi="Calibri"/>
                <w:b/>
                <w:color w:val="FFFFFF"/>
                <w:sz w:val="19"/>
              </w:rPr>
              <w:t>Pipeline Stage</w:t>
            </w:r>
          </w:p>
        </w:tc>
        <w:tc>
          <w:tcPr>
            <w:tcW w:type="dxa" w:w="2160"/>
            <w:shd w:fill="1F4E79"/>
            <w:tcMar>
              <w:top w:w="140" w:type="dxa"/>
              <w:bottom w:w="140" w:type="dxa"/>
              <w:left w:w="160" w:type="dxa"/>
              <w:right w:w="160" w:type="dxa"/>
            </w:tcMar>
            <w:vAlign w:val="center"/>
          </w:tcPr>
          <w:p>
            <w:pPr>
              <w:jc w:val="left"/>
            </w:pPr>
            <w:r>
              <w:rPr>
                <w:rFonts w:ascii="Calibri" w:hAnsi="Calibri"/>
                <w:b/>
                <w:color w:val="FFFFFF"/>
                <w:sz w:val="19"/>
              </w:rPr>
              <w:t>Underlying Engine / Model</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Input / Output Format</w:t>
            </w:r>
          </w:p>
        </w:tc>
        <w:tc>
          <w:tcPr>
            <w:tcW w:type="dxa" w:w="2736"/>
            <w:shd w:fill="1F4E79"/>
            <w:tcMar>
              <w:top w:w="140" w:type="dxa"/>
              <w:bottom w:w="140" w:type="dxa"/>
              <w:left w:w="160" w:type="dxa"/>
              <w:right w:w="160" w:type="dxa"/>
            </w:tcMar>
            <w:vAlign w:val="center"/>
          </w:tcPr>
          <w:p>
            <w:pPr>
              <w:jc w:val="left"/>
            </w:pPr>
            <w:r>
              <w:rPr>
                <w:rFonts w:ascii="Calibri" w:hAnsi="Calibri"/>
                <w:b/>
                <w:color w:val="FFFFFF"/>
                <w:sz w:val="19"/>
              </w:rPr>
              <w:t>Operational Rules &amp; Logic</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Feature Processing</w:t>
            </w:r>
          </w:p>
        </w:tc>
        <w:tc>
          <w:tcPr>
            <w:tcW w:type="dxa" w:w="2160"/>
            <w:shd w:fill="FFFFFF"/>
            <w:tcMar>
              <w:top w:w="100" w:type="dxa"/>
              <w:bottom w:w="100" w:type="dxa"/>
              <w:left w:w="140" w:type="dxa"/>
              <w:right w:w="140" w:type="dxa"/>
            </w:tcMar>
            <w:vAlign w:val="center"/>
          </w:tcPr>
          <w:p>
            <w:pPr>
              <w:jc w:val="left"/>
            </w:pPr>
            <w:r>
              <w:rPr>
                <w:rFonts w:ascii="Calibri" w:hAnsi="Calibri"/>
                <w:sz w:val="18"/>
              </w:rPr>
              <w:t>PySpark SQL &amp; MLlib</w:t>
            </w:r>
          </w:p>
        </w:tc>
        <w:tc>
          <w:tcPr>
            <w:tcW w:type="dxa" w:w="2592"/>
            <w:shd w:fill="FFFFFF"/>
            <w:tcMar>
              <w:top w:w="100" w:type="dxa"/>
              <w:bottom w:w="100" w:type="dxa"/>
              <w:left w:w="140" w:type="dxa"/>
              <w:right w:w="140" w:type="dxa"/>
            </w:tcMar>
            <w:vAlign w:val="center"/>
          </w:tcPr>
          <w:p>
            <w:pPr>
              <w:jc w:val="left"/>
            </w:pPr>
            <w:r>
              <w:rPr>
                <w:rFonts w:ascii="Calibri" w:hAnsi="Calibri"/>
                <w:sz w:val="18"/>
              </w:rPr>
              <w:t>Input: Raw tabular ADLS logs</w:t>
              <w:br/>
              <w:t>Output: 40-dim dense incident/alert vectors</w:t>
            </w:r>
          </w:p>
        </w:tc>
        <w:tc>
          <w:tcPr>
            <w:tcW w:type="dxa" w:w="2736"/>
            <w:shd w:fill="FFFFFF"/>
            <w:tcMar>
              <w:top w:w="100" w:type="dxa"/>
              <w:bottom w:w="100" w:type="dxa"/>
              <w:left w:w="140" w:type="dxa"/>
              <w:right w:w="140" w:type="dxa"/>
            </w:tcMar>
            <w:vAlign w:val="center"/>
          </w:tcPr>
          <w:p>
            <w:pPr>
              <w:jc w:val="left"/>
            </w:pPr>
            <w:r>
              <w:rPr>
                <w:rFonts w:ascii="Calibri" w:hAnsi="Calibri"/>
                <w:sz w:val="18"/>
              </w:rPr>
              <w:t>Decoupled distributed transformations; applies saved PCA models to ensure consistency.</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Triage Classifier (Mt)</w:t>
            </w:r>
          </w:p>
        </w:tc>
        <w:tc>
          <w:tcPr>
            <w:tcW w:type="dxa" w:w="2160"/>
            <w:shd w:fill="F2F4F7"/>
            <w:tcMar>
              <w:top w:w="100" w:type="dxa"/>
              <w:bottom w:w="100" w:type="dxa"/>
              <w:left w:w="140" w:type="dxa"/>
              <w:right w:w="140" w:type="dxa"/>
            </w:tcMar>
            <w:vAlign w:val="center"/>
          </w:tcPr>
          <w:p>
            <w:pPr>
              <w:jc w:val="left"/>
            </w:pPr>
            <w:r>
              <w:rPr>
                <w:rFonts w:ascii="Calibri" w:hAnsi="Calibri"/>
                <w:sz w:val="18"/>
              </w:rPr>
              <w:t>Scikit-Learn Random Forest</w:t>
            </w:r>
          </w:p>
        </w:tc>
        <w:tc>
          <w:tcPr>
            <w:tcW w:type="dxa" w:w="2592"/>
            <w:shd w:fill="F2F4F7"/>
            <w:tcMar>
              <w:top w:w="100" w:type="dxa"/>
              <w:bottom w:w="100" w:type="dxa"/>
              <w:left w:w="140" w:type="dxa"/>
              <w:right w:w="140" w:type="dxa"/>
            </w:tcMar>
            <w:vAlign w:val="center"/>
          </w:tcPr>
          <w:p>
            <w:pPr>
              <w:jc w:val="left"/>
            </w:pPr>
            <w:r>
              <w:rPr>
                <w:rFonts w:ascii="Calibri" w:hAnsi="Calibri"/>
                <w:sz w:val="18"/>
              </w:rPr>
              <w:t>Input: 40-dim incident vector</w:t>
              <w:br/>
              <w:t>Output: Probabilities [P(TP), P(FP), P(BP)]</w:t>
            </w:r>
          </w:p>
        </w:tc>
        <w:tc>
          <w:tcPr>
            <w:tcW w:type="dxa" w:w="2736"/>
            <w:shd w:fill="F2F4F7"/>
            <w:tcMar>
              <w:top w:w="100" w:type="dxa"/>
              <w:bottom w:w="100" w:type="dxa"/>
              <w:left w:w="140" w:type="dxa"/>
              <w:right w:w="140" w:type="dxa"/>
            </w:tcMar>
            <w:vAlign w:val="center"/>
          </w:tcPr>
          <w:p>
            <w:pPr>
              <w:jc w:val="left"/>
            </w:pPr>
            <w:r>
              <w:rPr>
                <w:rFonts w:ascii="Calibri" w:hAnsi="Calibri"/>
                <w:sz w:val="18"/>
              </w:rPr>
              <w:t>Deep decision trees (depth up to 100). Predictions are discarded if max probability &lt; 0.90 precision cutoff.</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Similarity Matcher: Tier 1</w:t>
            </w:r>
          </w:p>
        </w:tc>
        <w:tc>
          <w:tcPr>
            <w:tcW w:type="dxa" w:w="2160"/>
            <w:shd w:fill="FFFFFF"/>
            <w:tcMar>
              <w:top w:w="100" w:type="dxa"/>
              <w:bottom w:w="100" w:type="dxa"/>
              <w:left w:w="140" w:type="dxa"/>
              <w:right w:w="140" w:type="dxa"/>
            </w:tcMar>
            <w:vAlign w:val="center"/>
          </w:tcPr>
          <w:p>
            <w:pPr>
              <w:jc w:val="left"/>
            </w:pPr>
            <w:r>
              <w:rPr>
                <w:rFonts w:ascii="Calibri" w:hAnsi="Calibri"/>
                <w:sz w:val="18"/>
              </w:rPr>
              <w:t>Exact Key Lookups (SHA-1)</w:t>
            </w:r>
          </w:p>
        </w:tc>
        <w:tc>
          <w:tcPr>
            <w:tcW w:type="dxa" w:w="2592"/>
            <w:shd w:fill="FFFFFF"/>
            <w:tcMar>
              <w:top w:w="100" w:type="dxa"/>
              <w:bottom w:w="100" w:type="dxa"/>
              <w:left w:w="140" w:type="dxa"/>
              <w:right w:w="140" w:type="dxa"/>
            </w:tcMar>
            <w:vAlign w:val="center"/>
          </w:tcPr>
          <w:p>
            <w:pPr>
              <w:jc w:val="left"/>
            </w:pPr>
            <w:r>
              <w:rPr>
                <w:rFonts w:ascii="Calibri" w:hAnsi="Calibri"/>
                <w:sz w:val="18"/>
              </w:rPr>
              <w:t>Input: Canonical detector string hash</w:t>
              <w:br/>
              <w:t>Output: Up to 5 identical past incidents</w:t>
            </w:r>
          </w:p>
        </w:tc>
        <w:tc>
          <w:tcPr>
            <w:tcW w:type="dxa" w:w="2736"/>
            <w:shd w:fill="FFFFFF"/>
            <w:tcMar>
              <w:top w:w="100" w:type="dxa"/>
              <w:bottom w:w="100" w:type="dxa"/>
              <w:left w:w="140" w:type="dxa"/>
              <w:right w:w="140" w:type="dxa"/>
            </w:tcMar>
            <w:vAlign w:val="center"/>
          </w:tcPr>
          <w:p>
            <w:pPr>
              <w:jc w:val="left"/>
            </w:pPr>
            <w:r>
              <w:rPr>
                <w:rFonts w:ascii="Calibri" w:hAnsi="Calibri"/>
                <w:sz w:val="18"/>
              </w:rPr>
              <w:t>Matches incidents with identical detector patterns. Priority is given to incidents with matching triage grades.</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Similarity Matcher: Tier 2</w:t>
            </w:r>
          </w:p>
        </w:tc>
        <w:tc>
          <w:tcPr>
            <w:tcW w:type="dxa" w:w="2160"/>
            <w:shd w:fill="F2F4F7"/>
            <w:tcMar>
              <w:top w:w="100" w:type="dxa"/>
              <w:bottom w:w="100" w:type="dxa"/>
              <w:left w:w="140" w:type="dxa"/>
              <w:right w:w="140" w:type="dxa"/>
            </w:tcMar>
            <w:vAlign w:val="center"/>
          </w:tcPr>
          <w:p>
            <w:pPr>
              <w:jc w:val="left"/>
            </w:pPr>
            <w:r>
              <w:rPr>
                <w:rFonts w:ascii="Calibri" w:hAnsi="Calibri"/>
                <w:sz w:val="18"/>
              </w:rPr>
              <w:t>Cosine Similarity (Vector Fallback)</w:t>
            </w:r>
          </w:p>
        </w:tc>
        <w:tc>
          <w:tcPr>
            <w:tcW w:type="dxa" w:w="2592"/>
            <w:shd w:fill="F2F4F7"/>
            <w:tcMar>
              <w:top w:w="100" w:type="dxa"/>
              <w:bottom w:w="100" w:type="dxa"/>
              <w:left w:w="140" w:type="dxa"/>
              <w:right w:w="140" w:type="dxa"/>
            </w:tcMar>
            <w:vAlign w:val="center"/>
          </w:tcPr>
          <w:p>
            <w:pPr>
              <w:jc w:val="left"/>
            </w:pPr>
            <w:r>
              <w:rPr>
                <w:rFonts w:ascii="Calibri" w:hAnsi="Calibri"/>
                <w:sz w:val="18"/>
              </w:rPr>
              <w:t>Input: 40-dim PCA vector</w:t>
              <w:br/>
              <w:t>Output: Top historical matches (score &gt;= 0.90)</w:t>
            </w:r>
          </w:p>
        </w:tc>
        <w:tc>
          <w:tcPr>
            <w:tcW w:type="dxa" w:w="2736"/>
            <w:shd w:fill="F2F4F7"/>
            <w:tcMar>
              <w:top w:w="100" w:type="dxa"/>
              <w:bottom w:w="100" w:type="dxa"/>
              <w:left w:w="140" w:type="dxa"/>
              <w:right w:w="140" w:type="dxa"/>
            </w:tcMar>
            <w:vAlign w:val="center"/>
          </w:tcPr>
          <w:p>
            <w:pPr>
              <w:jc w:val="left"/>
            </w:pPr>
            <w:r>
              <w:rPr>
                <w:rFonts w:ascii="Calibri" w:hAnsi="Calibri"/>
                <w:sz w:val="18"/>
              </w:rPr>
              <w:t>Executes only if Tier 1 yields &lt; 5 matches. Strictly scoped within the same organization to preserve multi-tenant privacy.</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Remediation Classifier (Mr)</w:t>
            </w:r>
          </w:p>
        </w:tc>
        <w:tc>
          <w:tcPr>
            <w:tcW w:type="dxa" w:w="2160"/>
            <w:shd w:fill="FFFFFF"/>
            <w:tcMar>
              <w:top w:w="100" w:type="dxa"/>
              <w:bottom w:w="100" w:type="dxa"/>
              <w:left w:w="140" w:type="dxa"/>
              <w:right w:w="140" w:type="dxa"/>
            </w:tcMar>
            <w:vAlign w:val="center"/>
          </w:tcPr>
          <w:p>
            <w:pPr>
              <w:jc w:val="left"/>
            </w:pPr>
            <w:r>
              <w:rPr>
                <w:rFonts w:ascii="Calibri" w:hAnsi="Calibri"/>
                <w:sz w:val="18"/>
              </w:rPr>
              <w:t>Scikit-Learn Random Forest</w:t>
            </w:r>
          </w:p>
        </w:tc>
        <w:tc>
          <w:tcPr>
            <w:tcW w:type="dxa" w:w="2592"/>
            <w:shd w:fill="FFFFFF"/>
            <w:tcMar>
              <w:top w:w="100" w:type="dxa"/>
              <w:bottom w:w="100" w:type="dxa"/>
              <w:left w:w="140" w:type="dxa"/>
              <w:right w:w="140" w:type="dxa"/>
            </w:tcMar>
            <w:vAlign w:val="center"/>
          </w:tcPr>
          <w:p>
            <w:pPr>
              <w:jc w:val="left"/>
            </w:pPr>
            <w:r>
              <w:rPr>
                <w:rFonts w:ascii="Calibri" w:hAnsi="Calibri"/>
                <w:sz w:val="18"/>
              </w:rPr>
              <w:t>Input: 40-dim alert vector</w:t>
              <w:br/>
              <w:t>Output: Predicted action (Contain Account, Isolate Device, Stop VM)</w:t>
            </w:r>
          </w:p>
        </w:tc>
        <w:tc>
          <w:tcPr>
            <w:tcW w:type="dxa" w:w="2736"/>
            <w:shd w:fill="FFFFFF"/>
            <w:tcMar>
              <w:top w:w="100" w:type="dxa"/>
              <w:bottom w:w="100" w:type="dxa"/>
              <w:left w:w="140" w:type="dxa"/>
              <w:right w:w="140" w:type="dxa"/>
            </w:tcMar>
            <w:vAlign w:val="center"/>
          </w:tcPr>
          <w:p>
            <w:pPr>
              <w:jc w:val="left"/>
            </w:pPr>
            <w:r>
              <w:rPr>
                <w:rFonts w:ascii="Calibri" w:hAnsi="Calibri"/>
                <w:sz w:val="18"/>
              </w:rPr>
              <w:t>Evaluated per alert with confidence threshold &gt;= 0.90. Highly conservative to prevent accidental operational lockouts.</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Entity Resolution Linker</w:t>
            </w:r>
          </w:p>
        </w:tc>
        <w:tc>
          <w:tcPr>
            <w:tcW w:type="dxa" w:w="2160"/>
            <w:shd w:fill="F2F4F7"/>
            <w:tcMar>
              <w:top w:w="100" w:type="dxa"/>
              <w:bottom w:w="100" w:type="dxa"/>
              <w:left w:w="140" w:type="dxa"/>
              <w:right w:w="140" w:type="dxa"/>
            </w:tcMar>
            <w:vAlign w:val="center"/>
          </w:tcPr>
          <w:p>
            <w:pPr>
              <w:jc w:val="left"/>
            </w:pPr>
            <w:r>
              <w:rPr>
                <w:rFonts w:ascii="Calibri" w:hAnsi="Calibri"/>
                <w:sz w:val="18"/>
              </w:rPr>
              <w:t>Domain Rule Engine</w:t>
            </w:r>
          </w:p>
        </w:tc>
        <w:tc>
          <w:tcPr>
            <w:tcW w:type="dxa" w:w="2592"/>
            <w:shd w:fill="F2F4F7"/>
            <w:tcMar>
              <w:top w:w="100" w:type="dxa"/>
              <w:bottom w:w="100" w:type="dxa"/>
              <w:left w:w="140" w:type="dxa"/>
              <w:right w:w="140" w:type="dxa"/>
            </w:tcMar>
            <w:vAlign w:val="center"/>
          </w:tcPr>
          <w:p>
            <w:pPr>
              <w:jc w:val="left"/>
            </w:pPr>
            <w:r>
              <w:rPr>
                <w:rFonts w:ascii="Calibri" w:hAnsi="Calibri"/>
                <w:sz w:val="18"/>
              </w:rPr>
              <w:t>Input: Predicted alert action</w:t>
              <w:br/>
              <w:t>Output: Concrete asset identifier</w:t>
            </w:r>
          </w:p>
        </w:tc>
        <w:tc>
          <w:tcPr>
            <w:tcW w:type="dxa" w:w="2736"/>
            <w:shd w:fill="F2F4F7"/>
            <w:tcMar>
              <w:top w:w="100" w:type="dxa"/>
              <w:bottom w:w="100" w:type="dxa"/>
              <w:left w:w="140" w:type="dxa"/>
              <w:right w:w="140" w:type="dxa"/>
            </w:tcMar>
            <w:vAlign w:val="center"/>
          </w:tcPr>
          <w:p>
            <w:pPr>
              <w:jc w:val="left"/>
            </w:pPr>
            <w:r>
              <w:rPr>
                <w:rFonts w:ascii="Calibri" w:hAnsi="Calibri"/>
                <w:sz w:val="18"/>
              </w:rPr>
              <w:t>Extracts specific entity targets (e.g. AccountUpn -&gt; Contain Account, DeviceId -&gt; Isolate Machine, ResourceId -&gt; Stop VM).</w:t>
            </w:r>
          </w:p>
        </w:tc>
      </w:tr>
    </w:tbl>
    <w:p/>
    <w:p>
      <w:pPr>
        <w:pStyle w:val="Heading1"/>
        <w:keepNext/>
        <w:spacing w:before="280" w:after="80"/>
      </w:pPr>
      <w:r>
        <w:rPr>
          <w:rFonts w:ascii="Calibri" w:hAnsi="Calibri"/>
          <w:b/>
          <w:color w:val="1F4E79"/>
          <w:sz w:val="32"/>
        </w:rPr>
        <w:t>4. Training Setup &amp; Hyperparameters</w:t>
      </w:r>
    </w:p>
    <w:p>
      <w:r>
        <w:rPr>
          <w:i/>
        </w:rPr>
        <w:t>Plain English Summary: Training relies on Scikit-Learn rather than Spark's MLlib because Spark caps decision trees at depth 30, which degrades accuracy. Hyperparameters are tuned via validation Macro-F1 using balanced class weights.</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2016"/>
            <w:shd w:fill="1F4E79"/>
            <w:tcMar>
              <w:top w:w="140" w:type="dxa"/>
              <w:bottom w:w="140" w:type="dxa"/>
              <w:left w:w="160" w:type="dxa"/>
              <w:right w:w="160" w:type="dxa"/>
            </w:tcMar>
            <w:vAlign w:val="center"/>
          </w:tcPr>
          <w:p>
            <w:pPr>
              <w:jc w:val="left"/>
            </w:pPr>
            <w:r>
              <w:rPr>
                <w:rFonts w:ascii="Calibri" w:hAnsi="Calibri"/>
                <w:b/>
                <w:color w:val="FFFFFF"/>
                <w:sz w:val="19"/>
              </w:rPr>
              <w:t>Parameter / Resource</w:t>
            </w:r>
          </w:p>
        </w:tc>
        <w:tc>
          <w:tcPr>
            <w:tcW w:type="dxa" w:w="2304"/>
            <w:shd w:fill="1F4E79"/>
            <w:tcMar>
              <w:top w:w="140" w:type="dxa"/>
              <w:bottom w:w="140" w:type="dxa"/>
              <w:left w:w="160" w:type="dxa"/>
              <w:right w:w="160" w:type="dxa"/>
            </w:tcMar>
            <w:vAlign w:val="center"/>
          </w:tcPr>
          <w:p>
            <w:pPr>
              <w:jc w:val="left"/>
            </w:pPr>
            <w:r>
              <w:rPr>
                <w:rFonts w:ascii="Calibri" w:hAnsi="Calibri"/>
                <w:b/>
                <w:color w:val="FFFFFF"/>
                <w:sz w:val="19"/>
              </w:rPr>
              <w:t>Paper Value / Configuration</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Technical Function</w:t>
            </w:r>
          </w:p>
        </w:tc>
        <w:tc>
          <w:tcPr>
            <w:tcW w:type="dxa" w:w="2448"/>
            <w:shd w:fill="1F4E79"/>
            <w:tcMar>
              <w:top w:w="140" w:type="dxa"/>
              <w:bottom w:w="140" w:type="dxa"/>
              <w:left w:w="160" w:type="dxa"/>
              <w:right w:w="160" w:type="dxa"/>
            </w:tcMar>
            <w:vAlign w:val="center"/>
          </w:tcPr>
          <w:p>
            <w:pPr>
              <w:jc w:val="left"/>
            </w:pPr>
            <w:r>
              <w:rPr>
                <w:rFonts w:ascii="Calibri" w:hAnsi="Calibri"/>
                <w:b/>
                <w:color w:val="FFFFFF"/>
                <w:sz w:val="19"/>
              </w:rPr>
              <w:t>Engineering Context / Reason</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Model Architecture</w:t>
            </w:r>
          </w:p>
        </w:tc>
        <w:tc>
          <w:tcPr>
            <w:tcW w:type="dxa" w:w="2304"/>
            <w:shd w:fill="FFFFFF"/>
            <w:tcMar>
              <w:top w:w="100" w:type="dxa"/>
              <w:bottom w:w="100" w:type="dxa"/>
              <w:left w:w="140" w:type="dxa"/>
              <w:right w:w="140" w:type="dxa"/>
            </w:tcMar>
            <w:vAlign w:val="center"/>
          </w:tcPr>
          <w:p>
            <w:pPr>
              <w:jc w:val="left"/>
            </w:pPr>
            <w:r>
              <w:rPr>
                <w:rFonts w:ascii="Calibri" w:hAnsi="Calibri"/>
                <w:sz w:val="18"/>
              </w:rPr>
              <w:t>Random Forest (Scikit-Learn)</w:t>
            </w:r>
          </w:p>
        </w:tc>
        <w:tc>
          <w:tcPr>
            <w:tcW w:type="dxa" w:w="2592"/>
            <w:shd w:fill="FFFFFF"/>
            <w:tcMar>
              <w:top w:w="100" w:type="dxa"/>
              <w:bottom w:w="100" w:type="dxa"/>
              <w:left w:w="140" w:type="dxa"/>
              <w:right w:w="140" w:type="dxa"/>
            </w:tcMar>
            <w:vAlign w:val="center"/>
          </w:tcPr>
          <w:p>
            <w:pPr>
              <w:jc w:val="left"/>
            </w:pPr>
            <w:r>
              <w:rPr>
                <w:rFonts w:ascii="Calibri" w:hAnsi="Calibri"/>
                <w:sz w:val="18"/>
              </w:rPr>
              <w:t>Ensemble of unpruned, deep bagged decision trees.</w:t>
            </w:r>
          </w:p>
        </w:tc>
        <w:tc>
          <w:tcPr>
            <w:tcW w:type="dxa" w:w="2448"/>
            <w:shd w:fill="FFFFFF"/>
            <w:tcMar>
              <w:top w:w="100" w:type="dxa"/>
              <w:bottom w:w="100" w:type="dxa"/>
              <w:left w:w="140" w:type="dxa"/>
              <w:right w:w="140" w:type="dxa"/>
            </w:tcMar>
            <w:vAlign w:val="center"/>
          </w:tcPr>
          <w:p>
            <w:pPr>
              <w:jc w:val="left"/>
            </w:pPr>
            <w:r>
              <w:rPr>
                <w:rFonts w:ascii="Calibri" w:hAnsi="Calibri"/>
                <w:sz w:val="18"/>
              </w:rPr>
              <w:t>Chosen over Spark MLlib RF because MLlib's hard tree depth limit of 30 degrades Macro-F1 by 10%.</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Number of Trees (n_estimators)</w:t>
            </w:r>
          </w:p>
        </w:tc>
        <w:tc>
          <w:tcPr>
            <w:tcW w:type="dxa" w:w="2304"/>
            <w:shd w:fill="F2F4F7"/>
            <w:tcMar>
              <w:top w:w="100" w:type="dxa"/>
              <w:bottom w:w="100" w:type="dxa"/>
              <w:left w:w="140" w:type="dxa"/>
              <w:right w:w="140" w:type="dxa"/>
            </w:tcMar>
            <w:vAlign w:val="center"/>
          </w:tcPr>
          <w:p>
            <w:pPr>
              <w:jc w:val="left"/>
            </w:pPr>
            <w:r>
              <w:rPr>
                <w:rFonts w:ascii="Calibri" w:hAnsi="Calibri"/>
                <w:sz w:val="18"/>
              </w:rPr>
              <w:t>Grid: {100, 200, 300, 400}</w:t>
            </w:r>
          </w:p>
        </w:tc>
        <w:tc>
          <w:tcPr>
            <w:tcW w:type="dxa" w:w="2592"/>
            <w:shd w:fill="F2F4F7"/>
            <w:tcMar>
              <w:top w:w="100" w:type="dxa"/>
              <w:bottom w:w="100" w:type="dxa"/>
              <w:left w:w="140" w:type="dxa"/>
              <w:right w:w="140" w:type="dxa"/>
            </w:tcMar>
            <w:vAlign w:val="center"/>
          </w:tcPr>
          <w:p>
            <w:pPr>
              <w:jc w:val="left"/>
            </w:pPr>
            <w:r>
              <w:rPr>
                <w:rFonts w:ascii="Calibri" w:hAnsi="Calibri"/>
                <w:sz w:val="18"/>
              </w:rPr>
              <w:t>Total ensemble trees voting on final probability.</w:t>
            </w:r>
          </w:p>
        </w:tc>
        <w:tc>
          <w:tcPr>
            <w:tcW w:type="dxa" w:w="2448"/>
            <w:shd w:fill="F2F4F7"/>
            <w:tcMar>
              <w:top w:w="100" w:type="dxa"/>
              <w:bottom w:w="100" w:type="dxa"/>
              <w:left w:w="140" w:type="dxa"/>
              <w:right w:w="140" w:type="dxa"/>
            </w:tcMar>
            <w:vAlign w:val="center"/>
          </w:tcPr>
          <w:p>
            <w:pPr>
              <w:jc w:val="left"/>
            </w:pPr>
            <w:r>
              <w:rPr>
                <w:rFonts w:ascii="Calibri" w:hAnsi="Calibri"/>
                <w:sz w:val="18"/>
              </w:rPr>
              <w:t>Higher tree counts smooth variance over high-dimensional PCA vectors without overfitting.</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Max Tree Depth (max_depth)</w:t>
            </w:r>
          </w:p>
        </w:tc>
        <w:tc>
          <w:tcPr>
            <w:tcW w:type="dxa" w:w="2304"/>
            <w:shd w:fill="FFFFFF"/>
            <w:tcMar>
              <w:top w:w="100" w:type="dxa"/>
              <w:bottom w:w="100" w:type="dxa"/>
              <w:left w:w="140" w:type="dxa"/>
              <w:right w:w="140" w:type="dxa"/>
            </w:tcMar>
            <w:vAlign w:val="center"/>
          </w:tcPr>
          <w:p>
            <w:pPr>
              <w:jc w:val="left"/>
            </w:pPr>
            <w:r>
              <w:rPr>
                <w:rFonts w:ascii="Calibri" w:hAnsi="Calibri"/>
                <w:sz w:val="18"/>
              </w:rPr>
              <w:t>Grid: {30, 50, 75, 100}</w:t>
            </w:r>
          </w:p>
        </w:tc>
        <w:tc>
          <w:tcPr>
            <w:tcW w:type="dxa" w:w="2592"/>
            <w:shd w:fill="FFFFFF"/>
            <w:tcMar>
              <w:top w:w="100" w:type="dxa"/>
              <w:bottom w:w="100" w:type="dxa"/>
              <w:left w:w="140" w:type="dxa"/>
              <w:right w:w="140" w:type="dxa"/>
            </w:tcMar>
            <w:vAlign w:val="center"/>
          </w:tcPr>
          <w:p>
            <w:pPr>
              <w:jc w:val="left"/>
            </w:pPr>
            <w:r>
              <w:rPr>
                <w:rFonts w:ascii="Calibri" w:hAnsi="Calibri"/>
                <w:sz w:val="18"/>
              </w:rPr>
              <w:t>Maximum allowable split levels down each branch.</w:t>
            </w:r>
          </w:p>
        </w:tc>
        <w:tc>
          <w:tcPr>
            <w:tcW w:type="dxa" w:w="2448"/>
            <w:shd w:fill="FFFFFF"/>
            <w:tcMar>
              <w:top w:w="100" w:type="dxa"/>
              <w:bottom w:w="100" w:type="dxa"/>
              <w:left w:w="140" w:type="dxa"/>
              <w:right w:w="140" w:type="dxa"/>
            </w:tcMar>
            <w:vAlign w:val="center"/>
          </w:tcPr>
          <w:p>
            <w:pPr>
              <w:jc w:val="left"/>
            </w:pPr>
            <w:r>
              <w:rPr>
                <w:rFonts w:ascii="Calibri" w:hAnsi="Calibri"/>
                <w:sz w:val="18"/>
              </w:rPr>
              <w:t>Deep trees (&gt;=50) are essential to capture fine-grained interactions between complex detector rules.</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Min Samples Split</w:t>
            </w:r>
          </w:p>
        </w:tc>
        <w:tc>
          <w:tcPr>
            <w:tcW w:type="dxa" w:w="2304"/>
            <w:shd w:fill="F2F4F7"/>
            <w:tcMar>
              <w:top w:w="100" w:type="dxa"/>
              <w:bottom w:w="100" w:type="dxa"/>
              <w:left w:w="140" w:type="dxa"/>
              <w:right w:w="140" w:type="dxa"/>
            </w:tcMar>
            <w:vAlign w:val="center"/>
          </w:tcPr>
          <w:p>
            <w:pPr>
              <w:jc w:val="left"/>
            </w:pPr>
            <w:r>
              <w:rPr>
                <w:rFonts w:ascii="Calibri" w:hAnsi="Calibri"/>
                <w:sz w:val="18"/>
              </w:rPr>
              <w:t>Grid: {5, 10, 15}</w:t>
            </w:r>
          </w:p>
        </w:tc>
        <w:tc>
          <w:tcPr>
            <w:tcW w:type="dxa" w:w="2592"/>
            <w:shd w:fill="F2F4F7"/>
            <w:tcMar>
              <w:top w:w="100" w:type="dxa"/>
              <w:bottom w:w="100" w:type="dxa"/>
              <w:left w:w="140" w:type="dxa"/>
              <w:right w:w="140" w:type="dxa"/>
            </w:tcMar>
            <w:vAlign w:val="center"/>
          </w:tcPr>
          <w:p>
            <w:pPr>
              <w:jc w:val="left"/>
            </w:pPr>
            <w:r>
              <w:rPr>
                <w:rFonts w:ascii="Calibri" w:hAnsi="Calibri"/>
                <w:sz w:val="18"/>
              </w:rPr>
              <w:t>Minimum samples required to create an internal node split.</w:t>
            </w:r>
          </w:p>
        </w:tc>
        <w:tc>
          <w:tcPr>
            <w:tcW w:type="dxa" w:w="2448"/>
            <w:shd w:fill="F2F4F7"/>
            <w:tcMar>
              <w:top w:w="100" w:type="dxa"/>
              <w:bottom w:w="100" w:type="dxa"/>
              <w:left w:w="140" w:type="dxa"/>
              <w:right w:w="140" w:type="dxa"/>
            </w:tcMar>
            <w:vAlign w:val="center"/>
          </w:tcPr>
          <w:p>
            <w:pPr>
              <w:jc w:val="left"/>
            </w:pPr>
            <w:r>
              <w:rPr>
                <w:rFonts w:ascii="Calibri" w:hAnsi="Calibri"/>
                <w:sz w:val="18"/>
              </w:rPr>
              <w:t>Acts as a regularizer against noisy single-alert incident anomalies.</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Class Weighting</w:t>
            </w:r>
          </w:p>
        </w:tc>
        <w:tc>
          <w:tcPr>
            <w:tcW w:type="dxa" w:w="2304"/>
            <w:shd w:fill="FFFFFF"/>
            <w:tcMar>
              <w:top w:w="100" w:type="dxa"/>
              <w:bottom w:w="100" w:type="dxa"/>
              <w:left w:w="140" w:type="dxa"/>
              <w:right w:w="140" w:type="dxa"/>
            </w:tcMar>
            <w:vAlign w:val="center"/>
          </w:tcPr>
          <w:p>
            <w:pPr>
              <w:jc w:val="left"/>
            </w:pPr>
            <w:r>
              <w:rPr>
                <w:rFonts w:ascii="Calibri" w:hAnsi="Calibri"/>
                <w:sz w:val="18"/>
              </w:rPr>
              <w:t>['balanced', None]</w:t>
            </w:r>
          </w:p>
        </w:tc>
        <w:tc>
          <w:tcPr>
            <w:tcW w:type="dxa" w:w="2592"/>
            <w:shd w:fill="FFFFFF"/>
            <w:tcMar>
              <w:top w:w="100" w:type="dxa"/>
              <w:bottom w:w="100" w:type="dxa"/>
              <w:left w:w="140" w:type="dxa"/>
              <w:right w:w="140" w:type="dxa"/>
            </w:tcMar>
            <w:vAlign w:val="center"/>
          </w:tcPr>
          <w:p>
            <w:pPr>
              <w:jc w:val="left"/>
            </w:pPr>
            <w:r>
              <w:rPr>
                <w:rFonts w:ascii="Calibri" w:hAnsi="Calibri"/>
                <w:sz w:val="18"/>
              </w:rPr>
              <w:t>Loss penalization inversely proportional to class frequencies: w_c = N / (C * N_c).</w:t>
            </w:r>
          </w:p>
        </w:tc>
        <w:tc>
          <w:tcPr>
            <w:tcW w:type="dxa" w:w="2448"/>
            <w:shd w:fill="FFFFFF"/>
            <w:tcMar>
              <w:top w:w="100" w:type="dxa"/>
              <w:bottom w:w="100" w:type="dxa"/>
              <w:left w:w="140" w:type="dxa"/>
              <w:right w:w="140" w:type="dxa"/>
            </w:tcMar>
            <w:vAlign w:val="center"/>
          </w:tcPr>
          <w:p>
            <w:pPr>
              <w:jc w:val="left"/>
            </w:pPr>
            <w:r>
              <w:rPr>
                <w:rFonts w:ascii="Calibri" w:hAnsi="Calibri"/>
                <w:sz w:val="18"/>
              </w:rPr>
              <w:t>Crucial for remediation modeling where VM actions represent &lt;1% of total historical labels.</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PCA Target Variance</w:t>
            </w:r>
          </w:p>
        </w:tc>
        <w:tc>
          <w:tcPr>
            <w:tcW w:type="dxa" w:w="2304"/>
            <w:shd w:fill="F2F4F7"/>
            <w:tcMar>
              <w:top w:w="100" w:type="dxa"/>
              <w:bottom w:w="100" w:type="dxa"/>
              <w:left w:w="140" w:type="dxa"/>
              <w:right w:w="140" w:type="dxa"/>
            </w:tcMar>
            <w:vAlign w:val="center"/>
          </w:tcPr>
          <w:p>
            <w:pPr>
              <w:jc w:val="left"/>
            </w:pPr>
            <w:r>
              <w:rPr>
                <w:rFonts w:ascii="Calibri" w:hAnsi="Calibri"/>
                <w:sz w:val="18"/>
              </w:rPr>
              <w:t>95% variance explained (k = 40)</w:t>
            </w:r>
          </w:p>
        </w:tc>
        <w:tc>
          <w:tcPr>
            <w:tcW w:type="dxa" w:w="2592"/>
            <w:shd w:fill="F2F4F7"/>
            <w:tcMar>
              <w:top w:w="100" w:type="dxa"/>
              <w:bottom w:w="100" w:type="dxa"/>
              <w:left w:w="140" w:type="dxa"/>
              <w:right w:w="140" w:type="dxa"/>
            </w:tcMar>
            <w:vAlign w:val="center"/>
          </w:tcPr>
          <w:p>
            <w:pPr>
              <w:jc w:val="left"/>
            </w:pPr>
            <w:r>
              <w:rPr>
                <w:rFonts w:ascii="Calibri" w:hAnsi="Calibri"/>
                <w:sz w:val="18"/>
              </w:rPr>
              <w:t>Eigenvalue cut-off across covariance matrix.</w:t>
            </w:r>
          </w:p>
        </w:tc>
        <w:tc>
          <w:tcPr>
            <w:tcW w:type="dxa" w:w="2448"/>
            <w:shd w:fill="F2F4F7"/>
            <w:tcMar>
              <w:top w:w="100" w:type="dxa"/>
              <w:bottom w:w="100" w:type="dxa"/>
              <w:left w:w="140" w:type="dxa"/>
              <w:right w:w="140" w:type="dxa"/>
            </w:tcMar>
            <w:vAlign w:val="center"/>
          </w:tcPr>
          <w:p>
            <w:pPr>
              <w:jc w:val="left"/>
            </w:pPr>
            <w:r>
              <w:rPr>
                <w:rFonts w:ascii="Calibri" w:hAnsi="Calibri"/>
                <w:sz w:val="18"/>
              </w:rPr>
              <w:t>Reduces feature dimension from &gt;30,000 sparse columns down to exactly 40 dense continuous columns.</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Training Infrastructure</w:t>
            </w:r>
          </w:p>
        </w:tc>
        <w:tc>
          <w:tcPr>
            <w:tcW w:type="dxa" w:w="2304"/>
            <w:shd w:fill="FFFFFF"/>
            <w:tcMar>
              <w:top w:w="100" w:type="dxa"/>
              <w:bottom w:w="100" w:type="dxa"/>
              <w:left w:w="140" w:type="dxa"/>
              <w:right w:w="140" w:type="dxa"/>
            </w:tcMar>
            <w:vAlign w:val="center"/>
          </w:tcPr>
          <w:p>
            <w:pPr>
              <w:jc w:val="left"/>
            </w:pPr>
            <w:r>
              <w:rPr>
                <w:rFonts w:ascii="Calibri" w:hAnsi="Calibri"/>
                <w:sz w:val="18"/>
              </w:rPr>
              <w:t>Azure Synapse XXL PySpark Pool</w:t>
            </w:r>
          </w:p>
        </w:tc>
        <w:tc>
          <w:tcPr>
            <w:tcW w:type="dxa" w:w="2592"/>
            <w:shd w:fill="FFFFFF"/>
            <w:tcMar>
              <w:top w:w="100" w:type="dxa"/>
              <w:bottom w:w="100" w:type="dxa"/>
              <w:left w:w="140" w:type="dxa"/>
              <w:right w:w="140" w:type="dxa"/>
            </w:tcMar>
            <w:vAlign w:val="center"/>
          </w:tcPr>
          <w:p>
            <w:pPr>
              <w:jc w:val="left"/>
            </w:pPr>
            <w:r>
              <w:rPr>
                <w:rFonts w:ascii="Calibri" w:hAnsi="Calibri"/>
                <w:sz w:val="18"/>
              </w:rPr>
              <w:t>60 worker executors: 64 CPU cores, 400 GB RAM each.</w:t>
            </w:r>
          </w:p>
        </w:tc>
        <w:tc>
          <w:tcPr>
            <w:tcW w:type="dxa" w:w="2448"/>
            <w:shd w:fill="FFFFFF"/>
            <w:tcMar>
              <w:top w:w="100" w:type="dxa"/>
              <w:bottom w:w="100" w:type="dxa"/>
              <w:left w:w="140" w:type="dxa"/>
              <w:right w:w="140" w:type="dxa"/>
            </w:tcMar>
            <w:vAlign w:val="center"/>
          </w:tcPr>
          <w:p>
            <w:pPr>
              <w:jc w:val="left"/>
            </w:pPr>
            <w:r>
              <w:rPr>
                <w:rFonts w:ascii="Calibri" w:hAnsi="Calibri"/>
                <w:sz w:val="18"/>
              </w:rPr>
              <w:t>Massive parallel capacity (3,840 cores, 24 TB RAM) required to crunch multi-region telemetry at cloud scale.</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Training Cadence</w:t>
            </w:r>
          </w:p>
        </w:tc>
        <w:tc>
          <w:tcPr>
            <w:tcW w:type="dxa" w:w="2304"/>
            <w:shd w:fill="F2F4F7"/>
            <w:tcMar>
              <w:top w:w="100" w:type="dxa"/>
              <w:bottom w:w="100" w:type="dxa"/>
              <w:left w:w="140" w:type="dxa"/>
              <w:right w:w="140" w:type="dxa"/>
            </w:tcMar>
            <w:vAlign w:val="center"/>
          </w:tcPr>
          <w:p>
            <w:pPr>
              <w:jc w:val="left"/>
            </w:pPr>
            <w:r>
              <w:rPr>
                <w:rFonts w:ascii="Calibri" w:hAnsi="Calibri"/>
                <w:sz w:val="18"/>
              </w:rPr>
              <w:t>Weekly Retraining Cycle</w:t>
            </w:r>
          </w:p>
        </w:tc>
        <w:tc>
          <w:tcPr>
            <w:tcW w:type="dxa" w:w="2592"/>
            <w:shd w:fill="F2F4F7"/>
            <w:tcMar>
              <w:top w:w="100" w:type="dxa"/>
              <w:bottom w:w="100" w:type="dxa"/>
              <w:left w:w="140" w:type="dxa"/>
              <w:right w:w="140" w:type="dxa"/>
            </w:tcMar>
            <w:vAlign w:val="center"/>
          </w:tcPr>
          <w:p>
            <w:pPr>
              <w:jc w:val="left"/>
            </w:pPr>
            <w:r>
              <w:rPr>
                <w:rFonts w:ascii="Calibri" w:hAnsi="Calibri"/>
                <w:sz w:val="18"/>
              </w:rPr>
              <w:t>Batch offline job updating model weights in Blob storage.</w:t>
            </w:r>
          </w:p>
        </w:tc>
        <w:tc>
          <w:tcPr>
            <w:tcW w:type="dxa" w:w="2448"/>
            <w:shd w:fill="F2F4F7"/>
            <w:tcMar>
              <w:top w:w="100" w:type="dxa"/>
              <w:bottom w:w="100" w:type="dxa"/>
              <w:left w:w="140" w:type="dxa"/>
              <w:right w:w="140" w:type="dxa"/>
            </w:tcMar>
            <w:vAlign w:val="center"/>
          </w:tcPr>
          <w:p>
            <w:pPr>
              <w:jc w:val="left"/>
            </w:pPr>
            <w:r>
              <w:rPr>
                <w:rFonts w:ascii="Calibri" w:hAnsi="Calibri"/>
                <w:sz w:val="18"/>
              </w:rPr>
              <w:t>Regularly updates detector distributions without incurring the stability risks of continuous online streaming updates.</w:t>
            </w:r>
          </w:p>
        </w:tc>
      </w:tr>
    </w:tbl>
    <w:p/>
    <w:p>
      <w:pPr>
        <w:pStyle w:val="Heading1"/>
        <w:keepNext/>
        <w:spacing w:before="280" w:after="80"/>
      </w:pPr>
      <w:r>
        <w:rPr>
          <w:rFonts w:ascii="Calibri" w:hAnsi="Calibri"/>
          <w:b/>
          <w:color w:val="1F4E79"/>
          <w:sz w:val="32"/>
        </w:rPr>
        <w:t>5. Performance Benchmarks &amp; Ablation Findings</w:t>
      </w:r>
    </w:p>
    <w:p>
      <w:r>
        <w:rPr>
          <w:i/>
        </w:rPr>
        <w:t>Plain English Summary: The production system achieves 87% Macro-F1 on triage and 99% Macro-F1 on remediation. Human evaluation confirmed 94% of investigation links are spot-on, while real-world SOC analysts accepted recommendations 89% of the time.</w:t>
      </w:r>
    </w:p>
    <w:p>
      <w:pPr>
        <w:pStyle w:val="Heading2"/>
        <w:keepNext/>
        <w:spacing w:before="200" w:after="60"/>
      </w:pPr>
      <w:r>
        <w:rPr>
          <w:rFonts w:ascii="Calibri" w:hAnsi="Calibri"/>
          <w:b/>
          <w:color w:val="2F5597"/>
          <w:sz w:val="26"/>
        </w:rPr>
        <w:t>5.1 Offline &amp; Online Performance Benchmarks across Tasks</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2160"/>
            <w:shd w:fill="1F4E79"/>
            <w:tcMar>
              <w:top w:w="140" w:type="dxa"/>
              <w:bottom w:w="140" w:type="dxa"/>
              <w:left w:w="160" w:type="dxa"/>
              <w:right w:w="160" w:type="dxa"/>
            </w:tcMar>
            <w:vAlign w:val="center"/>
          </w:tcPr>
          <w:p>
            <w:pPr>
              <w:jc w:val="left"/>
            </w:pPr>
            <w:r>
              <w:rPr>
                <w:rFonts w:ascii="Calibri" w:hAnsi="Calibri"/>
                <w:b/>
                <w:color w:val="FFFFFF"/>
                <w:sz w:val="19"/>
              </w:rPr>
              <w:t>Evaluation Metric</w:t>
            </w:r>
          </w:p>
        </w:tc>
        <w:tc>
          <w:tcPr>
            <w:tcW w:type="dxa" w:w="2448"/>
            <w:shd w:fill="1F4E79"/>
            <w:tcMar>
              <w:top w:w="140" w:type="dxa"/>
              <w:bottom w:w="140" w:type="dxa"/>
              <w:left w:w="160" w:type="dxa"/>
              <w:right w:w="160" w:type="dxa"/>
            </w:tcMar>
            <w:vAlign w:val="center"/>
          </w:tcPr>
          <w:p>
            <w:pPr>
              <w:jc w:val="left"/>
            </w:pPr>
            <w:r>
              <w:rPr>
                <w:rFonts w:ascii="Calibri" w:hAnsi="Calibri"/>
                <w:b/>
                <w:color w:val="FFFFFF"/>
                <w:sz w:val="19"/>
              </w:rPr>
              <w:t>Triage Sub-Skill (Mt)</w:t>
            </w:r>
          </w:p>
        </w:tc>
        <w:tc>
          <w:tcPr>
            <w:tcW w:type="dxa" w:w="2448"/>
            <w:shd w:fill="1F4E79"/>
            <w:tcMar>
              <w:top w:w="140" w:type="dxa"/>
              <w:bottom w:w="140" w:type="dxa"/>
              <w:left w:w="160" w:type="dxa"/>
              <w:right w:w="160" w:type="dxa"/>
            </w:tcMar>
            <w:vAlign w:val="center"/>
          </w:tcPr>
          <w:p>
            <w:pPr>
              <w:jc w:val="left"/>
            </w:pPr>
            <w:r>
              <w:rPr>
                <w:rFonts w:ascii="Calibri" w:hAnsi="Calibri"/>
                <w:b/>
                <w:color w:val="FFFFFF"/>
                <w:sz w:val="19"/>
              </w:rPr>
              <w:t>Remediation Sub-Skill (Mr)</w:t>
            </w:r>
          </w:p>
        </w:tc>
        <w:tc>
          <w:tcPr>
            <w:tcW w:type="dxa" w:w="2304"/>
            <w:shd w:fill="1F4E79"/>
            <w:tcMar>
              <w:top w:w="140" w:type="dxa"/>
              <w:bottom w:w="140" w:type="dxa"/>
              <w:left w:w="160" w:type="dxa"/>
              <w:right w:w="160" w:type="dxa"/>
            </w:tcMar>
            <w:vAlign w:val="center"/>
          </w:tcPr>
          <w:p>
            <w:pPr>
              <w:jc w:val="left"/>
            </w:pPr>
            <w:r>
              <w:rPr>
                <w:rFonts w:ascii="Calibri" w:hAnsi="Calibri"/>
                <w:b/>
                <w:color w:val="FFFFFF"/>
                <w:sz w:val="19"/>
              </w:rPr>
              <w:t>Investigation Sub-Skill (Rinv)</w:t>
            </w:r>
          </w:p>
        </w:tc>
      </w:tr>
      <w:tr>
        <w:tc>
          <w:tcPr>
            <w:tcW w:type="dxa" w:w="2160"/>
            <w:shd w:fill="FFFFFF"/>
            <w:tcMar>
              <w:top w:w="100" w:type="dxa"/>
              <w:bottom w:w="100" w:type="dxa"/>
              <w:left w:w="140" w:type="dxa"/>
              <w:right w:w="140" w:type="dxa"/>
            </w:tcMar>
            <w:vAlign w:val="center"/>
          </w:tcPr>
          <w:p>
            <w:pPr>
              <w:jc w:val="left"/>
            </w:pPr>
            <w:r>
              <w:rPr>
                <w:rFonts w:ascii="Calibri" w:hAnsi="Calibri"/>
                <w:sz w:val="18"/>
              </w:rPr>
              <w:t>Macro-Precision (Offline)</w:t>
            </w:r>
          </w:p>
        </w:tc>
        <w:tc>
          <w:tcPr>
            <w:tcW w:type="dxa" w:w="2448"/>
            <w:shd w:fill="FFFFFF"/>
            <w:tcMar>
              <w:top w:w="100" w:type="dxa"/>
              <w:bottom w:w="100" w:type="dxa"/>
              <w:left w:w="140" w:type="dxa"/>
              <w:right w:w="140" w:type="dxa"/>
            </w:tcMar>
            <w:vAlign w:val="center"/>
          </w:tcPr>
          <w:p>
            <w:pPr>
              <w:jc w:val="left"/>
            </w:pPr>
            <w:r>
              <w:rPr>
                <w:rFonts w:ascii="Calibri" w:hAnsi="Calibri"/>
                <w:sz w:val="18"/>
              </w:rPr>
              <w:t>0.87 (Cross-region avg)</w:t>
            </w:r>
          </w:p>
        </w:tc>
        <w:tc>
          <w:tcPr>
            <w:tcW w:type="dxa" w:w="2448"/>
            <w:shd w:fill="FFFFFF"/>
            <w:tcMar>
              <w:top w:w="100" w:type="dxa"/>
              <w:bottom w:w="100" w:type="dxa"/>
              <w:left w:w="140" w:type="dxa"/>
              <w:right w:w="140" w:type="dxa"/>
            </w:tcMar>
            <w:vAlign w:val="center"/>
          </w:tcPr>
          <w:p>
            <w:pPr>
              <w:jc w:val="left"/>
            </w:pPr>
            <w:r>
              <w:rPr>
                <w:rFonts w:ascii="Calibri" w:hAnsi="Calibri"/>
                <w:sz w:val="18"/>
              </w:rPr>
              <w:t>0.99 (Cross-region avg)</w:t>
            </w:r>
          </w:p>
        </w:tc>
        <w:tc>
          <w:tcPr>
            <w:tcW w:type="dxa" w:w="2304"/>
            <w:shd w:fill="FFFFFF"/>
            <w:tcMar>
              <w:top w:w="100" w:type="dxa"/>
              <w:bottom w:w="100" w:type="dxa"/>
              <w:left w:w="140" w:type="dxa"/>
              <w:right w:w="140" w:type="dxa"/>
            </w:tcMar>
            <w:vAlign w:val="center"/>
          </w:tcPr>
          <w:p>
            <w:pPr>
              <w:jc w:val="left"/>
            </w:pPr>
            <w:r>
              <w:rPr>
                <w:rFonts w:ascii="Calibri" w:hAnsi="Calibri"/>
                <w:sz w:val="18"/>
              </w:rPr>
              <w:t>0.94 (Expert relevance score)</w:t>
            </w:r>
          </w:p>
        </w:tc>
      </w:tr>
      <w:tr>
        <w:tc>
          <w:tcPr>
            <w:tcW w:type="dxa" w:w="2160"/>
            <w:shd w:fill="F2F4F7"/>
            <w:tcMar>
              <w:top w:w="100" w:type="dxa"/>
              <w:bottom w:w="100" w:type="dxa"/>
              <w:left w:w="140" w:type="dxa"/>
              <w:right w:w="140" w:type="dxa"/>
            </w:tcMar>
            <w:vAlign w:val="center"/>
          </w:tcPr>
          <w:p>
            <w:pPr>
              <w:jc w:val="left"/>
            </w:pPr>
            <w:r>
              <w:rPr>
                <w:rFonts w:ascii="Calibri" w:hAnsi="Calibri"/>
                <w:sz w:val="18"/>
              </w:rPr>
              <w:t>Macro-Recall (Offline)</w:t>
            </w:r>
          </w:p>
        </w:tc>
        <w:tc>
          <w:tcPr>
            <w:tcW w:type="dxa" w:w="2448"/>
            <w:shd w:fill="F2F4F7"/>
            <w:tcMar>
              <w:top w:w="100" w:type="dxa"/>
              <w:bottom w:w="100" w:type="dxa"/>
              <w:left w:w="140" w:type="dxa"/>
              <w:right w:w="140" w:type="dxa"/>
            </w:tcMar>
            <w:vAlign w:val="center"/>
          </w:tcPr>
          <w:p>
            <w:pPr>
              <w:jc w:val="left"/>
            </w:pPr>
            <w:r>
              <w:rPr>
                <w:rFonts w:ascii="Calibri" w:hAnsi="Calibri"/>
                <w:sz w:val="18"/>
              </w:rPr>
              <w:t>0.86 (Cross-region avg)</w:t>
            </w:r>
          </w:p>
        </w:tc>
        <w:tc>
          <w:tcPr>
            <w:tcW w:type="dxa" w:w="2448"/>
            <w:shd w:fill="F2F4F7"/>
            <w:tcMar>
              <w:top w:w="100" w:type="dxa"/>
              <w:bottom w:w="100" w:type="dxa"/>
              <w:left w:w="140" w:type="dxa"/>
              <w:right w:w="140" w:type="dxa"/>
            </w:tcMar>
            <w:vAlign w:val="center"/>
          </w:tcPr>
          <w:p>
            <w:pPr>
              <w:jc w:val="left"/>
            </w:pPr>
            <w:r>
              <w:rPr>
                <w:rFonts w:ascii="Calibri" w:hAnsi="Calibri"/>
                <w:sz w:val="18"/>
              </w:rPr>
              <w:t>1.00 (Cross-region avg)</w:t>
            </w:r>
          </w:p>
        </w:tc>
        <w:tc>
          <w:tcPr>
            <w:tcW w:type="dxa" w:w="2304"/>
            <w:shd w:fill="F2F4F7"/>
            <w:tcMar>
              <w:top w:w="100" w:type="dxa"/>
              <w:bottom w:w="100" w:type="dxa"/>
              <w:left w:w="140" w:type="dxa"/>
              <w:right w:w="140" w:type="dxa"/>
            </w:tcMar>
            <w:vAlign w:val="center"/>
          </w:tcPr>
          <w:p>
            <w:pPr>
              <w:jc w:val="left"/>
            </w:pPr>
            <w:r>
              <w:rPr>
                <w:rFonts w:ascii="Calibri" w:hAnsi="Calibri"/>
                <w:sz w:val="18"/>
              </w:rPr>
              <w:t>0.98 (% incidents with &gt;=1 match)</w:t>
            </w:r>
          </w:p>
        </w:tc>
      </w:tr>
      <w:tr>
        <w:tc>
          <w:tcPr>
            <w:tcW w:type="dxa" w:w="2160"/>
            <w:shd w:fill="FFFFFF"/>
            <w:tcMar>
              <w:top w:w="100" w:type="dxa"/>
              <w:bottom w:w="100" w:type="dxa"/>
              <w:left w:w="140" w:type="dxa"/>
              <w:right w:w="140" w:type="dxa"/>
            </w:tcMar>
            <w:vAlign w:val="center"/>
          </w:tcPr>
          <w:p>
            <w:pPr>
              <w:jc w:val="left"/>
            </w:pPr>
            <w:r>
              <w:rPr>
                <w:rFonts w:ascii="Calibri" w:hAnsi="Calibri"/>
                <w:sz w:val="18"/>
              </w:rPr>
              <w:t>Macro-F1 Score</w:t>
            </w:r>
          </w:p>
        </w:tc>
        <w:tc>
          <w:tcPr>
            <w:tcW w:type="dxa" w:w="2448"/>
            <w:shd w:fill="FFFFFF"/>
            <w:tcMar>
              <w:top w:w="100" w:type="dxa"/>
              <w:bottom w:w="100" w:type="dxa"/>
              <w:left w:w="140" w:type="dxa"/>
              <w:right w:w="140" w:type="dxa"/>
            </w:tcMar>
            <w:vAlign w:val="center"/>
          </w:tcPr>
          <w:p>
            <w:pPr>
              <w:jc w:val="left"/>
            </w:pPr>
            <w:r>
              <w:rPr>
                <w:rFonts w:ascii="Calibri" w:hAnsi="Calibri"/>
                <w:sz w:val="18"/>
              </w:rPr>
              <w:t>0.87 (Top performance: 0.90)</w:t>
            </w:r>
          </w:p>
        </w:tc>
        <w:tc>
          <w:tcPr>
            <w:tcW w:type="dxa" w:w="2448"/>
            <w:shd w:fill="FFFFFF"/>
            <w:tcMar>
              <w:top w:w="100" w:type="dxa"/>
              <w:bottom w:w="100" w:type="dxa"/>
              <w:left w:w="140" w:type="dxa"/>
              <w:right w:w="140" w:type="dxa"/>
            </w:tcMar>
            <w:vAlign w:val="center"/>
          </w:tcPr>
          <w:p>
            <w:pPr>
              <w:jc w:val="left"/>
            </w:pPr>
            <w:r>
              <w:rPr>
                <w:rFonts w:ascii="Calibri" w:hAnsi="Calibri"/>
                <w:sz w:val="18"/>
              </w:rPr>
              <w:t>0.99 (Near perfect action match)</w:t>
            </w:r>
          </w:p>
        </w:tc>
        <w:tc>
          <w:tcPr>
            <w:tcW w:type="dxa" w:w="2304"/>
            <w:shd w:fill="FFFFFF"/>
            <w:tcMar>
              <w:top w:w="100" w:type="dxa"/>
              <w:bottom w:w="100" w:type="dxa"/>
              <w:left w:w="140" w:type="dxa"/>
              <w:right w:w="140" w:type="dxa"/>
            </w:tcMar>
            <w:vAlign w:val="center"/>
          </w:tcPr>
          <w:p>
            <w:pPr>
              <w:jc w:val="left"/>
            </w:pPr>
            <w:r>
              <w:rPr>
                <w:rFonts w:ascii="Calibri" w:hAnsi="Calibri"/>
                <w:sz w:val="18"/>
              </w:rPr>
              <w:t>N/A (Evaluated via human relevance)</w:t>
            </w:r>
          </w:p>
        </w:tc>
      </w:tr>
      <w:tr>
        <w:tc>
          <w:tcPr>
            <w:tcW w:type="dxa" w:w="2160"/>
            <w:shd w:fill="F2F4F7"/>
            <w:tcMar>
              <w:top w:w="100" w:type="dxa"/>
              <w:bottom w:w="100" w:type="dxa"/>
              <w:left w:w="140" w:type="dxa"/>
              <w:right w:w="140" w:type="dxa"/>
            </w:tcMar>
            <w:vAlign w:val="center"/>
          </w:tcPr>
          <w:p>
            <w:pPr>
              <w:jc w:val="left"/>
            </w:pPr>
            <w:r>
              <w:rPr>
                <w:rFonts w:ascii="Calibri" w:hAnsi="Calibri"/>
                <w:sz w:val="18"/>
              </w:rPr>
              <w:t>Area Under PR Curve (PR-AUC)</w:t>
            </w:r>
          </w:p>
        </w:tc>
        <w:tc>
          <w:tcPr>
            <w:tcW w:type="dxa" w:w="2448"/>
            <w:shd w:fill="F2F4F7"/>
            <w:tcMar>
              <w:top w:w="100" w:type="dxa"/>
              <w:bottom w:w="100" w:type="dxa"/>
              <w:left w:w="140" w:type="dxa"/>
              <w:right w:w="140" w:type="dxa"/>
            </w:tcMar>
            <w:vAlign w:val="center"/>
          </w:tcPr>
          <w:p>
            <w:pPr>
              <w:jc w:val="left"/>
            </w:pPr>
            <w:r>
              <w:rPr>
                <w:rFonts w:ascii="Calibri" w:hAnsi="Calibri"/>
                <w:sz w:val="18"/>
              </w:rPr>
              <w:t>BP: 0.99 | FP: 0.98 | TP: 0.92</w:t>
            </w:r>
          </w:p>
        </w:tc>
        <w:tc>
          <w:tcPr>
            <w:tcW w:type="dxa" w:w="2448"/>
            <w:shd w:fill="F2F4F7"/>
            <w:tcMar>
              <w:top w:w="100" w:type="dxa"/>
              <w:bottom w:w="100" w:type="dxa"/>
              <w:left w:w="140" w:type="dxa"/>
              <w:right w:w="140" w:type="dxa"/>
            </w:tcMar>
            <w:vAlign w:val="center"/>
          </w:tcPr>
          <w:p>
            <w:pPr>
              <w:jc w:val="left"/>
            </w:pPr>
            <w:r>
              <w:rPr>
                <w:rFonts w:ascii="Calibri" w:hAnsi="Calibri"/>
                <w:sz w:val="18"/>
              </w:rPr>
              <w:t>~1.0 across actions</w:t>
            </w:r>
          </w:p>
        </w:tc>
        <w:tc>
          <w:tcPr>
            <w:tcW w:type="dxa" w:w="2304"/>
            <w:shd w:fill="F2F4F7"/>
            <w:tcMar>
              <w:top w:w="100" w:type="dxa"/>
              <w:bottom w:w="100" w:type="dxa"/>
              <w:left w:w="140" w:type="dxa"/>
              <w:right w:w="140" w:type="dxa"/>
            </w:tcMar>
            <w:vAlign w:val="center"/>
          </w:tcPr>
          <w:p>
            <w:pPr>
              <w:jc w:val="left"/>
            </w:pPr>
            <w:r>
              <w:rPr>
                <w:rFonts w:ascii="Calibri" w:hAnsi="Calibri"/>
                <w:sz w:val="18"/>
              </w:rPr>
              <w:t>Cosine cut-off threshold at &gt;= 0.90</w:t>
            </w:r>
          </w:p>
        </w:tc>
      </w:tr>
      <w:tr>
        <w:tc>
          <w:tcPr>
            <w:tcW w:type="dxa" w:w="2160"/>
            <w:shd w:fill="FFFFFF"/>
            <w:tcMar>
              <w:top w:w="100" w:type="dxa"/>
              <w:bottom w:w="100" w:type="dxa"/>
              <w:left w:w="140" w:type="dxa"/>
              <w:right w:w="140" w:type="dxa"/>
            </w:tcMar>
            <w:vAlign w:val="center"/>
          </w:tcPr>
          <w:p>
            <w:pPr>
              <w:jc w:val="left"/>
            </w:pPr>
            <w:r>
              <w:rPr>
                <w:rFonts w:ascii="Calibri" w:hAnsi="Calibri"/>
                <w:sz w:val="18"/>
              </w:rPr>
              <w:t>Operational Coverage (Online)</w:t>
            </w:r>
          </w:p>
        </w:tc>
        <w:tc>
          <w:tcPr>
            <w:tcW w:type="dxa" w:w="2448"/>
            <w:shd w:fill="FFFFFF"/>
            <w:tcMar>
              <w:top w:w="100" w:type="dxa"/>
              <w:bottom w:w="100" w:type="dxa"/>
              <w:left w:w="140" w:type="dxa"/>
              <w:right w:w="140" w:type="dxa"/>
            </w:tcMar>
            <w:vAlign w:val="center"/>
          </w:tcPr>
          <w:p>
            <w:pPr>
              <w:jc w:val="left"/>
            </w:pPr>
            <w:r>
              <w:rPr>
                <w:rFonts w:ascii="Calibri" w:hAnsi="Calibri"/>
                <w:sz w:val="18"/>
              </w:rPr>
              <w:t>41% of all incoming incidents</w:t>
            </w:r>
          </w:p>
        </w:tc>
        <w:tc>
          <w:tcPr>
            <w:tcW w:type="dxa" w:w="2448"/>
            <w:shd w:fill="FFFFFF"/>
            <w:tcMar>
              <w:top w:w="100" w:type="dxa"/>
              <w:bottom w:w="100" w:type="dxa"/>
              <w:left w:w="140" w:type="dxa"/>
              <w:right w:w="140" w:type="dxa"/>
            </w:tcMar>
            <w:vAlign w:val="center"/>
          </w:tcPr>
          <w:p>
            <w:pPr>
              <w:jc w:val="left"/>
            </w:pPr>
            <w:r>
              <w:rPr>
                <w:rFonts w:ascii="Calibri" w:hAnsi="Calibri"/>
                <w:sz w:val="18"/>
              </w:rPr>
              <w:t>62% of all incoming alerts</w:t>
            </w:r>
          </w:p>
        </w:tc>
        <w:tc>
          <w:tcPr>
            <w:tcW w:type="dxa" w:w="2304"/>
            <w:shd w:fill="FFFFFF"/>
            <w:tcMar>
              <w:top w:w="100" w:type="dxa"/>
              <w:bottom w:w="100" w:type="dxa"/>
              <w:left w:w="140" w:type="dxa"/>
              <w:right w:w="140" w:type="dxa"/>
            </w:tcMar>
            <w:vAlign w:val="center"/>
          </w:tcPr>
          <w:p>
            <w:pPr>
              <w:jc w:val="left"/>
            </w:pPr>
            <w:r>
              <w:rPr>
                <w:rFonts w:ascii="Calibri" w:hAnsi="Calibri"/>
                <w:sz w:val="18"/>
              </w:rPr>
              <w:t>98% coverage across all incidents</w:t>
            </w:r>
          </w:p>
        </w:tc>
      </w:tr>
      <w:tr>
        <w:tc>
          <w:tcPr>
            <w:tcW w:type="dxa" w:w="2160"/>
            <w:shd w:fill="F2F4F7"/>
            <w:tcMar>
              <w:top w:w="100" w:type="dxa"/>
              <w:bottom w:w="100" w:type="dxa"/>
              <w:left w:w="140" w:type="dxa"/>
              <w:right w:w="140" w:type="dxa"/>
            </w:tcMar>
            <w:vAlign w:val="center"/>
          </w:tcPr>
          <w:p>
            <w:pPr>
              <w:jc w:val="left"/>
            </w:pPr>
            <w:r>
              <w:rPr>
                <w:rFonts w:ascii="Calibri" w:hAnsi="Calibri"/>
                <w:sz w:val="18"/>
              </w:rPr>
              <w:t>Live Customer Confirmation</w:t>
            </w:r>
          </w:p>
        </w:tc>
        <w:tc>
          <w:tcPr>
            <w:tcW w:type="dxa" w:w="2448"/>
            <w:shd w:fill="F2F4F7"/>
            <w:tcMar>
              <w:top w:w="100" w:type="dxa"/>
              <w:bottom w:w="100" w:type="dxa"/>
              <w:left w:w="140" w:type="dxa"/>
              <w:right w:w="140" w:type="dxa"/>
            </w:tcMar>
            <w:vAlign w:val="center"/>
          </w:tcPr>
          <w:p>
            <w:pPr>
              <w:jc w:val="left"/>
            </w:pPr>
            <w:r>
              <w:rPr>
                <w:rFonts w:ascii="Calibri" w:hAnsi="Calibri"/>
                <w:sz w:val="18"/>
              </w:rPr>
              <w:t>89% positive confirmation rate across millions of live recommendations deployed globally in Microsoft Defender XDR.</w:t>
            </w:r>
          </w:p>
        </w:tc>
        <w:tc>
          <w:tcPr>
            <w:tcW w:type="dxa" w:w="2448"/>
            <w:shd w:fill="F2F4F7"/>
            <w:tcMar>
              <w:top w:w="100" w:type="dxa"/>
              <w:bottom w:w="100" w:type="dxa"/>
              <w:left w:w="140" w:type="dxa"/>
              <w:right w:w="140" w:type="dxa"/>
            </w:tcMar>
            <w:vAlign w:val="center"/>
          </w:tcPr>
          <w:p>
            <w:pPr>
              <w:jc w:val="left"/>
            </w:pPr>
            <w:r>
              <w:rPr>
                <w:rFonts w:ascii="Calibri" w:hAnsi="Calibri"/>
                <w:sz w:val="18"/>
              </w:rPr>
            </w:r>
          </w:p>
        </w:tc>
        <w:tc>
          <w:tcPr>
            <w:tcW w:type="dxa" w:w="2304"/>
            <w:shd w:fill="F2F4F7"/>
            <w:tcMar>
              <w:top w:w="100" w:type="dxa"/>
              <w:bottom w:w="100" w:type="dxa"/>
              <w:left w:w="140" w:type="dxa"/>
              <w:right w:w="140" w:type="dxa"/>
            </w:tcMar>
            <w:vAlign w:val="center"/>
          </w:tcPr>
          <w:p>
            <w:pPr>
              <w:jc w:val="left"/>
            </w:pPr>
            <w:r>
              <w:rPr>
                <w:rFonts w:ascii="Calibri" w:hAnsi="Calibri"/>
                <w:sz w:val="18"/>
              </w:rPr>
            </w:r>
          </w:p>
        </w:tc>
      </w:tr>
    </w:tbl>
    <w:p/>
    <w:p>
      <w:pPr>
        <w:pStyle w:val="Heading2"/>
        <w:keepNext/>
        <w:spacing w:before="200" w:after="60"/>
      </w:pPr>
      <w:r>
        <w:rPr>
          <w:rFonts w:ascii="Calibri" w:hAnsi="Calibri"/>
          <w:b/>
          <w:color w:val="2F5597"/>
          <w:sz w:val="26"/>
        </w:rPr>
        <w:t>5.2 Ablation Study Insights &amp; Error Attribution</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2016"/>
            <w:shd w:fill="1F4E79"/>
            <w:tcMar>
              <w:top w:w="140" w:type="dxa"/>
              <w:bottom w:w="140" w:type="dxa"/>
              <w:left w:w="160" w:type="dxa"/>
              <w:right w:w="160" w:type="dxa"/>
            </w:tcMar>
            <w:vAlign w:val="center"/>
          </w:tcPr>
          <w:p>
            <w:pPr>
              <w:jc w:val="left"/>
            </w:pPr>
            <w:r>
              <w:rPr>
                <w:rFonts w:ascii="Calibri" w:hAnsi="Calibri"/>
                <w:b/>
                <w:color w:val="FFFFFF"/>
                <w:sz w:val="19"/>
              </w:rPr>
              <w:t>System Component / Variation</w:t>
            </w:r>
          </w:p>
        </w:tc>
        <w:tc>
          <w:tcPr>
            <w:tcW w:type="dxa" w:w="2304"/>
            <w:shd w:fill="1F4E79"/>
            <w:tcMar>
              <w:top w:w="140" w:type="dxa"/>
              <w:bottom w:w="140" w:type="dxa"/>
              <w:left w:w="160" w:type="dxa"/>
              <w:right w:w="160" w:type="dxa"/>
            </w:tcMar>
            <w:vAlign w:val="center"/>
          </w:tcPr>
          <w:p>
            <w:pPr>
              <w:jc w:val="left"/>
            </w:pPr>
            <w:r>
              <w:rPr>
                <w:rFonts w:ascii="Calibri" w:hAnsi="Calibri"/>
                <w:b/>
                <w:color w:val="FFFFFF"/>
                <w:sz w:val="19"/>
              </w:rPr>
              <w:t>Observed Impact / Delta</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Root Cause Analysis</w:t>
            </w:r>
          </w:p>
        </w:tc>
        <w:tc>
          <w:tcPr>
            <w:tcW w:type="dxa" w:w="2448"/>
            <w:shd w:fill="1F4E79"/>
            <w:tcMar>
              <w:top w:w="140" w:type="dxa"/>
              <w:bottom w:w="140" w:type="dxa"/>
              <w:left w:w="160" w:type="dxa"/>
              <w:right w:w="160" w:type="dxa"/>
            </w:tcMar>
            <w:vAlign w:val="center"/>
          </w:tcPr>
          <w:p>
            <w:pPr>
              <w:jc w:val="left"/>
            </w:pPr>
            <w:r>
              <w:rPr>
                <w:rFonts w:ascii="Calibri" w:hAnsi="Calibri"/>
                <w:b/>
                <w:color w:val="FFFFFF"/>
                <w:sz w:val="19"/>
              </w:rPr>
              <w:t>Engineering Guidance</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Spark MLlib RF vs. Scikit-Learn</w:t>
            </w:r>
          </w:p>
        </w:tc>
        <w:tc>
          <w:tcPr>
            <w:tcW w:type="dxa" w:w="2304"/>
            <w:shd w:fill="FFFFFF"/>
            <w:tcMar>
              <w:top w:w="100" w:type="dxa"/>
              <w:bottom w:w="100" w:type="dxa"/>
              <w:left w:w="140" w:type="dxa"/>
              <w:right w:w="140" w:type="dxa"/>
            </w:tcMar>
            <w:vAlign w:val="center"/>
          </w:tcPr>
          <w:p>
            <w:pPr>
              <w:jc w:val="left"/>
            </w:pPr>
            <w:r>
              <w:rPr>
                <w:rFonts w:ascii="Calibri" w:hAnsi="Calibri"/>
                <w:sz w:val="18"/>
              </w:rPr>
              <w:t>-10% drop in Macro-F1 when using Spark MLlib.</w:t>
            </w:r>
          </w:p>
        </w:tc>
        <w:tc>
          <w:tcPr>
            <w:tcW w:type="dxa" w:w="2592"/>
            <w:shd w:fill="FFFFFF"/>
            <w:tcMar>
              <w:top w:w="100" w:type="dxa"/>
              <w:bottom w:w="100" w:type="dxa"/>
              <w:left w:w="140" w:type="dxa"/>
              <w:right w:w="140" w:type="dxa"/>
            </w:tcMar>
            <w:vAlign w:val="center"/>
          </w:tcPr>
          <w:p>
            <w:pPr>
              <w:jc w:val="left"/>
            </w:pPr>
            <w:r>
              <w:rPr>
                <w:rFonts w:ascii="Calibri" w:hAnsi="Calibri"/>
                <w:sz w:val="18"/>
              </w:rPr>
              <w:t>Spark MLlib caps tree depth at 30, preventing deep decision paths needed for fine detector patterns.</w:t>
            </w:r>
          </w:p>
        </w:tc>
        <w:tc>
          <w:tcPr>
            <w:tcW w:type="dxa" w:w="2448"/>
            <w:shd w:fill="FFFFFF"/>
            <w:tcMar>
              <w:top w:w="100" w:type="dxa"/>
              <w:bottom w:w="100" w:type="dxa"/>
              <w:left w:w="140" w:type="dxa"/>
              <w:right w:w="140" w:type="dxa"/>
            </w:tcMar>
            <w:vAlign w:val="center"/>
          </w:tcPr>
          <w:p>
            <w:pPr>
              <w:jc w:val="left"/>
            </w:pPr>
            <w:r>
              <w:rPr>
                <w:rFonts w:ascii="Calibri" w:hAnsi="Calibri"/>
                <w:sz w:val="18"/>
              </w:rPr>
              <w:t>Always downsample/PCA in Spark, then export to Pandas for Scikit-Learn model fitting.</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Triage Error Attribution</w:t>
            </w:r>
          </w:p>
        </w:tc>
        <w:tc>
          <w:tcPr>
            <w:tcW w:type="dxa" w:w="2304"/>
            <w:shd w:fill="F2F4F7"/>
            <w:tcMar>
              <w:top w:w="100" w:type="dxa"/>
              <w:bottom w:w="100" w:type="dxa"/>
              <w:left w:w="140" w:type="dxa"/>
              <w:right w:w="140" w:type="dxa"/>
            </w:tcMar>
            <w:vAlign w:val="center"/>
          </w:tcPr>
          <w:p>
            <w:pPr>
              <w:jc w:val="left"/>
            </w:pPr>
            <w:r>
              <w:rPr>
                <w:rFonts w:ascii="Calibri" w:hAnsi="Calibri"/>
                <w:sz w:val="18"/>
              </w:rPr>
              <w:t>81.1% of misclassifications are BP &lt;-&gt; FP/TP. Only 2.4% are TP -&gt; FP/BP.</w:t>
            </w:r>
          </w:p>
        </w:tc>
        <w:tc>
          <w:tcPr>
            <w:tcW w:type="dxa" w:w="2592"/>
            <w:shd w:fill="F2F4F7"/>
            <w:tcMar>
              <w:top w:w="100" w:type="dxa"/>
              <w:bottom w:w="100" w:type="dxa"/>
              <w:left w:w="140" w:type="dxa"/>
              <w:right w:w="140" w:type="dxa"/>
            </w:tcMar>
            <w:vAlign w:val="center"/>
          </w:tcPr>
          <w:p>
            <w:pPr>
              <w:jc w:val="left"/>
            </w:pPr>
            <w:r>
              <w:rPr>
                <w:rFonts w:ascii="Calibri" w:hAnsi="Calibri"/>
                <w:sz w:val="18"/>
              </w:rPr>
              <w:t>Inconsistent human definitions of Benign Positive across different corporate SOC policies.</w:t>
            </w:r>
          </w:p>
        </w:tc>
        <w:tc>
          <w:tcPr>
            <w:tcW w:type="dxa" w:w="2448"/>
            <w:shd w:fill="F2F4F7"/>
            <w:tcMar>
              <w:top w:w="100" w:type="dxa"/>
              <w:bottom w:w="100" w:type="dxa"/>
              <w:left w:w="140" w:type="dxa"/>
              <w:right w:w="140" w:type="dxa"/>
            </w:tcMar>
            <w:vAlign w:val="center"/>
          </w:tcPr>
          <w:p>
            <w:pPr>
              <w:jc w:val="left"/>
            </w:pPr>
            <w:r>
              <w:rPr>
                <w:rFonts w:ascii="Calibri" w:hAnsi="Calibri"/>
                <w:sz w:val="18"/>
              </w:rPr>
              <w:t>Critical malicious misses (false negatives) are extremely rare, validating enterprise safety.</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Dynamic Incident Evolution</w:t>
            </w:r>
          </w:p>
        </w:tc>
        <w:tc>
          <w:tcPr>
            <w:tcW w:type="dxa" w:w="2304"/>
            <w:shd w:fill="FFFFFF"/>
            <w:tcMar>
              <w:top w:w="100" w:type="dxa"/>
              <w:bottom w:w="100" w:type="dxa"/>
              <w:left w:w="140" w:type="dxa"/>
              <w:right w:w="140" w:type="dxa"/>
            </w:tcMar>
            <w:vAlign w:val="center"/>
          </w:tcPr>
          <w:p>
            <w:pPr>
              <w:jc w:val="left"/>
            </w:pPr>
            <w:r>
              <w:rPr>
                <w:rFonts w:ascii="Calibri" w:hAnsi="Calibri"/>
                <w:sz w:val="18"/>
              </w:rPr>
              <w:t>Only 2% of incidents change their triage grade as new alerts arrive.</w:t>
            </w:r>
          </w:p>
        </w:tc>
        <w:tc>
          <w:tcPr>
            <w:tcW w:type="dxa" w:w="2592"/>
            <w:shd w:fill="FFFFFF"/>
            <w:tcMar>
              <w:top w:w="100" w:type="dxa"/>
              <w:bottom w:w="100" w:type="dxa"/>
              <w:left w:w="140" w:type="dxa"/>
              <w:right w:w="140" w:type="dxa"/>
            </w:tcMar>
            <w:vAlign w:val="center"/>
          </w:tcPr>
          <w:p>
            <w:pPr>
              <w:jc w:val="left"/>
            </w:pPr>
            <w:r>
              <w:rPr>
                <w:rFonts w:ascii="Calibri" w:hAnsi="Calibri"/>
                <w:sz w:val="18"/>
              </w:rPr>
              <w:t>Aggregated incident features stabilize rapidly within the first 1 or 2 detector triggers.</w:t>
            </w:r>
          </w:p>
        </w:tc>
        <w:tc>
          <w:tcPr>
            <w:tcW w:type="dxa" w:w="2448"/>
            <w:shd w:fill="FFFFFF"/>
            <w:tcMar>
              <w:top w:w="100" w:type="dxa"/>
              <w:bottom w:w="100" w:type="dxa"/>
              <w:left w:w="140" w:type="dxa"/>
              <w:right w:w="140" w:type="dxa"/>
            </w:tcMar>
            <w:vAlign w:val="center"/>
          </w:tcPr>
          <w:p>
            <w:pPr>
              <w:jc w:val="left"/>
            </w:pPr>
            <w:r>
              <w:rPr>
                <w:rFonts w:ascii="Calibri" w:hAnsi="Calibri"/>
                <w:sz w:val="18"/>
              </w:rPr>
              <w:t>Recommendations can be reliably generated immediately without waiting for incidents to close.</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Incident Size Long-Tail</w:t>
            </w:r>
          </w:p>
        </w:tc>
        <w:tc>
          <w:tcPr>
            <w:tcW w:type="dxa" w:w="2304"/>
            <w:shd w:fill="F2F4F7"/>
            <w:tcMar>
              <w:top w:w="100" w:type="dxa"/>
              <w:bottom w:w="100" w:type="dxa"/>
              <w:left w:w="140" w:type="dxa"/>
              <w:right w:w="140" w:type="dxa"/>
            </w:tcMar>
            <w:vAlign w:val="center"/>
          </w:tcPr>
          <w:p>
            <w:pPr>
              <w:jc w:val="left"/>
            </w:pPr>
            <w:r>
              <w:rPr>
                <w:rFonts w:ascii="Calibri" w:hAnsi="Calibri"/>
                <w:sz w:val="18"/>
              </w:rPr>
              <w:t>Degraded similarity recommendations for incidents with &gt;1,000 alerts.</w:t>
            </w:r>
          </w:p>
        </w:tc>
        <w:tc>
          <w:tcPr>
            <w:tcW w:type="dxa" w:w="2592"/>
            <w:shd w:fill="F2F4F7"/>
            <w:tcMar>
              <w:top w:w="100" w:type="dxa"/>
              <w:bottom w:w="100" w:type="dxa"/>
              <w:left w:w="140" w:type="dxa"/>
              <w:right w:w="140" w:type="dxa"/>
            </w:tcMar>
            <w:vAlign w:val="center"/>
          </w:tcPr>
          <w:p>
            <w:pPr>
              <w:jc w:val="left"/>
            </w:pPr>
            <w:r>
              <w:rPr>
                <w:rFonts w:ascii="Calibri" w:hAnsi="Calibri"/>
                <w:sz w:val="18"/>
              </w:rPr>
              <w:t>Extreme sparsity and structural rarity in high-dimensional space for massive attack chains.</w:t>
            </w:r>
          </w:p>
        </w:tc>
        <w:tc>
          <w:tcPr>
            <w:tcW w:type="dxa" w:w="2448"/>
            <w:shd w:fill="F2F4F7"/>
            <w:tcMar>
              <w:top w:w="100" w:type="dxa"/>
              <w:bottom w:w="100" w:type="dxa"/>
              <w:left w:w="140" w:type="dxa"/>
              <w:right w:w="140" w:type="dxa"/>
            </w:tcMar>
            <w:vAlign w:val="center"/>
          </w:tcPr>
          <w:p>
            <w:pPr>
              <w:jc w:val="left"/>
            </w:pPr>
            <w:r>
              <w:rPr>
                <w:rFonts w:ascii="Calibri" w:hAnsi="Calibri"/>
                <w:sz w:val="18"/>
              </w:rPr>
              <w:t>Implement specific rule-based clustering fallbacks for mega incidents (&gt;1,000 alerts).</w:t>
            </w:r>
          </w:p>
        </w:tc>
      </w:tr>
    </w:tbl>
    <w:p/>
    <w:p>
      <w:pPr>
        <w:pStyle w:val="Heading1"/>
        <w:keepNext/>
        <w:spacing w:before="280" w:after="80"/>
      </w:pPr>
      <w:r>
        <w:rPr>
          <w:rFonts w:ascii="Calibri" w:hAnsi="Calibri"/>
          <w:b/>
          <w:color w:val="1F4E79"/>
          <w:sz w:val="32"/>
        </w:rPr>
        <w:t>6. Limitations, Failure Modes, &amp; Compute Bottlenecks</w:t>
      </w:r>
    </w:p>
    <w:p>
      <w:r>
        <w:rPr>
          <w:i/>
        </w:rPr>
        <w:t>Plain English Summary: The production system is built for massive cloud clusters and will easily crash local hardware if uncompressed. It is strictly bounded by known detectors and trades raw coverage to enforce 90% precision.</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2016"/>
            <w:shd w:fill="1F4E79"/>
            <w:tcMar>
              <w:top w:w="140" w:type="dxa"/>
              <w:bottom w:w="140" w:type="dxa"/>
              <w:left w:w="160" w:type="dxa"/>
              <w:right w:w="160" w:type="dxa"/>
            </w:tcMar>
            <w:vAlign w:val="center"/>
          </w:tcPr>
          <w:p>
            <w:pPr>
              <w:jc w:val="left"/>
            </w:pPr>
            <w:r>
              <w:rPr>
                <w:rFonts w:ascii="Calibri" w:hAnsi="Calibri"/>
                <w:b/>
                <w:color w:val="FFFFFF"/>
                <w:sz w:val="19"/>
              </w:rPr>
              <w:t>Constraint / Bottleneck</w:t>
            </w:r>
          </w:p>
        </w:tc>
        <w:tc>
          <w:tcPr>
            <w:tcW w:type="dxa" w:w="2016"/>
            <w:shd w:fill="1F4E79"/>
            <w:tcMar>
              <w:top w:w="140" w:type="dxa"/>
              <w:bottom w:w="140" w:type="dxa"/>
              <w:left w:w="160" w:type="dxa"/>
              <w:right w:w="160" w:type="dxa"/>
            </w:tcMar>
            <w:vAlign w:val="center"/>
          </w:tcPr>
          <w:p>
            <w:pPr>
              <w:jc w:val="left"/>
            </w:pPr>
            <w:r>
              <w:rPr>
                <w:rFonts w:ascii="Calibri" w:hAnsi="Calibri"/>
                <w:b/>
                <w:color w:val="FFFFFF"/>
                <w:sz w:val="19"/>
              </w:rPr>
              <w:t>Severity / Paper Limit</w:t>
            </w:r>
          </w:p>
        </w:tc>
        <w:tc>
          <w:tcPr>
            <w:tcW w:type="dxa" w:w="2736"/>
            <w:shd w:fill="1F4E79"/>
            <w:tcMar>
              <w:top w:w="140" w:type="dxa"/>
              <w:bottom w:w="140" w:type="dxa"/>
              <w:left w:w="160" w:type="dxa"/>
              <w:right w:w="160" w:type="dxa"/>
            </w:tcMar>
            <w:vAlign w:val="center"/>
          </w:tcPr>
          <w:p>
            <w:pPr>
              <w:jc w:val="left"/>
            </w:pPr>
            <w:r>
              <w:rPr>
                <w:rFonts w:ascii="Calibri" w:hAnsi="Calibri"/>
                <w:b/>
                <w:color w:val="FFFFFF"/>
                <w:sz w:val="19"/>
              </w:rPr>
              <w:t>Technical Failure Mode</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Engineering Workaround</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Unmonitored / Zero-Day Attacks</w:t>
            </w:r>
          </w:p>
        </w:tc>
        <w:tc>
          <w:tcPr>
            <w:tcW w:type="dxa" w:w="2016"/>
            <w:shd w:fill="FFFFFF"/>
            <w:tcMar>
              <w:top w:w="100" w:type="dxa"/>
              <w:bottom w:w="100" w:type="dxa"/>
              <w:left w:w="140" w:type="dxa"/>
              <w:right w:w="140" w:type="dxa"/>
            </w:tcMar>
            <w:vAlign w:val="center"/>
          </w:tcPr>
          <w:p>
            <w:pPr>
              <w:jc w:val="left"/>
            </w:pPr>
            <w:r>
              <w:rPr>
                <w:rFonts w:ascii="Calibri" w:hAnsi="Calibri"/>
                <w:sz w:val="18"/>
              </w:rPr>
              <w:t>High / Inherent Limitation</w:t>
            </w:r>
          </w:p>
        </w:tc>
        <w:tc>
          <w:tcPr>
            <w:tcW w:type="dxa" w:w="2736"/>
            <w:shd w:fill="FFFFFF"/>
            <w:tcMar>
              <w:top w:w="100" w:type="dxa"/>
              <w:bottom w:w="100" w:type="dxa"/>
              <w:left w:w="140" w:type="dxa"/>
              <w:right w:w="140" w:type="dxa"/>
            </w:tcMar>
            <w:vAlign w:val="center"/>
          </w:tcPr>
          <w:p>
            <w:pPr>
              <w:jc w:val="left"/>
            </w:pPr>
            <w:r>
              <w:rPr>
                <w:rFonts w:ascii="Calibri" w:hAnsi="Calibri"/>
                <w:sz w:val="18"/>
              </w:rPr>
              <w:t>System relies entirely on known DetectorIds; novel attack chains with zero triggers cannot be classified.</w:t>
            </w:r>
          </w:p>
        </w:tc>
        <w:tc>
          <w:tcPr>
            <w:tcW w:type="dxa" w:w="2592"/>
            <w:shd w:fill="FFFFFF"/>
            <w:tcMar>
              <w:top w:w="100" w:type="dxa"/>
              <w:bottom w:w="100" w:type="dxa"/>
              <w:left w:w="140" w:type="dxa"/>
              <w:right w:w="140" w:type="dxa"/>
            </w:tcMar>
            <w:vAlign w:val="center"/>
          </w:tcPr>
          <w:p>
            <w:pPr>
              <w:jc w:val="left"/>
            </w:pPr>
            <w:r>
              <w:rPr>
                <w:rFonts w:ascii="Calibri" w:hAnsi="Calibri"/>
                <w:sz w:val="18"/>
              </w:rPr>
              <w:t>Combine with anomaly-detection heuristics and LLM raw telemetry summarization.</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Precision Gating Coverage Gap</w:t>
            </w:r>
          </w:p>
        </w:tc>
        <w:tc>
          <w:tcPr>
            <w:tcW w:type="dxa" w:w="2016"/>
            <w:shd w:fill="F2F4F7"/>
            <w:tcMar>
              <w:top w:w="100" w:type="dxa"/>
              <w:bottom w:w="100" w:type="dxa"/>
              <w:left w:w="140" w:type="dxa"/>
              <w:right w:w="140" w:type="dxa"/>
            </w:tcMar>
            <w:vAlign w:val="center"/>
          </w:tcPr>
          <w:p>
            <w:pPr>
              <w:jc w:val="left"/>
            </w:pPr>
            <w:r>
              <w:rPr>
                <w:rFonts w:ascii="Calibri" w:hAnsi="Calibri"/>
                <w:sz w:val="18"/>
              </w:rPr>
              <w:t>Moderate (41% Triage, 62% Remediation)</w:t>
            </w:r>
          </w:p>
        </w:tc>
        <w:tc>
          <w:tcPr>
            <w:tcW w:type="dxa" w:w="2736"/>
            <w:shd w:fill="F2F4F7"/>
            <w:tcMar>
              <w:top w:w="100" w:type="dxa"/>
              <w:bottom w:w="100" w:type="dxa"/>
              <w:left w:w="140" w:type="dxa"/>
              <w:right w:w="140" w:type="dxa"/>
            </w:tcMar>
            <w:vAlign w:val="center"/>
          </w:tcPr>
          <w:p>
            <w:pPr>
              <w:jc w:val="left"/>
            </w:pPr>
            <w:r>
              <w:rPr>
                <w:rFonts w:ascii="Calibri" w:hAnsi="Calibri"/>
                <w:sz w:val="18"/>
              </w:rPr>
              <w:t>Enforcing a strict 0.90 precision cutoff drops coverage, requiring manual triage on remaining unconfident incidents.</w:t>
            </w:r>
          </w:p>
        </w:tc>
        <w:tc>
          <w:tcPr>
            <w:tcW w:type="dxa" w:w="2592"/>
            <w:shd w:fill="F2F4F7"/>
            <w:tcMar>
              <w:top w:w="100" w:type="dxa"/>
              <w:bottom w:w="100" w:type="dxa"/>
              <w:left w:w="140" w:type="dxa"/>
              <w:right w:w="140" w:type="dxa"/>
            </w:tcMar>
            <w:vAlign w:val="center"/>
          </w:tcPr>
          <w:p>
            <w:pPr>
              <w:jc w:val="left"/>
            </w:pPr>
            <w:r>
              <w:rPr>
                <w:rFonts w:ascii="Calibri" w:hAnsi="Calibri"/>
                <w:sz w:val="18"/>
              </w:rPr>
              <w:t>Tune precision thresholds per enterprise tenant based on their specific analyst capacity.</w:t>
            </w:r>
          </w:p>
        </w:tc>
      </w:tr>
      <w:tr>
        <w:tc>
          <w:tcPr>
            <w:tcW w:type="dxa" w:w="2016"/>
            <w:shd w:fill="FFFFFF"/>
            <w:tcMar>
              <w:top w:w="100" w:type="dxa"/>
              <w:bottom w:w="100" w:type="dxa"/>
              <w:left w:w="140" w:type="dxa"/>
              <w:right w:w="140" w:type="dxa"/>
            </w:tcMar>
            <w:vAlign w:val="center"/>
          </w:tcPr>
          <w:p>
            <w:pPr>
              <w:jc w:val="left"/>
            </w:pPr>
            <w:r>
              <w:rPr>
                <w:rFonts w:ascii="Calibri" w:hAnsi="Calibri"/>
                <w:sz w:val="18"/>
              </w:rPr>
              <w:t>Categorical Feature Explosion</w:t>
            </w:r>
          </w:p>
        </w:tc>
        <w:tc>
          <w:tcPr>
            <w:tcW w:type="dxa" w:w="2016"/>
            <w:shd w:fill="FFFFFF"/>
            <w:tcMar>
              <w:top w:w="100" w:type="dxa"/>
              <w:bottom w:w="100" w:type="dxa"/>
              <w:left w:w="140" w:type="dxa"/>
              <w:right w:w="140" w:type="dxa"/>
            </w:tcMar>
            <w:vAlign w:val="center"/>
          </w:tcPr>
          <w:p>
            <w:pPr>
              <w:jc w:val="left"/>
            </w:pPr>
            <w:r>
              <w:rPr>
                <w:rFonts w:ascii="Calibri" w:hAnsi="Calibri"/>
                <w:sz w:val="18"/>
              </w:rPr>
              <w:t>Critical (Local Hardware Blocker)</w:t>
            </w:r>
          </w:p>
        </w:tc>
        <w:tc>
          <w:tcPr>
            <w:tcW w:type="dxa" w:w="2736"/>
            <w:shd w:fill="FFFFFF"/>
            <w:tcMar>
              <w:top w:w="100" w:type="dxa"/>
              <w:bottom w:w="100" w:type="dxa"/>
              <w:left w:w="140" w:type="dxa"/>
              <w:right w:w="140" w:type="dxa"/>
            </w:tcMar>
            <w:vAlign w:val="center"/>
          </w:tcPr>
          <w:p>
            <w:pPr>
              <w:jc w:val="left"/>
            </w:pPr>
            <w:r>
              <w:rPr>
                <w:rFonts w:ascii="Calibri" w:hAnsi="Calibri"/>
                <w:sz w:val="18"/>
              </w:rPr>
              <w:t>Directly one-hot-encoding 100k detectors produces millions of columns, causing local RAM crashes.</w:t>
            </w:r>
          </w:p>
        </w:tc>
        <w:tc>
          <w:tcPr>
            <w:tcW w:type="dxa" w:w="2592"/>
            <w:shd w:fill="FFFFFF"/>
            <w:tcMar>
              <w:top w:w="100" w:type="dxa"/>
              <w:bottom w:w="100" w:type="dxa"/>
              <w:left w:w="140" w:type="dxa"/>
              <w:right w:w="140" w:type="dxa"/>
            </w:tcMar>
            <w:vAlign w:val="center"/>
          </w:tcPr>
          <w:p>
            <w:pPr>
              <w:jc w:val="left"/>
            </w:pPr>
            <w:r>
              <w:rPr>
                <w:rFonts w:ascii="Calibri" w:hAnsi="Calibri"/>
                <w:sz w:val="18"/>
              </w:rPr>
              <w:t>Strictly enforce minimum frequency filters (count &gt;= 10) and utilize sparse CSR matrices.</w:t>
            </w:r>
          </w:p>
        </w:tc>
      </w:tr>
      <w:tr>
        <w:tc>
          <w:tcPr>
            <w:tcW w:type="dxa" w:w="2016"/>
            <w:shd w:fill="F2F4F7"/>
            <w:tcMar>
              <w:top w:w="100" w:type="dxa"/>
              <w:bottom w:w="100" w:type="dxa"/>
              <w:left w:w="140" w:type="dxa"/>
              <w:right w:w="140" w:type="dxa"/>
            </w:tcMar>
            <w:vAlign w:val="center"/>
          </w:tcPr>
          <w:p>
            <w:pPr>
              <w:jc w:val="left"/>
            </w:pPr>
            <w:r>
              <w:rPr>
                <w:rFonts w:ascii="Calibri" w:hAnsi="Calibri"/>
                <w:sz w:val="18"/>
              </w:rPr>
              <w:t>Multi-Tenant Isolation</w:t>
            </w:r>
          </w:p>
        </w:tc>
        <w:tc>
          <w:tcPr>
            <w:tcW w:type="dxa" w:w="2016"/>
            <w:shd w:fill="F2F4F7"/>
            <w:tcMar>
              <w:top w:w="100" w:type="dxa"/>
              <w:bottom w:w="100" w:type="dxa"/>
              <w:left w:w="140" w:type="dxa"/>
              <w:right w:w="140" w:type="dxa"/>
            </w:tcMar>
            <w:vAlign w:val="center"/>
          </w:tcPr>
          <w:p>
            <w:pPr>
              <w:jc w:val="left"/>
            </w:pPr>
            <w:r>
              <w:rPr>
                <w:rFonts w:ascii="Calibri" w:hAnsi="Calibri"/>
                <w:sz w:val="18"/>
              </w:rPr>
              <w:t>Regulatory Requirement</w:t>
            </w:r>
          </w:p>
        </w:tc>
        <w:tc>
          <w:tcPr>
            <w:tcW w:type="dxa" w:w="2736"/>
            <w:shd w:fill="F2F4F7"/>
            <w:tcMar>
              <w:top w:w="100" w:type="dxa"/>
              <w:bottom w:w="100" w:type="dxa"/>
              <w:left w:w="140" w:type="dxa"/>
              <w:right w:w="140" w:type="dxa"/>
            </w:tcMar>
            <w:vAlign w:val="center"/>
          </w:tcPr>
          <w:p>
            <w:pPr>
              <w:jc w:val="left"/>
            </w:pPr>
            <w:r>
              <w:rPr>
                <w:rFonts w:ascii="Calibri" w:hAnsi="Calibri"/>
                <w:sz w:val="18"/>
              </w:rPr>
              <w:t>Vector embeddings cannot be searched globally across corporate boundaries due to compliance laws.</w:t>
            </w:r>
          </w:p>
        </w:tc>
        <w:tc>
          <w:tcPr>
            <w:tcW w:type="dxa" w:w="2592"/>
            <w:shd w:fill="F2F4F7"/>
            <w:tcMar>
              <w:top w:w="100" w:type="dxa"/>
              <w:bottom w:w="100" w:type="dxa"/>
              <w:left w:w="140" w:type="dxa"/>
              <w:right w:w="140" w:type="dxa"/>
            </w:tcMar>
            <w:vAlign w:val="center"/>
          </w:tcPr>
          <w:p>
            <w:pPr>
              <w:jc w:val="left"/>
            </w:pPr>
            <w:r>
              <w:rPr>
                <w:rFonts w:ascii="Calibri" w:hAnsi="Calibri"/>
                <w:sz w:val="18"/>
              </w:rPr>
              <w:t>Partition historical embedding lookups strictly by OrgId inside the vector retrieval stage.</w:t>
            </w:r>
          </w:p>
        </w:tc>
      </w:tr>
    </w:tbl>
    <w:p/>
    <w:p>
      <w:pPr>
        <w:pStyle w:val="Heading1"/>
        <w:keepNext/>
        <w:spacing w:before="280" w:after="80"/>
      </w:pPr>
      <w:r>
        <w:rPr>
          <w:rFonts w:ascii="Calibri" w:hAnsi="Calibri"/>
          <w:b/>
          <w:color w:val="1F4E79"/>
          <w:sz w:val="32"/>
        </w:rPr>
        <w:t>7. Practical Developer Implementation Roadmap</w:t>
      </w:r>
    </w:p>
    <w:p>
      <w:r>
        <w:rPr>
          <w:i/>
        </w:rPr>
        <w:t>Plain English Summary: You do not need a 60-node cluster to build an MVP. Leverage pre-built Scikit-Learn models and sparse SVD locally, while writing the data cleaners, hashers, and threshold gating logic from scratch.</w:t>
      </w:r>
    </w:p>
    <w:tbl>
      <w:tblPr>
        <w:tblW w:type="auto" w:w="0"/>
        <w:jc w:val="center"/>
        <w:tblLook w:firstColumn="1" w:firstRow="1" w:lastColumn="0" w:lastRow="0" w:noHBand="0" w:noVBand="1" w:val="04A0"/>
        <w:tblBorders>
          <w:top w:val="single" w:sz="4" w:space="0" w:color="D3D3D3"/>
          <w:left w:val="none"/>
          <w:bottom w:val="single" w:sz="6" w:space="0" w:color="1F4E79"/>
          <w:right w:val="none"/>
          <w:insideH w:val="single" w:sz="4" w:space="0" w:color="D3D3D3"/>
          <w:insideV w:val="none"/>
        </w:tblBorders>
      </w:tblPr>
      <w:tblGrid>
        <w:gridCol w:w="2340"/>
        <w:gridCol w:w="2340"/>
        <w:gridCol w:w="2340"/>
        <w:gridCol w:w="2340"/>
      </w:tblGrid>
      <w:tr>
        <w:trPr>
          <w:tblHeader/>
        </w:trPr>
        <w:tc>
          <w:tcPr>
            <w:tcW w:type="dxa" w:w="1872"/>
            <w:shd w:fill="1F4E79"/>
            <w:tcMar>
              <w:top w:w="140" w:type="dxa"/>
              <w:bottom w:w="140" w:type="dxa"/>
              <w:left w:w="160" w:type="dxa"/>
              <w:right w:w="160" w:type="dxa"/>
            </w:tcMar>
            <w:vAlign w:val="center"/>
          </w:tcPr>
          <w:p>
            <w:pPr>
              <w:jc w:val="left"/>
            </w:pPr>
            <w:r>
              <w:rPr>
                <w:rFonts w:ascii="Calibri" w:hAnsi="Calibri"/>
                <w:b/>
                <w:color w:val="FFFFFF"/>
                <w:sz w:val="19"/>
              </w:rPr>
              <w:t>System Component</w:t>
            </w:r>
          </w:p>
        </w:tc>
        <w:tc>
          <w:tcPr>
            <w:tcW w:type="dxa" w:w="2016"/>
            <w:shd w:fill="1F4E79"/>
            <w:tcMar>
              <w:top w:w="140" w:type="dxa"/>
              <w:bottom w:w="140" w:type="dxa"/>
              <w:left w:w="160" w:type="dxa"/>
              <w:right w:w="160" w:type="dxa"/>
            </w:tcMar>
            <w:vAlign w:val="center"/>
          </w:tcPr>
          <w:p>
            <w:pPr>
              <w:jc w:val="left"/>
            </w:pPr>
            <w:r>
              <w:rPr>
                <w:rFonts w:ascii="Calibri" w:hAnsi="Calibri"/>
                <w:b/>
                <w:color w:val="FFFFFF"/>
                <w:sz w:val="19"/>
              </w:rPr>
              <w:t>Build vs. Import Strategy</w:t>
            </w:r>
          </w:p>
        </w:tc>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Recommended Python Libraries</w:t>
            </w:r>
          </w:p>
        </w:tc>
        <w:tc>
          <w:tcPr>
            <w:tcW w:type="dxa" w:w="2880"/>
            <w:shd w:fill="1F4E79"/>
            <w:tcMar>
              <w:top w:w="140" w:type="dxa"/>
              <w:bottom w:w="140" w:type="dxa"/>
              <w:left w:w="160" w:type="dxa"/>
              <w:right w:w="160" w:type="dxa"/>
            </w:tcMar>
            <w:vAlign w:val="center"/>
          </w:tcPr>
          <w:p>
            <w:pPr>
              <w:jc w:val="left"/>
            </w:pPr>
            <w:r>
              <w:rPr>
                <w:rFonts w:ascii="Calibri" w:hAnsi="Calibri"/>
                <w:b/>
                <w:color w:val="FFFFFF"/>
                <w:sz w:val="19"/>
              </w:rPr>
              <w:t>Local Hardware Reproduction Guide</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Frequency Filter &amp; Cleaner</w:t>
            </w:r>
          </w:p>
        </w:tc>
        <w:tc>
          <w:tcPr>
            <w:tcW w:type="dxa" w:w="2016"/>
            <w:shd w:fill="FFFFFF"/>
            <w:tcMar>
              <w:top w:w="100" w:type="dxa"/>
              <w:bottom w:w="100" w:type="dxa"/>
              <w:left w:w="140" w:type="dxa"/>
              <w:right w:w="140" w:type="dxa"/>
            </w:tcMar>
            <w:vAlign w:val="center"/>
          </w:tcPr>
          <w:p>
            <w:pPr>
              <w:jc w:val="left"/>
            </w:pPr>
            <w:r>
              <w:rPr>
                <w:rFonts w:ascii="Calibri" w:hAnsi="Calibri"/>
                <w:sz w:val="18"/>
              </w:rPr>
              <w:t>Build from scratch</w:t>
            </w:r>
          </w:p>
        </w:tc>
        <w:tc>
          <w:tcPr>
            <w:tcW w:type="dxa" w:w="2592"/>
            <w:shd w:fill="FFFFFF"/>
            <w:tcMar>
              <w:top w:w="100" w:type="dxa"/>
              <w:bottom w:w="100" w:type="dxa"/>
              <w:left w:w="140" w:type="dxa"/>
              <w:right w:w="140" w:type="dxa"/>
            </w:tcMar>
            <w:vAlign w:val="center"/>
          </w:tcPr>
          <w:p>
            <w:pPr>
              <w:jc w:val="left"/>
            </w:pPr>
            <w:r>
              <w:rPr>
                <w:rFonts w:ascii="Calibri" w:hAnsi="Calibri"/>
                <w:sz w:val="18"/>
              </w:rPr>
              <w:t>Pandas / Polars</w:t>
            </w:r>
          </w:p>
        </w:tc>
        <w:tc>
          <w:tcPr>
            <w:tcW w:type="dxa" w:w="2880"/>
            <w:shd w:fill="FFFFFF"/>
            <w:tcMar>
              <w:top w:w="100" w:type="dxa"/>
              <w:bottom w:w="100" w:type="dxa"/>
              <w:left w:w="140" w:type="dxa"/>
              <w:right w:w="140" w:type="dxa"/>
            </w:tcMar>
            <w:vAlign w:val="center"/>
          </w:tcPr>
          <w:p>
            <w:pPr>
              <w:jc w:val="left"/>
            </w:pPr>
            <w:r>
              <w:rPr>
                <w:rFonts w:ascii="Calibri" w:hAnsi="Calibri"/>
                <w:sz w:val="18"/>
              </w:rPr>
              <w:t>Write a simple dictionary frequency counter; replace items with count &lt; 10 with 'Other'.</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IncidentHash Engine</w:t>
            </w:r>
          </w:p>
        </w:tc>
        <w:tc>
          <w:tcPr>
            <w:tcW w:type="dxa" w:w="2016"/>
            <w:shd w:fill="F2F4F7"/>
            <w:tcMar>
              <w:top w:w="100" w:type="dxa"/>
              <w:bottom w:w="100" w:type="dxa"/>
              <w:left w:w="140" w:type="dxa"/>
              <w:right w:w="140" w:type="dxa"/>
            </w:tcMar>
            <w:vAlign w:val="center"/>
          </w:tcPr>
          <w:p>
            <w:pPr>
              <w:jc w:val="left"/>
            </w:pPr>
            <w:r>
              <w:rPr>
                <w:rFonts w:ascii="Calibri" w:hAnsi="Calibri"/>
                <w:sz w:val="18"/>
              </w:rPr>
              <w:t>Build from scratch</w:t>
            </w:r>
          </w:p>
        </w:tc>
        <w:tc>
          <w:tcPr>
            <w:tcW w:type="dxa" w:w="2592"/>
            <w:shd w:fill="F2F4F7"/>
            <w:tcMar>
              <w:top w:w="100" w:type="dxa"/>
              <w:bottom w:w="100" w:type="dxa"/>
              <w:left w:w="140" w:type="dxa"/>
              <w:right w:w="140" w:type="dxa"/>
            </w:tcMar>
            <w:vAlign w:val="center"/>
          </w:tcPr>
          <w:p>
            <w:pPr>
              <w:jc w:val="left"/>
            </w:pPr>
            <w:r>
              <w:rPr>
                <w:rFonts w:ascii="Calibri" w:hAnsi="Calibri"/>
                <w:sz w:val="18"/>
              </w:rPr>
              <w:t>Python hashlib (SHA-1)</w:t>
            </w:r>
          </w:p>
        </w:tc>
        <w:tc>
          <w:tcPr>
            <w:tcW w:type="dxa" w:w="2880"/>
            <w:shd w:fill="F2F4F7"/>
            <w:tcMar>
              <w:top w:w="100" w:type="dxa"/>
              <w:bottom w:w="100" w:type="dxa"/>
              <w:left w:w="140" w:type="dxa"/>
              <w:right w:w="140" w:type="dxa"/>
            </w:tcMar>
            <w:vAlign w:val="center"/>
          </w:tcPr>
          <w:p>
            <w:pPr>
              <w:jc w:val="left"/>
            </w:pPr>
            <w:r>
              <w:rPr>
                <w:rFonts w:ascii="Calibri" w:hAnsi="Calibri"/>
                <w:sz w:val="18"/>
              </w:rPr>
              <w:t>Extract detector lists, sort alphabetically, join with hyphens, and generate sha1().hexdigest().</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One-Hot Encoding &amp; SVD/PCA</w:t>
            </w:r>
          </w:p>
        </w:tc>
        <w:tc>
          <w:tcPr>
            <w:tcW w:type="dxa" w:w="2016"/>
            <w:shd w:fill="FFFFFF"/>
            <w:tcMar>
              <w:top w:w="100" w:type="dxa"/>
              <w:bottom w:w="100" w:type="dxa"/>
              <w:left w:w="140" w:type="dxa"/>
              <w:right w:w="140" w:type="dxa"/>
            </w:tcMar>
            <w:vAlign w:val="center"/>
          </w:tcPr>
          <w:p>
            <w:pPr>
              <w:jc w:val="left"/>
            </w:pPr>
            <w:r>
              <w:rPr>
                <w:rFonts w:ascii="Calibri" w:hAnsi="Calibri"/>
                <w:sz w:val="18"/>
              </w:rPr>
              <w:t>Import off-the-shelf</w:t>
            </w:r>
          </w:p>
        </w:tc>
        <w:tc>
          <w:tcPr>
            <w:tcW w:type="dxa" w:w="2592"/>
            <w:shd w:fill="FFFFFF"/>
            <w:tcMar>
              <w:top w:w="100" w:type="dxa"/>
              <w:bottom w:w="100" w:type="dxa"/>
              <w:left w:w="140" w:type="dxa"/>
              <w:right w:w="140" w:type="dxa"/>
            </w:tcMar>
            <w:vAlign w:val="center"/>
          </w:tcPr>
          <w:p>
            <w:pPr>
              <w:jc w:val="left"/>
            </w:pPr>
            <w:r>
              <w:rPr>
                <w:rFonts w:ascii="Calibri" w:hAnsi="Calibri"/>
                <w:sz w:val="18"/>
              </w:rPr>
              <w:t>sklearn.preprocessing / sklearn.decomposition</w:t>
            </w:r>
          </w:p>
        </w:tc>
        <w:tc>
          <w:tcPr>
            <w:tcW w:type="dxa" w:w="2880"/>
            <w:shd w:fill="FFFFFF"/>
            <w:tcMar>
              <w:top w:w="100" w:type="dxa"/>
              <w:bottom w:w="100" w:type="dxa"/>
              <w:left w:w="140" w:type="dxa"/>
              <w:right w:w="140" w:type="dxa"/>
            </w:tcMar>
            <w:vAlign w:val="center"/>
          </w:tcPr>
          <w:p>
            <w:pPr>
              <w:jc w:val="left"/>
            </w:pPr>
            <w:r>
              <w:rPr>
                <w:rFonts w:ascii="Calibri" w:hAnsi="Calibri"/>
                <w:sz w:val="18"/>
              </w:rPr>
              <w:t>Use OneHotEncoder(sparse_output=True). Replace dense PCA with TruncatedSVD(n_components=40) to avoid memory blowup.</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Random Forest Classifiers</w:t>
            </w:r>
          </w:p>
        </w:tc>
        <w:tc>
          <w:tcPr>
            <w:tcW w:type="dxa" w:w="2016"/>
            <w:shd w:fill="F2F4F7"/>
            <w:tcMar>
              <w:top w:w="100" w:type="dxa"/>
              <w:bottom w:w="100" w:type="dxa"/>
              <w:left w:w="140" w:type="dxa"/>
              <w:right w:w="140" w:type="dxa"/>
            </w:tcMar>
            <w:vAlign w:val="center"/>
          </w:tcPr>
          <w:p>
            <w:pPr>
              <w:jc w:val="left"/>
            </w:pPr>
            <w:r>
              <w:rPr>
                <w:rFonts w:ascii="Calibri" w:hAnsi="Calibri"/>
                <w:sz w:val="18"/>
              </w:rPr>
              <w:t>Import off-the-shelf</w:t>
            </w:r>
          </w:p>
        </w:tc>
        <w:tc>
          <w:tcPr>
            <w:tcW w:type="dxa" w:w="2592"/>
            <w:shd w:fill="F2F4F7"/>
            <w:tcMar>
              <w:top w:w="100" w:type="dxa"/>
              <w:bottom w:w="100" w:type="dxa"/>
              <w:left w:w="140" w:type="dxa"/>
              <w:right w:w="140" w:type="dxa"/>
            </w:tcMar>
            <w:vAlign w:val="center"/>
          </w:tcPr>
          <w:p>
            <w:pPr>
              <w:jc w:val="left"/>
            </w:pPr>
            <w:r>
              <w:rPr>
                <w:rFonts w:ascii="Calibri" w:hAnsi="Calibri"/>
                <w:sz w:val="18"/>
              </w:rPr>
              <w:t>sklearn.ensemble.RandomForestClassifier</w:t>
            </w:r>
          </w:p>
        </w:tc>
        <w:tc>
          <w:tcPr>
            <w:tcW w:type="dxa" w:w="2880"/>
            <w:shd w:fill="F2F4F7"/>
            <w:tcMar>
              <w:top w:w="100" w:type="dxa"/>
              <w:bottom w:w="100" w:type="dxa"/>
              <w:left w:w="140" w:type="dxa"/>
              <w:right w:w="140" w:type="dxa"/>
            </w:tcMar>
            <w:vAlign w:val="center"/>
          </w:tcPr>
          <w:p>
            <w:pPr>
              <w:jc w:val="left"/>
            </w:pPr>
            <w:r>
              <w:rPr>
                <w:rFonts w:ascii="Calibri" w:hAnsi="Calibri"/>
                <w:sz w:val="18"/>
              </w:rPr>
              <w:t>Fit on Pandas with n_jobs=-1. Set class_weight='balanced' and max_depth=50 for optimal depth.</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Two-Tier Retrieval Engine</w:t>
            </w:r>
          </w:p>
        </w:tc>
        <w:tc>
          <w:tcPr>
            <w:tcW w:type="dxa" w:w="2016"/>
            <w:shd w:fill="FFFFFF"/>
            <w:tcMar>
              <w:top w:w="100" w:type="dxa"/>
              <w:bottom w:w="100" w:type="dxa"/>
              <w:left w:w="140" w:type="dxa"/>
              <w:right w:w="140" w:type="dxa"/>
            </w:tcMar>
            <w:vAlign w:val="center"/>
          </w:tcPr>
          <w:p>
            <w:pPr>
              <w:jc w:val="left"/>
            </w:pPr>
            <w:r>
              <w:rPr>
                <w:rFonts w:ascii="Calibri" w:hAnsi="Calibri"/>
                <w:sz w:val="18"/>
              </w:rPr>
              <w:t>Build from scratch</w:t>
            </w:r>
          </w:p>
        </w:tc>
        <w:tc>
          <w:tcPr>
            <w:tcW w:type="dxa" w:w="2592"/>
            <w:shd w:fill="FFFFFF"/>
            <w:tcMar>
              <w:top w:w="100" w:type="dxa"/>
              <w:bottom w:w="100" w:type="dxa"/>
              <w:left w:w="140" w:type="dxa"/>
              <w:right w:w="140" w:type="dxa"/>
            </w:tcMar>
            <w:vAlign w:val="center"/>
          </w:tcPr>
          <w:p>
            <w:pPr>
              <w:jc w:val="left"/>
            </w:pPr>
            <w:r>
              <w:rPr>
                <w:rFonts w:ascii="Calibri" w:hAnsi="Calibri"/>
                <w:sz w:val="18"/>
              </w:rPr>
              <w:t>Python dict + sklearn.metrics.pairwise</w:t>
            </w:r>
          </w:p>
        </w:tc>
        <w:tc>
          <w:tcPr>
            <w:tcW w:type="dxa" w:w="2880"/>
            <w:shd w:fill="FFFFFF"/>
            <w:tcMar>
              <w:top w:w="100" w:type="dxa"/>
              <w:bottom w:w="100" w:type="dxa"/>
              <w:left w:w="140" w:type="dxa"/>
              <w:right w:w="140" w:type="dxa"/>
            </w:tcMar>
            <w:vAlign w:val="center"/>
          </w:tcPr>
          <w:p>
            <w:pPr>
              <w:jc w:val="left"/>
            </w:pPr>
            <w:r>
              <w:rPr>
                <w:rFonts w:ascii="Calibri" w:hAnsi="Calibri"/>
                <w:sz w:val="18"/>
              </w:rPr>
              <w:t>Index past incidents in a hash map. If hash miss occurs, calculate cosine_similarity on SVD vectors.</w:t>
            </w:r>
          </w:p>
        </w:tc>
      </w:tr>
      <w:tr>
        <w:tc>
          <w:tcPr>
            <w:tcW w:type="dxa" w:w="1872"/>
            <w:shd w:fill="F2F4F7"/>
            <w:tcMar>
              <w:top w:w="100" w:type="dxa"/>
              <w:bottom w:w="100" w:type="dxa"/>
              <w:left w:w="140" w:type="dxa"/>
              <w:right w:w="140" w:type="dxa"/>
            </w:tcMar>
            <w:vAlign w:val="center"/>
          </w:tcPr>
          <w:p>
            <w:pPr>
              <w:jc w:val="left"/>
            </w:pPr>
            <w:r>
              <w:rPr>
                <w:rFonts w:ascii="Calibri" w:hAnsi="Calibri"/>
                <w:sz w:val="18"/>
              </w:rPr>
              <w:t>Precision Gating Module</w:t>
            </w:r>
          </w:p>
        </w:tc>
        <w:tc>
          <w:tcPr>
            <w:tcW w:type="dxa" w:w="2016"/>
            <w:shd w:fill="F2F4F7"/>
            <w:tcMar>
              <w:top w:w="100" w:type="dxa"/>
              <w:bottom w:w="100" w:type="dxa"/>
              <w:left w:w="140" w:type="dxa"/>
              <w:right w:w="140" w:type="dxa"/>
            </w:tcMar>
            <w:vAlign w:val="center"/>
          </w:tcPr>
          <w:p>
            <w:pPr>
              <w:jc w:val="left"/>
            </w:pPr>
            <w:r>
              <w:rPr>
                <w:rFonts w:ascii="Calibri" w:hAnsi="Calibri"/>
                <w:sz w:val="18"/>
              </w:rPr>
              <w:t>Build from scratch</w:t>
            </w:r>
          </w:p>
        </w:tc>
        <w:tc>
          <w:tcPr>
            <w:tcW w:type="dxa" w:w="2592"/>
            <w:shd w:fill="F2F4F7"/>
            <w:tcMar>
              <w:top w:w="100" w:type="dxa"/>
              <w:bottom w:w="100" w:type="dxa"/>
              <w:left w:w="140" w:type="dxa"/>
              <w:right w:w="140" w:type="dxa"/>
            </w:tcMar>
            <w:vAlign w:val="center"/>
          </w:tcPr>
          <w:p>
            <w:pPr>
              <w:jc w:val="left"/>
            </w:pPr>
            <w:r>
              <w:rPr>
                <w:rFonts w:ascii="Calibri" w:hAnsi="Calibri"/>
                <w:sz w:val="18"/>
              </w:rPr>
              <w:t>NumPy</w:t>
            </w:r>
          </w:p>
        </w:tc>
        <w:tc>
          <w:tcPr>
            <w:tcW w:type="dxa" w:w="2880"/>
            <w:shd w:fill="F2F4F7"/>
            <w:tcMar>
              <w:top w:w="100" w:type="dxa"/>
              <w:bottom w:w="100" w:type="dxa"/>
              <w:left w:w="140" w:type="dxa"/>
              <w:right w:w="140" w:type="dxa"/>
            </w:tcMar>
            <w:vAlign w:val="center"/>
          </w:tcPr>
          <w:p>
            <w:pPr>
              <w:jc w:val="left"/>
            </w:pPr>
            <w:r>
              <w:rPr>
                <w:rFonts w:ascii="Calibri" w:hAnsi="Calibri"/>
                <w:sz w:val="18"/>
              </w:rPr>
              <w:t>Calibrate prediction probabilities; only return recommendations where np.max(predict_proba) &gt;= 0.90.</w:t>
            </w:r>
          </w:p>
        </w:tc>
      </w:tr>
      <w:tr>
        <w:tc>
          <w:tcPr>
            <w:tcW w:type="dxa" w:w="1872"/>
            <w:shd w:fill="FFFFFF"/>
            <w:tcMar>
              <w:top w:w="100" w:type="dxa"/>
              <w:bottom w:w="100" w:type="dxa"/>
              <w:left w:w="140" w:type="dxa"/>
              <w:right w:w="140" w:type="dxa"/>
            </w:tcMar>
            <w:vAlign w:val="center"/>
          </w:tcPr>
          <w:p>
            <w:pPr>
              <w:jc w:val="left"/>
            </w:pPr>
            <w:r>
              <w:rPr>
                <w:rFonts w:ascii="Calibri" w:hAnsi="Calibri"/>
                <w:sz w:val="18"/>
              </w:rPr>
              <w:t>Entity Action Mapper</w:t>
            </w:r>
          </w:p>
        </w:tc>
        <w:tc>
          <w:tcPr>
            <w:tcW w:type="dxa" w:w="2016"/>
            <w:shd w:fill="FFFFFF"/>
            <w:tcMar>
              <w:top w:w="100" w:type="dxa"/>
              <w:bottom w:w="100" w:type="dxa"/>
              <w:left w:w="140" w:type="dxa"/>
              <w:right w:w="140" w:type="dxa"/>
            </w:tcMar>
            <w:vAlign w:val="center"/>
          </w:tcPr>
          <w:p>
            <w:pPr>
              <w:jc w:val="left"/>
            </w:pPr>
            <w:r>
              <w:rPr>
                <w:rFonts w:ascii="Calibri" w:hAnsi="Calibri"/>
                <w:sz w:val="18"/>
              </w:rPr>
              <w:t>Build from scratch</w:t>
            </w:r>
          </w:p>
        </w:tc>
        <w:tc>
          <w:tcPr>
            <w:tcW w:type="dxa" w:w="2592"/>
            <w:shd w:fill="FFFFFF"/>
            <w:tcMar>
              <w:top w:w="100" w:type="dxa"/>
              <w:bottom w:w="100" w:type="dxa"/>
              <w:left w:w="140" w:type="dxa"/>
              <w:right w:w="140" w:type="dxa"/>
            </w:tcMar>
            <w:vAlign w:val="center"/>
          </w:tcPr>
          <w:p>
            <w:pPr>
              <w:jc w:val="left"/>
            </w:pPr>
            <w:r>
              <w:rPr>
                <w:rFonts w:ascii="Calibri" w:hAnsi="Calibri"/>
                <w:sz w:val="18"/>
              </w:rPr>
              <w:t>Python core logic</w:t>
            </w:r>
          </w:p>
        </w:tc>
        <w:tc>
          <w:tcPr>
            <w:tcW w:type="dxa" w:w="2880"/>
            <w:shd w:fill="FFFFFF"/>
            <w:tcMar>
              <w:top w:w="100" w:type="dxa"/>
              <w:bottom w:w="100" w:type="dxa"/>
              <w:left w:w="140" w:type="dxa"/>
              <w:right w:w="140" w:type="dxa"/>
            </w:tcMar>
            <w:vAlign w:val="center"/>
          </w:tcPr>
          <w:p>
            <w:pPr>
              <w:jc w:val="left"/>
            </w:pPr>
            <w:r>
              <w:rPr>
                <w:rFonts w:ascii="Calibri" w:hAnsi="Calibri"/>
                <w:sz w:val="18"/>
              </w:rPr>
              <w:t>Write basic rule dictionary mapping Contain Account to AccountUpn and Isolate Device to DeviceId.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