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olor w:val="1E3A5F"/>
          <w:sz w:val="56"/>
          <w:szCs w:val="56"/>
        </w:rPr>
        <w:t xml:space="preserve">ElderShield</w:t>
      </w:r>
    </w:p>
    <w:p>
      <w:pPr>
        <w:spacing w:before="0" w:after="400"/>
        <w:jc w:val="center"/>
      </w:pPr>
      <w:r>
        <w:rPr>
          <w:rFonts w:ascii="Arial" w:cs="Arial" w:eastAsia="Arial" w:hAnsi="Arial"/>
          <w:color w:val="0D6E6E"/>
          <w:sz w:val="32"/>
          <w:szCs w:val="32"/>
        </w:rPr>
        <w:t xml:space="preserve">Ethics &amp; Critical Thinking in System Design</w:t>
      </w:r>
    </w:p>
    <w:p>
      <w:pPr>
        <w:pBdr>
          <w:bottom w:val="single" w:color="0D6E6E" w:sz="6" w:space="1"/>
        </w:pBdr>
        <w:spacing w:before="0" w:after="400"/>
        <w:jc w:val="center"/>
      </w:pPr>
    </w:p>
    <w:p>
      <w:pPr>
        <w:spacing w:before="400" w:after="0"/>
      </w:pPr>
    </w:p>
    <w:p>
      <w:pPr>
        <w:spacing w:before="0" w:after="160"/>
        <w:jc w:val="center"/>
      </w:pPr>
      <w:r>
        <w:rPr>
          <w:rFonts w:ascii="Arial" w:cs="Arial" w:eastAsia="Arial" w:hAnsi="Arial"/>
          <w:color w:val="555555"/>
          <w:sz w:val="24"/>
          <w:szCs w:val="24"/>
        </w:rPr>
        <w:t xml:space="preserve">IS 6465  ·  Team ElderShield</w:t>
      </w:r>
    </w:p>
    <w:p>
      <w:pPr>
        <w:spacing w:before="0" w:after="160"/>
        <w:jc w:val="center"/>
      </w:pPr>
      <w:r>
        <w:rPr>
          <w:rFonts w:ascii="Arial" w:cs="Arial" w:eastAsia="Arial" w:hAnsi="Arial"/>
          <w:color w:val="777777"/>
          <w:sz w:val="22"/>
          <w:szCs w:val="22"/>
        </w:rPr>
        <w:t xml:space="preserve">Sunny Nguyen  ·  Joe Milner  ·  Cameron Hubbard</w:t>
      </w:r>
    </w:p>
    <w:p>
      <w:pPr>
        <w:pageBreakBefore/>
      </w:pPr>
    </w:p>
    <w:p>
      <w:pPr>
        <w:pStyle w:val="Heading1"/>
        <w:spacing w:before="360" w:after="160"/>
      </w:pPr>
      <w:r>
        <w:rPr>
          <w:rFonts w:ascii="Arial" w:cs="Arial" w:eastAsia="Arial" w:hAnsi="Arial"/>
          <w:b/>
          <w:bCs/>
          <w:color w:val="1E3A5F"/>
          <w:sz w:val="28"/>
          <w:szCs w:val="28"/>
        </w:rPr>
        <w:t xml:space="preserve">Overview</w:t>
      </w:r>
    </w:p>
    <w:p>
      <w:pPr>
        <w:spacing w:before="60" w:after="120"/>
      </w:pPr>
      <w:r>
        <w:rPr>
          <w:rFonts w:ascii="Arial" w:cs="Arial" w:eastAsia="Arial" w:hAnsi="Arial"/>
          <w:color w:val="333333"/>
          <w:sz w:val="22"/>
          <w:szCs w:val="22"/>
        </w:rPr>
        <w:t xml:space="preserve">ElderShield was designed from the ground up as an ethically-driven system. Every major design decision — from AI architecture to access controls to pricing — was evaluated not just for technical feasibility but for its impact on a uniquely vulnerable user population: elderly adults who are disproportionately targeted by fraud. This document traces how ethical reasoning and critical thinking shaped the system at each layer of development.</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1. Protecting a Vulnerable Population</w:t>
      </w:r>
    </w:p>
    <w:p>
      <w:pPr>
        <w:spacing w:before="60" w:after="120"/>
      </w:pPr>
      <w:r>
        <w:rPr>
          <w:rFonts w:ascii="Arial" w:cs="Arial" w:eastAsia="Arial" w:hAnsi="Arial"/>
          <w:color w:val="333333"/>
          <w:sz w:val="22"/>
          <w:szCs w:val="22"/>
        </w:rPr>
        <w:t xml:space="preserve">The FBI estimates that elder fraud costs Americans over $10 billion annually, with seniors losing more per incident than any other age group. The core ethical obligation underpinning ElderShield is that the people most harmed by scams should have the easiest, most frictionless access to protection tools — at no cost.</w:t>
      </w:r>
    </w:p>
    <w:p>
      <w:pPr>
        <w:spacing w:before="120" w:after="0"/>
      </w:pPr>
    </w:p>
    <w:p>
      <w:pPr>
        <w:pStyle w:val="Heading2"/>
        <w:spacing w:before="280" w:after="120"/>
      </w:pPr>
      <w:r>
        <w:rPr>
          <w:rFonts w:ascii="Arial" w:cs="Arial" w:eastAsia="Arial" w:hAnsi="Arial"/>
          <w:b/>
          <w:bCs/>
          <w:color w:val="0D6E6E"/>
          <w:sz w:val="24"/>
          <w:szCs w:val="24"/>
        </w:rPr>
        <w:t xml:space="preserve">1.1  Elders Are Always Free — Hardcoded, Not a Policy</w:t>
      </w:r>
    </w:p>
    <w:p>
      <w:pPr>
        <w:spacing w:before="60" w:after="120"/>
      </w:pPr>
      <w:r>
        <w:rPr>
          <w:rFonts w:ascii="Arial" w:cs="Arial" w:eastAsia="Arial" w:hAnsi="Arial"/>
          <w:color w:val="333333"/>
          <w:sz w:val="22"/>
          <w:szCs w:val="22"/>
        </w:rPr>
        <w:t xml:space="preserve">A deliberate architectural decision was made to make elder access unconditional. This is not a marketing decision; it is enforced in two places in the codebase: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r>
              <w:rPr>
                <w:rFonts w:ascii="Courier New" w:cs="Courier New" w:eastAsia="Courier New" w:hAnsi="Courier New"/>
                <w:color w:val="A8E6CF"/>
                <w:sz w:val="18"/>
                <w:szCs w:val="18"/>
              </w:rPr>
              <w:t xml:space="preserve">// submit.php — line 13
// Elders are ALWAYS free with no limits — no subscription check needed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r>
              <w:rPr>
                <w:rFonts w:ascii="Courier New" w:cs="Courier New" w:eastAsia="Courier New" w:hAnsi="Courier New"/>
                <w:color w:val="A8E6CF"/>
                <w:sz w:val="18"/>
                <w:szCs w:val="18"/>
              </w:rPr>
              <w:t xml:space="preserve">// subscription_helper.php — line 60
// Elders always free
function canSubmitIncident(int $userId): bool { return true; }</w:t>
            </w:r>
          </w:p>
        </w:tc>
      </w:tr>
    </w:tbl>
    <w:p>
      <w:pPr>
        <w:spacing w:before="80" w:after="0"/>
      </w:pPr>
    </w:p>
    <w:p>
      <w:pPr>
        <w:spacing w:before="60" w:after="120"/>
      </w:pPr>
      <w:r>
        <w:rPr>
          <w:rFonts w:ascii="Arial" w:cs="Arial" w:eastAsia="Arial" w:hAnsi="Arial"/>
          <w:color w:val="333333"/>
          <w:sz w:val="22"/>
          <w:szCs w:val="22"/>
        </w:rPr>
        <w:t xml:space="preserve">This means that even if an administrator misassigns a billing plan or the subscription logic has a bug, an elder user cannot be accidentally locked out of submitting a report. The ethical principle — that access to scam detection should never be a financial barrier for seniors — is enforced at the code level, not just in policy.</w:t>
      </w:r>
    </w:p>
    <w:p>
      <w:pPr>
        <w:spacing w:before="120" w:after="0"/>
      </w:pPr>
    </w:p>
    <w:p>
      <w:pPr>
        <w:pStyle w:val="Heading2"/>
        <w:spacing w:before="280" w:after="120"/>
      </w:pPr>
      <w:r>
        <w:rPr>
          <w:rFonts w:ascii="Arial" w:cs="Arial" w:eastAsia="Arial" w:hAnsi="Arial"/>
          <w:b/>
          <w:bCs/>
          <w:color w:val="0D6E6E"/>
          <w:sz w:val="24"/>
          <w:szCs w:val="24"/>
        </w:rPr>
        <w:t xml:space="preserve">1.2  Accessibility-First Interface Design</w:t>
      </w:r>
    </w:p>
    <w:p>
      <w:pPr>
        <w:spacing w:before="60" w:after="120"/>
      </w:pPr>
      <w:r>
        <w:rPr>
          <w:rFonts w:ascii="Arial" w:cs="Arial" w:eastAsia="Arial" w:hAnsi="Arial"/>
          <w:color w:val="333333"/>
          <w:sz w:val="22"/>
          <w:szCs w:val="22"/>
        </w:rPr>
        <w:t xml:space="preserve">The elder-facing interface was designed around the assumption that users may have limited technical experience. Critical thinking here meant asking: what does a 78-year-old who has never used a smartphone see when they land on this page? Decisions made as a result:</w:t>
      </w:r>
    </w:p>
    <w:p>
      <w:pPr>
        <w:pStyle w:val="ListParagraph"/>
        <w:numPr>
          <w:ilvl w:val="0"/>
          <w:numId w:val="2"/>
        </w:numPr>
        <w:spacing w:before="60" w:after="80"/>
      </w:pPr>
      <w:r>
        <w:rPr>
          <w:rFonts w:ascii="Arial" w:cs="Arial" w:eastAsia="Arial" w:hAnsi="Arial"/>
          <w:color w:val="333333"/>
          <w:sz w:val="22"/>
          <w:szCs w:val="22"/>
        </w:rPr>
        <w:t xml:space="preserve">Large, high-contrast buttons with clear action labels ("🚨 Report a Suspicious Message")</w:t>
      </w:r>
    </w:p>
    <w:p>
      <w:pPr>
        <w:pStyle w:val="ListParagraph"/>
        <w:numPr>
          <w:ilvl w:val="0"/>
          <w:numId w:val="2"/>
        </w:numPr>
        <w:spacing w:before="60" w:after="80"/>
      </w:pPr>
      <w:r>
        <w:rPr>
          <w:rFonts w:ascii="Arial" w:cs="Arial" w:eastAsia="Arial" w:hAnsi="Arial"/>
          <w:color w:val="333333"/>
          <w:sz w:val="22"/>
          <w:szCs w:val="22"/>
        </w:rPr>
        <w:t xml:space="preserve">Plain-language copy throughout — no technical jargon</w:t>
      </w:r>
    </w:p>
    <w:p>
      <w:pPr>
        <w:pStyle w:val="ListParagraph"/>
        <w:numPr>
          <w:ilvl w:val="0"/>
          <w:numId w:val="2"/>
        </w:numPr>
        <w:spacing w:before="60" w:after="80"/>
      </w:pPr>
      <w:r>
        <w:rPr>
          <w:rFonts w:ascii="Arial" w:cs="Arial" w:eastAsia="Arial" w:hAnsi="Arial"/>
          <w:color w:val="333333"/>
          <w:sz w:val="22"/>
          <w:szCs w:val="22"/>
        </w:rPr>
        <w:t xml:space="preserve">A persistent sidebar on the submit page listing common scam warning signs in everyday language</w:t>
      </w:r>
    </w:p>
    <w:p>
      <w:pPr>
        <w:pStyle w:val="ListParagraph"/>
        <w:numPr>
          <w:ilvl w:val="0"/>
          <w:numId w:val="2"/>
        </w:numPr>
        <w:spacing w:before="60" w:after="80"/>
      </w:pPr>
      <w:r>
        <w:rPr>
          <w:rFonts w:ascii="Arial" w:cs="Arial" w:eastAsia="Arial" w:hAnsi="Arial"/>
          <w:color w:val="333333"/>
          <w:sz w:val="22"/>
          <w:szCs w:val="22"/>
        </w:rPr>
        <w:t xml:space="preserve">A privacy notice directly on the submission form: "Your report is private. It will only be seen by you and your caregivers"</w:t>
      </w:r>
    </w:p>
    <w:p>
      <w:pPr>
        <w:pStyle w:val="ListParagraph"/>
        <w:numPr>
          <w:ilvl w:val="0"/>
          <w:numId w:val="2"/>
        </w:numPr>
        <w:spacing w:before="60" w:after="80"/>
      </w:pPr>
      <w:r>
        <w:rPr>
          <w:rFonts w:ascii="Arial" w:cs="Arial" w:eastAsia="Arial" w:hAnsi="Arial"/>
          <w:color w:val="333333"/>
          <w:sz w:val="22"/>
          <w:szCs w:val="22"/>
        </w:rPr>
        <w:t xml:space="preserve">Submission disabled and replaced with a loading state ("⏳ Submitting...") to prevent accidental double-submissions</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2. Responsible AI Design</w:t>
      </w:r>
    </w:p>
    <w:p>
      <w:pPr>
        <w:spacing w:before="60" w:after="120"/>
      </w:pPr>
      <w:r>
        <w:rPr>
          <w:rFonts w:ascii="Arial" w:cs="Arial" w:eastAsia="Arial" w:hAnsi="Arial"/>
          <w:color w:val="333333"/>
          <w:sz w:val="22"/>
          <w:szCs w:val="22"/>
        </w:rPr>
        <w:t xml:space="preserve">The AI component is the most ethically complex part of ElderShield. A scam probability score attached to a real person's experience carries real consequences. If the AI is wrong — in either direction — the harm is tangible: a genuine scam missed, or a legitimate interaction flagged as dangerous and causing unnecessary distress.</w:t>
      </w:r>
    </w:p>
    <w:p>
      <w:pPr>
        <w:spacing w:before="120" w:after="0"/>
      </w:pPr>
    </w:p>
    <w:p>
      <w:pPr>
        <w:pStyle w:val="Heading2"/>
        <w:spacing w:before="280" w:after="120"/>
      </w:pPr>
      <w:r>
        <w:rPr>
          <w:rFonts w:ascii="Arial" w:cs="Arial" w:eastAsia="Arial" w:hAnsi="Arial"/>
          <w:b/>
          <w:bCs/>
          <w:color w:val="0D6E6E"/>
          <w:sz w:val="24"/>
          <w:szCs w:val="24"/>
        </w:rPr>
        <w:t xml:space="preserve">2.1  AI as a Tool, Not an Authority</w:t>
      </w:r>
    </w:p>
    <w:p>
      <w:pPr>
        <w:spacing w:before="60" w:after="120"/>
      </w:pPr>
      <w:r>
        <w:rPr>
          <w:rFonts w:ascii="Arial" w:cs="Arial" w:eastAsia="Arial" w:hAnsi="Arial"/>
          <w:color w:val="333333"/>
          <w:sz w:val="22"/>
          <w:szCs w:val="22"/>
        </w:rPr>
        <w:t xml:space="preserve">The system was deliberately designed so that the AI never acts as the final word. Every analysis result is presented as a probability (0–100%), not a verdict. The UI frames outputs as "what this likely means" rather than "this is a scam." Critically, three human override mechanisms exist:</w:t>
      </w:r>
    </w:p>
    <w:p>
      <w:pPr>
        <w:pStyle w:val="ListParagraph"/>
        <w:numPr>
          <w:ilvl w:val="0"/>
          <w:numId w:val="2"/>
        </w:numPr>
        <w:spacing w:before="60" w:after="80"/>
      </w:pPr>
      <w:r>
        <w:rPr>
          <w:rFonts w:ascii="Arial" w:cs="Arial" w:eastAsia="Arial" w:hAnsi="Arial"/>
          <w:b/>
          <w:bCs/>
          <w:color w:val="1E3A5F"/>
          <w:sz w:val="22"/>
          <w:szCs w:val="22"/>
        </w:rPr>
        <w:t xml:space="preserve">Override: </w:t>
      </w:r>
      <w:r>
        <w:rPr>
          <w:rFonts w:ascii="Arial" w:cs="Arial" w:eastAsia="Arial" w:hAnsi="Arial"/>
          <w:color w:val="333333"/>
          <w:sz w:val="22"/>
          <w:szCs w:val="22"/>
        </w:rPr>
        <w:t xml:space="preserve">Admin manual edit</w:t>
      </w:r>
    </w:p>
    <w:p>
      <w:pPr>
        <w:pStyle w:val="ListParagraph"/>
        <w:numPr>
          <w:ilvl w:val="1"/>
          <w:numId w:val="2"/>
        </w:numPr>
        <w:spacing w:before="40" w:after="60"/>
      </w:pPr>
      <w:r>
        <w:rPr>
          <w:rFonts w:ascii="Arial" w:cs="Arial" w:eastAsia="Arial" w:hAnsi="Arial"/>
          <w:color w:val="555555"/>
          <w:sz w:val="20"/>
          <w:szCs w:val="20"/>
        </w:rPr>
        <w:t xml:space="preserve">Administrators can rewrite any AI field — probability, category, explanation, recommended action — directly from the incident detail page</w:t>
      </w:r>
    </w:p>
    <w:p>
      <w:pPr>
        <w:pStyle w:val="ListParagraph"/>
        <w:numPr>
          <w:ilvl w:val="0"/>
          <w:numId w:val="2"/>
        </w:numPr>
        <w:spacing w:before="60" w:after="80"/>
      </w:pPr>
      <w:r>
        <w:rPr>
          <w:rFonts w:ascii="Arial" w:cs="Arial" w:eastAsia="Arial" w:hAnsi="Arial"/>
          <w:b/>
          <w:bCs/>
          <w:color w:val="1E3A5F"/>
          <w:sz w:val="22"/>
          <w:szCs w:val="22"/>
        </w:rPr>
        <w:t xml:space="preserve">Reprompt: </w:t>
      </w:r>
      <w:r>
        <w:rPr>
          <w:rFonts w:ascii="Arial" w:cs="Arial" w:eastAsia="Arial" w:hAnsi="Arial"/>
          <w:color w:val="333333"/>
          <w:sz w:val="22"/>
          <w:szCs w:val="22"/>
        </w:rPr>
        <w:t xml:space="preserve">Admin AI reprompt</w:t>
      </w:r>
    </w:p>
    <w:p>
      <w:pPr>
        <w:pStyle w:val="ListParagraph"/>
        <w:numPr>
          <w:ilvl w:val="1"/>
          <w:numId w:val="2"/>
        </w:numPr>
        <w:spacing w:before="40" w:after="60"/>
      </w:pPr>
      <w:r>
        <w:rPr>
          <w:rFonts w:ascii="Arial" w:cs="Arial" w:eastAsia="Arial" w:hAnsi="Arial"/>
          <w:color w:val="555555"/>
          <w:sz w:val="20"/>
          <w:szCs w:val="20"/>
        </w:rPr>
        <w:t xml:space="preserve">Admins can discard the current result and trigger a fresh AI run if the initial output seems wrong</w:t>
      </w:r>
    </w:p>
    <w:p>
      <w:pPr>
        <w:pStyle w:val="ListParagraph"/>
        <w:numPr>
          <w:ilvl w:val="0"/>
          <w:numId w:val="2"/>
        </w:numPr>
        <w:spacing w:before="60" w:after="80"/>
      </w:pPr>
      <w:r>
        <w:rPr>
          <w:rFonts w:ascii="Arial" w:cs="Arial" w:eastAsia="Arial" w:hAnsi="Arial"/>
          <w:b/>
          <w:bCs/>
          <w:color w:val="1E3A5F"/>
          <w:sz w:val="22"/>
          <w:szCs w:val="22"/>
        </w:rPr>
        <w:t xml:space="preserve">Clear: </w:t>
      </w:r>
      <w:r>
        <w:rPr>
          <w:rFonts w:ascii="Arial" w:cs="Arial" w:eastAsia="Arial" w:hAnsi="Arial"/>
          <w:color w:val="333333"/>
          <w:sz w:val="22"/>
          <w:szCs w:val="22"/>
        </w:rPr>
        <w:t xml:space="preserve">Admin analysis clear</w:t>
      </w:r>
    </w:p>
    <w:p>
      <w:pPr>
        <w:pStyle w:val="ListParagraph"/>
        <w:numPr>
          <w:ilvl w:val="1"/>
          <w:numId w:val="2"/>
        </w:numPr>
        <w:spacing w:before="40" w:after="60"/>
      </w:pPr>
      <w:r>
        <w:rPr>
          <w:rFonts w:ascii="Arial" w:cs="Arial" w:eastAsia="Arial" w:hAnsi="Arial"/>
          <w:color w:val="555555"/>
          <w:sz w:val="20"/>
          <w:szCs w:val="20"/>
        </w:rPr>
        <w:t xml:space="preserve">Admins can wipe the analysis entirely, returning the incident to a pending state so the elder can revise and resubmit</w:t>
      </w:r>
    </w:p>
    <w:p>
      <w:pPr>
        <w:spacing w:before="60" w:after="120"/>
      </w:pPr>
      <w:r>
        <w:rPr>
          <w:rFonts w:ascii="Arial" w:cs="Arial" w:eastAsia="Arial" w:hAnsi="Arial"/>
          <w:color w:val="333333"/>
          <w:sz w:val="22"/>
          <w:szCs w:val="22"/>
        </w:rPr>
        <w:t xml:space="preserve">This three-layer override model reflects a core ethical principle: AI should support human judgment, not replace it.</w:t>
      </w:r>
    </w:p>
    <w:p>
      <w:pPr>
        <w:spacing w:before="120" w:after="0"/>
      </w:pPr>
    </w:p>
    <w:p>
      <w:pPr>
        <w:pStyle w:val="Heading2"/>
        <w:spacing w:before="280" w:after="120"/>
      </w:pPr>
      <w:r>
        <w:rPr>
          <w:rFonts w:ascii="Arial" w:cs="Arial" w:eastAsia="Arial" w:hAnsi="Arial"/>
          <w:b/>
          <w:bCs/>
          <w:color w:val="0D6E6E"/>
          <w:sz w:val="24"/>
          <w:szCs w:val="24"/>
        </w:rPr>
        <w:t xml:space="preserve">2.2  Low Temperature — Consistency Over Creativity</w:t>
      </w:r>
    </w:p>
    <w:p>
      <w:pPr>
        <w:spacing w:before="60" w:after="120"/>
      </w:pPr>
      <w:r>
        <w:rPr>
          <w:rFonts w:ascii="Arial" w:cs="Arial" w:eastAsia="Arial" w:hAnsi="Arial"/>
          <w:color w:val="333333"/>
          <w:sz w:val="22"/>
          <w:szCs w:val="22"/>
        </w:rPr>
        <w:t xml:space="preserve">The AI model is configured with a temperature of 0.1 — the near-minimum: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r>
              <w:rPr>
                <w:rFonts w:ascii="Courier New" w:cs="Courier New" w:eastAsia="Courier New" w:hAnsi="Courier New"/>
                <w:color w:val="A8E6CF"/>
                <w:sz w:val="18"/>
                <w:szCs w:val="18"/>
              </w:rPr>
              <w:t xml:space="preserve">'options' =&gt; ['temperature' =&gt; 0.1, 'num_ctx' =&gt; 2048]</w:t>
            </w:r>
          </w:p>
        </w:tc>
      </w:tr>
    </w:tbl>
    <w:p>
      <w:pPr>
        <w:spacing w:before="80" w:after="0"/>
      </w:pPr>
    </w:p>
    <w:p>
      <w:pPr>
        <w:spacing w:before="60" w:after="120"/>
      </w:pPr>
      <w:r>
        <w:rPr>
          <w:rFonts w:ascii="Arial" w:cs="Arial" w:eastAsia="Arial" w:hAnsi="Arial"/>
          <w:color w:val="333333"/>
          <w:sz w:val="22"/>
          <w:szCs w:val="22"/>
        </w:rPr>
        <w:t xml:space="preserve">Temperature controls how "creative" or random the AI's outputs are. A high temperature produces varied, unpredictable responses. For a scam detection tool used by vulnerable people, unpredictability is dangerous — similar scams should produce similar risk scores. The choice of 0.1 prioritizes consistency and reliability over novelty.</w:t>
      </w:r>
    </w:p>
    <w:p>
      <w:pPr>
        <w:spacing w:before="120" w:after="0"/>
      </w:pPr>
    </w:p>
    <w:p>
      <w:pPr>
        <w:pStyle w:val="Heading2"/>
        <w:spacing w:before="280" w:after="120"/>
      </w:pPr>
      <w:r>
        <w:rPr>
          <w:rFonts w:ascii="Arial" w:cs="Arial" w:eastAsia="Arial" w:hAnsi="Arial"/>
          <w:b/>
          <w:bCs/>
          <w:color w:val="0D6E6E"/>
          <w:sz w:val="24"/>
          <w:szCs w:val="24"/>
        </w:rPr>
        <w:t xml:space="preserve">2.3  The 'not_a_scam' Category — Acknowledging Legitimate Content</w:t>
      </w:r>
    </w:p>
    <w:p>
      <w:pPr>
        <w:spacing w:before="60" w:after="120"/>
      </w:pPr>
      <w:r>
        <w:rPr>
          <w:rFonts w:ascii="Arial" w:cs="Arial" w:eastAsia="Arial" w:hAnsi="Arial"/>
          <w:color w:val="333333"/>
          <w:sz w:val="22"/>
          <w:szCs w:val="22"/>
        </w:rPr>
        <w:t xml:space="preserve">The AI's output schema includes a dedicated scam category of not_a_scam. This was a deliberate design choice to avoid two failure modes:</w:t>
      </w:r>
    </w:p>
    <w:p>
      <w:pPr>
        <w:pStyle w:val="ListParagraph"/>
        <w:numPr>
          <w:ilvl w:val="0"/>
          <w:numId w:val="2"/>
        </w:numPr>
        <w:spacing w:before="60" w:after="80"/>
      </w:pPr>
      <w:r>
        <w:rPr>
          <w:rFonts w:ascii="Arial" w:cs="Arial" w:eastAsia="Arial" w:hAnsi="Arial"/>
          <w:color w:val="333333"/>
          <w:sz w:val="22"/>
          <w:szCs w:val="22"/>
        </w:rPr>
        <w:t xml:space="preserve">False positives causing unnecessary fear — an elder who receives a real appointment reminder from their doctor shouldn't be told it's dangerous</w:t>
      </w:r>
    </w:p>
    <w:p>
      <w:pPr>
        <w:pStyle w:val="ListParagraph"/>
        <w:numPr>
          <w:ilvl w:val="0"/>
          <w:numId w:val="2"/>
        </w:numPr>
        <w:spacing w:before="60" w:after="80"/>
      </w:pPr>
      <w:r>
        <w:rPr>
          <w:rFonts w:ascii="Arial" w:cs="Arial" w:eastAsia="Arial" w:hAnsi="Arial"/>
          <w:color w:val="333333"/>
          <w:sz w:val="22"/>
          <w:szCs w:val="22"/>
        </w:rPr>
        <w:t xml:space="preserve">Binary thinking — forcing every submission into a scam category when the honest answer is "this looks legitimate"</w:t>
      </w:r>
    </w:p>
    <w:p>
      <w:pPr>
        <w:spacing w:before="60" w:after="120"/>
      </w:pPr>
      <w:r>
        <w:rPr>
          <w:rFonts w:ascii="Arial" w:cs="Arial" w:eastAsia="Arial" w:hAnsi="Arial"/>
          <w:color w:val="333333"/>
          <w:sz w:val="22"/>
          <w:szCs w:val="22"/>
        </w:rPr>
        <w:t xml:space="preserve">The seed data includes examples of not_a_scam incidents with low probability scores (8%, 12%) precisely to demonstrate that the system can reassure as well as warn.</w:t>
      </w:r>
    </w:p>
    <w:p>
      <w:pPr>
        <w:spacing w:before="120" w:after="0"/>
      </w:pPr>
    </w:p>
    <w:p>
      <w:pPr>
        <w:pStyle w:val="Heading2"/>
        <w:spacing w:before="280" w:after="120"/>
      </w:pPr>
      <w:r>
        <w:rPr>
          <w:rFonts w:ascii="Arial" w:cs="Arial" w:eastAsia="Arial" w:hAnsi="Arial"/>
          <w:b/>
          <w:bCs/>
          <w:color w:val="0D6E6E"/>
          <w:sz w:val="24"/>
          <w:szCs w:val="24"/>
        </w:rPr>
        <w:t xml:space="preserve">2.4  Graceful AI Failure — Never Leave a User Without Guidance</w:t>
      </w:r>
    </w:p>
    <w:p>
      <w:pPr>
        <w:spacing w:before="60" w:after="120"/>
      </w:pPr>
      <w:r>
        <w:rPr>
          <w:rFonts w:ascii="Arial" w:cs="Arial" w:eastAsia="Arial" w:hAnsi="Arial"/>
          <w:color w:val="333333"/>
          <w:sz w:val="22"/>
          <w:szCs w:val="22"/>
        </w:rPr>
        <w:t xml:space="preserve">If the AI is unreachable or returns an unreadable response, the system does not crash or show an error to the user. Instead, a defaultAnalysis function returns a safe, human-readable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r>
              <w:rPr>
                <w:rFonts w:ascii="Courier New" w:cs="Courier New" w:eastAsia="Courier New" w:hAnsi="Courier New"/>
                <w:color w:val="A8E6CF"/>
                <w:sz w:val="18"/>
                <w:szCs w:val="18"/>
              </w:rPr>
              <w:t xml:space="preserve">'explanation_simple' =&gt; 'We were unable to analyze this automatically.\n                         A caregiver has been notified.',
'recommended_action' =&gt; 'Please contact your caregiver or a trusted person\n                         about this message.'</w:t>
            </w:r>
          </w:p>
        </w:tc>
      </w:tr>
    </w:tbl>
    <w:p>
      <w:pPr>
        <w:spacing w:before="80" w:after="0"/>
      </w:pPr>
    </w:p>
    <w:p>
      <w:pPr>
        <w:spacing w:before="60" w:after="120"/>
      </w:pPr>
      <w:r>
        <w:rPr>
          <w:rFonts w:ascii="Arial" w:cs="Arial" w:eastAsia="Arial" w:hAnsi="Arial"/>
          <w:color w:val="333333"/>
          <w:sz w:val="22"/>
          <w:szCs w:val="22"/>
        </w:rPr>
        <w:t xml:space="preserve">This ensures that even when the AI fails, the elder receives actionable guidance and their caregiver network is alerted. The ethical principle is that a system failure should never leave a vulnerable user without any support.</w:t>
      </w:r>
    </w:p>
    <w:p>
      <w:pPr>
        <w:spacing w:before="120" w:after="0"/>
      </w:pPr>
    </w:p>
    <w:p>
      <w:pPr>
        <w:pStyle w:val="Heading2"/>
        <w:spacing w:before="280" w:after="120"/>
      </w:pPr>
      <w:r>
        <w:rPr>
          <w:rFonts w:ascii="Arial" w:cs="Arial" w:eastAsia="Arial" w:hAnsi="Arial"/>
          <w:b/>
          <w:bCs/>
          <w:color w:val="0D6E6E"/>
          <w:sz w:val="24"/>
          <w:szCs w:val="24"/>
        </w:rPr>
        <w:t xml:space="preserve">2.5  Offline-First AI — No User Data Sent to Third Parties</w:t>
      </w:r>
    </w:p>
    <w:p>
      <w:pPr>
        <w:spacing w:before="60" w:after="120"/>
      </w:pPr>
      <w:r>
        <w:rPr>
          <w:rFonts w:ascii="Arial" w:cs="Arial" w:eastAsia="Arial" w:hAnsi="Arial"/>
          <w:color w:val="333333"/>
          <w:sz w:val="22"/>
          <w:szCs w:val="22"/>
        </w:rPr>
        <w:t xml:space="preserve">A significant architectural choice was to run AI analysis entirely locally via Ollama, rather than using a cloud API (the original design called for the OpenAI API). This decision was driven by two ethical concerns:</w:t>
      </w:r>
    </w:p>
    <w:p>
      <w:pPr>
        <w:pStyle w:val="ListParagraph"/>
        <w:numPr>
          <w:ilvl w:val="0"/>
          <w:numId w:val="2"/>
        </w:numPr>
        <w:spacing w:before="60" w:after="80"/>
      </w:pPr>
      <w:r>
        <w:rPr>
          <w:rFonts w:ascii="Arial" w:cs="Arial" w:eastAsia="Arial" w:hAnsi="Arial"/>
          <w:color w:val="333333"/>
          <w:sz w:val="22"/>
          <w:szCs w:val="22"/>
        </w:rPr>
        <w:t xml:space="preserve">Privacy: Elderly users submitting suspicious messages may be describing deeply personal situations — financial distress, family manipulation, medical fraud. That content should not leave the local server.</w:t>
      </w:r>
    </w:p>
    <w:p>
      <w:pPr>
        <w:pStyle w:val="ListParagraph"/>
        <w:numPr>
          <w:ilvl w:val="0"/>
          <w:numId w:val="2"/>
        </w:numPr>
        <w:spacing w:before="60" w:after="80"/>
      </w:pPr>
      <w:r>
        <w:rPr>
          <w:rFonts w:ascii="Arial" w:cs="Arial" w:eastAsia="Arial" w:hAnsi="Arial"/>
          <w:color w:val="333333"/>
          <w:sz w:val="22"/>
          <w:szCs w:val="22"/>
        </w:rPr>
        <w:t xml:space="preserve">Dependency: Cloud APIs can change their pricing, terms, or be discontinued. An offline model means the scam detection capability is permanently available regardless of external commercial decisions.</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3. Privacy by Design</w:t>
      </w:r>
    </w:p>
    <w:p>
      <w:pPr>
        <w:spacing w:before="60" w:after="120"/>
      </w:pPr>
      <w:r>
        <w:rPr>
          <w:rFonts w:ascii="Arial" w:cs="Arial" w:eastAsia="Arial" w:hAnsi="Arial"/>
          <w:color w:val="333333"/>
          <w:sz w:val="22"/>
          <w:szCs w:val="22"/>
        </w:rPr>
        <w:t xml:space="preserve">Privacy was treated as a structural requirement, not an afterthought. The question asked throughout development was: who should be able to see this, and who should not?</w:t>
      </w:r>
    </w:p>
    <w:p>
      <w:pPr>
        <w:spacing w:before="120" w:after="0"/>
      </w:pPr>
    </w:p>
    <w:p>
      <w:pPr>
        <w:pStyle w:val="Heading2"/>
        <w:spacing w:before="280" w:after="120"/>
      </w:pPr>
      <w:r>
        <w:rPr>
          <w:rFonts w:ascii="Arial" w:cs="Arial" w:eastAsia="Arial" w:hAnsi="Arial"/>
          <w:b/>
          <w:bCs/>
          <w:color w:val="0D6E6E"/>
          <w:sz w:val="24"/>
          <w:szCs w:val="24"/>
        </w:rPr>
        <w:t xml:space="preserve">3.1  Data Access Is Scoped to Relationships, Not Roles</w:t>
      </w:r>
    </w:p>
    <w:p>
      <w:pPr>
        <w:spacing w:before="60" w:after="120"/>
      </w:pPr>
      <w:r>
        <w:rPr>
          <w:rFonts w:ascii="Arial" w:cs="Arial" w:eastAsia="Arial" w:hAnsi="Arial"/>
          <w:color w:val="333333"/>
          <w:sz w:val="22"/>
          <w:szCs w:val="22"/>
        </w:rPr>
        <w:t xml:space="preserve">Caregivers can only view incidents from elders they are actively linked to. The access check in incident_detail.php queries the database to confirm the relationship exists and is in an "active" state — not simply that the viewer has the caregiver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r>
              <w:rPr>
                <w:rFonts w:ascii="Courier New" w:cs="Courier New" w:eastAsia="Courier New" w:hAnsi="Courier New"/>
                <w:color w:val="A8E6CF"/>
                <w:sz w:val="18"/>
                <w:szCs w:val="18"/>
              </w:rPr>
              <w:t xml:space="preserve">// incident_detail.php — caregiver access check
$check = $db-&gt;prepare(
  'SELECT link_id FROM account_links
   WHERE elder_user_id = ? AND caregiver_user_id = ? AND status = "active"'
);
$check-&gt;execute([$incident['user_id'], $user['user_id']]);
if (!$check-&gt;fetch()) { header('Location: .../dashboard.php'); exit; }</w:t>
            </w:r>
          </w:p>
        </w:tc>
      </w:tr>
    </w:tbl>
    <w:p>
      <w:pPr>
        <w:spacing w:before="80" w:after="0"/>
      </w:pPr>
    </w:p>
    <w:p>
      <w:pPr>
        <w:spacing w:before="60" w:after="120"/>
      </w:pPr>
      <w:r>
        <w:rPr>
          <w:rFonts w:ascii="Arial" w:cs="Arial" w:eastAsia="Arial" w:hAnsi="Arial"/>
          <w:color w:val="333333"/>
          <w:sz w:val="22"/>
          <w:szCs w:val="22"/>
        </w:rPr>
        <w:t xml:space="preserve">This means a caregiver who has had their link revoked immediately loses access to that elder's incident history — the permission is dynamic and relationship-based, not role-based.</w:t>
      </w:r>
    </w:p>
    <w:p>
      <w:pPr>
        <w:spacing w:before="120" w:after="0"/>
      </w:pPr>
    </w:p>
    <w:p>
      <w:pPr>
        <w:pStyle w:val="Heading2"/>
        <w:spacing w:before="280" w:after="120"/>
      </w:pPr>
      <w:r>
        <w:rPr>
          <w:rFonts w:ascii="Arial" w:cs="Arial" w:eastAsia="Arial" w:hAnsi="Arial"/>
          <w:b/>
          <w:bCs/>
          <w:color w:val="0D6E6E"/>
          <w:sz w:val="24"/>
          <w:szCs w:val="24"/>
        </w:rPr>
        <w:t xml:space="preserve">3.2  Link Requests Require Consent</w:t>
      </w:r>
    </w:p>
    <w:p>
      <w:pPr>
        <w:spacing w:before="60" w:after="120"/>
      </w:pPr>
      <w:r>
        <w:rPr>
          <w:rFonts w:ascii="Arial" w:cs="Arial" w:eastAsia="Arial" w:hAnsi="Arial"/>
          <w:color w:val="333333"/>
          <w:sz w:val="22"/>
          <w:szCs w:val="22"/>
        </w:rPr>
        <w:t xml:space="preserve">A caregiver cannot unilaterally add an elder to their monitoring list. Every caregiver–elder relationship starts in a "pending" state and must be approved. Elders can see all their linked caregivers and their relationship status from their profile page. Revoking a link is a hard delete — it does not just hide the relationship, it removes it so the elder can be re-linked cleanly if the situation changes.</w:t>
      </w:r>
    </w:p>
    <w:p>
      <w:pPr>
        <w:spacing w:before="120" w:after="0"/>
      </w:pPr>
    </w:p>
    <w:p>
      <w:pPr>
        <w:pStyle w:val="Heading2"/>
        <w:spacing w:before="280" w:after="120"/>
      </w:pPr>
      <w:r>
        <w:rPr>
          <w:rFonts w:ascii="Arial" w:cs="Arial" w:eastAsia="Arial" w:hAnsi="Arial"/>
          <w:b/>
          <w:bCs/>
          <w:color w:val="0D6E6E"/>
          <w:sz w:val="24"/>
          <w:szCs w:val="24"/>
        </w:rPr>
        <w:t xml:space="preserve">3.3  Notification Transparency</w:t>
      </w:r>
    </w:p>
    <w:p>
      <w:pPr>
        <w:spacing w:before="60" w:after="120"/>
      </w:pPr>
      <w:r>
        <w:rPr>
          <w:rFonts w:ascii="Arial" w:cs="Arial" w:eastAsia="Arial" w:hAnsi="Arial"/>
          <w:color w:val="333333"/>
          <w:sz w:val="22"/>
          <w:szCs w:val="22"/>
        </w:rPr>
        <w:t xml:space="preserve">When the system automatically notifies caregivers of a high-risk report, the notification message is constructed to be informative without being alarmist: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40"/>
              <w:bottom w:type="dxa" w:w="120"/>
              <w:right w:type="dxa" w:w="240"/>
            </w:tcMar>
          </w:tcPr>
          <w:p>
            <w:r>
              <w:rPr>
                <w:rFonts w:ascii="Courier New" w:cs="Courier New" w:eastAsia="Courier New" w:hAnsi="Courier New"/>
                <w:color w:val="A8E6CF"/>
                <w:sz w:val="18"/>
                <w:szCs w:val="18"/>
              </w:rPr>
              <w:t xml:space="preserve">$message = "{\$elderName} submitted a {\$level} RISK report ({\$probability}%).\n            Category: {\$cat}. Please review."</w:t>
            </w:r>
          </w:p>
        </w:tc>
      </w:tr>
    </w:tbl>
    <w:p>
      <w:pPr>
        <w:spacing w:before="80" w:after="0"/>
      </w:pPr>
    </w:p>
    <w:p>
      <w:pPr>
        <w:spacing w:before="60" w:after="120"/>
      </w:pPr>
      <w:r>
        <w:rPr>
          <w:rFonts w:ascii="Arial" w:cs="Arial" w:eastAsia="Arial" w:hAnsi="Arial"/>
          <w:color w:val="333333"/>
          <w:sz w:val="22"/>
          <w:szCs w:val="22"/>
        </w:rPr>
        <w:t xml:space="preserve">The message identifies the elder by name (so the caregiver knows who needs attention), states the risk level and probability numerically (so the caregiver can calibrate their response), and says "please review" rather than "this is a scam" (maintaining the AI-as-tool framing rather than presenting the AI's output as fact).</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4. Security as an Ethical Obligation</w:t>
      </w:r>
    </w:p>
    <w:p>
      <w:pPr>
        <w:spacing w:before="60" w:after="120"/>
      </w:pPr>
      <w:r>
        <w:rPr>
          <w:rFonts w:ascii="Arial" w:cs="Arial" w:eastAsia="Arial" w:hAnsi="Arial"/>
          <w:color w:val="333333"/>
          <w:sz w:val="22"/>
          <w:szCs w:val="22"/>
        </w:rPr>
        <w:t xml:space="preserve">A platform that handles sensitive personal reports from vulnerable users has a heightened ethical duty to be secure. The following security controls were implemented with this in mind.</w:t>
      </w:r>
    </w:p>
    <w:p>
      <w:pPr>
        <w:spacing w:before="120" w:after="0"/>
      </w:pPr>
    </w:p>
    <w:p>
      <w:pPr>
        <w:pStyle w:val="Heading2"/>
        <w:spacing w:before="280" w:after="120"/>
      </w:pPr>
      <w:r>
        <w:rPr>
          <w:rFonts w:ascii="Arial" w:cs="Arial" w:eastAsia="Arial" w:hAnsi="Arial"/>
          <w:b/>
          <w:bCs/>
          <w:color w:val="0D6E6E"/>
          <w:sz w:val="24"/>
          <w:szCs w:val="24"/>
        </w:rPr>
        <w:t xml:space="preserve">4.1  No SQL Injection — Prepared Statements Everywhere</w:t>
      </w:r>
    </w:p>
    <w:p>
      <w:pPr>
        <w:spacing w:before="60" w:after="120"/>
      </w:pPr>
      <w:r>
        <w:rPr>
          <w:rFonts w:ascii="Arial" w:cs="Arial" w:eastAsia="Arial" w:hAnsi="Arial"/>
          <w:color w:val="333333"/>
          <w:sz w:val="22"/>
          <w:szCs w:val="22"/>
        </w:rPr>
        <w:t xml:space="preserve">Every single database query in the application uses PDO prepared statements. This is an ethical baseline: a system that stores elderly users' personal reports and account data must not be vulnerable to the most common and well-documented web attack.</w:t>
      </w:r>
    </w:p>
    <w:p>
      <w:pPr>
        <w:spacing w:before="120" w:after="0"/>
      </w:pPr>
    </w:p>
    <w:p>
      <w:pPr>
        <w:pStyle w:val="Heading2"/>
        <w:spacing w:before="280" w:after="120"/>
      </w:pPr>
      <w:r>
        <w:rPr>
          <w:rFonts w:ascii="Arial" w:cs="Arial" w:eastAsia="Arial" w:hAnsi="Arial"/>
          <w:b/>
          <w:bCs/>
          <w:color w:val="0D6E6E"/>
          <w:sz w:val="24"/>
          <w:szCs w:val="24"/>
        </w:rPr>
        <w:t xml:space="preserve">4.2  CSRF Protection on Every State-Changing Form</w:t>
      </w:r>
    </w:p>
    <w:p>
      <w:pPr>
        <w:spacing w:before="60" w:after="120"/>
      </w:pPr>
      <w:r>
        <w:rPr>
          <w:rFonts w:ascii="Arial" w:cs="Arial" w:eastAsia="Arial" w:hAnsi="Arial"/>
          <w:color w:val="333333"/>
          <w:sz w:val="22"/>
          <w:szCs w:val="22"/>
        </w:rPr>
        <w:t xml:space="preserve">Cross-Site Request Forgery attacks trick authenticated users into performing actions they didn't intend. For elderly users — who may be less likely to recognize a malicious link — CSRF protection is especially important. Every form in the application includes a cryptographically random token validated server-side before any action is taken.</w:t>
      </w:r>
    </w:p>
    <w:p>
      <w:pPr>
        <w:spacing w:before="120" w:after="0"/>
      </w:pPr>
    </w:p>
    <w:p>
      <w:pPr>
        <w:pStyle w:val="Heading2"/>
        <w:spacing w:before="280" w:after="120"/>
      </w:pPr>
      <w:r>
        <w:rPr>
          <w:rFonts w:ascii="Arial" w:cs="Arial" w:eastAsia="Arial" w:hAnsi="Arial"/>
          <w:b/>
          <w:bCs/>
          <w:color w:val="0D6E6E"/>
          <w:sz w:val="24"/>
          <w:szCs w:val="24"/>
        </w:rPr>
        <w:t xml:space="preserve">4.3  Upload Security — Multiple Layers of Validation</w:t>
      </w:r>
    </w:p>
    <w:p>
      <w:pPr>
        <w:spacing w:before="60" w:after="120"/>
      </w:pPr>
      <w:r>
        <w:rPr>
          <w:rFonts w:ascii="Arial" w:cs="Arial" w:eastAsia="Arial" w:hAnsi="Arial"/>
          <w:color w:val="333333"/>
          <w:sz w:val="22"/>
          <w:szCs w:val="22"/>
        </w:rPr>
        <w:t xml:space="preserve">Screenshot uploads pass through four independent validation checks before being saved:</w:t>
      </w:r>
    </w:p>
    <w:p>
      <w:pPr>
        <w:pStyle w:val="ListParagraph"/>
        <w:numPr>
          <w:ilvl w:val="0"/>
          <w:numId w:val="2"/>
        </w:numPr>
        <w:spacing w:before="60" w:after="80"/>
      </w:pPr>
      <w:r>
        <w:rPr>
          <w:rFonts w:ascii="Arial" w:cs="Arial" w:eastAsia="Arial" w:hAnsi="Arial"/>
          <w:color w:val="333333"/>
          <w:sz w:val="22"/>
          <w:szCs w:val="22"/>
        </w:rPr>
        <w:t xml:space="preserve">MIME type check against an explicit allowlist (JPEG, PNG, GIF, WEBP only)</w:t>
      </w:r>
    </w:p>
    <w:p>
      <w:pPr>
        <w:pStyle w:val="ListParagraph"/>
        <w:numPr>
          <w:ilvl w:val="0"/>
          <w:numId w:val="2"/>
        </w:numPr>
        <w:spacing w:before="60" w:after="80"/>
      </w:pPr>
      <w:r>
        <w:rPr>
          <w:rFonts w:ascii="Arial" w:cs="Arial" w:eastAsia="Arial" w:hAnsi="Arial"/>
          <w:color w:val="333333"/>
          <w:sz w:val="22"/>
          <w:szCs w:val="22"/>
        </w:rPr>
        <w:t xml:space="preserve">File size limit enforcement (configurable, defaults to 10MB)</w:t>
      </w:r>
    </w:p>
    <w:p>
      <w:pPr>
        <w:pStyle w:val="ListParagraph"/>
        <w:numPr>
          <w:ilvl w:val="0"/>
          <w:numId w:val="2"/>
        </w:numPr>
        <w:spacing w:before="60" w:after="80"/>
      </w:pPr>
      <w:r>
        <w:rPr>
          <w:rFonts w:ascii="Arial" w:cs="Arial" w:eastAsia="Arial" w:hAnsi="Arial"/>
          <w:color w:val="333333"/>
          <w:sz w:val="22"/>
          <w:szCs w:val="22"/>
        </w:rPr>
        <w:t xml:space="preserve">PHP getimagesize() call to verify the file is actually a valid image, not a disguised executable</w:t>
      </w:r>
    </w:p>
    <w:p>
      <w:pPr>
        <w:pStyle w:val="ListParagraph"/>
        <w:numPr>
          <w:ilvl w:val="0"/>
          <w:numId w:val="2"/>
        </w:numPr>
        <w:spacing w:before="60" w:after="80"/>
      </w:pPr>
      <w:r>
        <w:rPr>
          <w:rFonts w:ascii="Arial" w:cs="Arial" w:eastAsia="Arial" w:hAnsi="Arial"/>
          <w:color w:val="333333"/>
          <w:sz w:val="22"/>
          <w:szCs w:val="22"/>
        </w:rPr>
        <w:t xml:space="preserve">Extension whitelist cross-check</w:t>
      </w:r>
    </w:p>
    <w:p>
      <w:pPr>
        <w:spacing w:before="60" w:after="120"/>
      </w:pPr>
      <w:r>
        <w:rPr>
          <w:rFonts w:ascii="Arial" w:cs="Arial" w:eastAsia="Arial" w:hAnsi="Arial"/>
          <w:color w:val="333333"/>
          <w:sz w:val="22"/>
          <w:szCs w:val="22"/>
        </w:rPr>
        <w:t xml:space="preserve">Additionally, the uploads/ directory has its own .htaccess that blocks PHP execution — so even if a malicious file somehow passed all four checks, it could not be executed by the web server.</w:t>
      </w:r>
    </w:p>
    <w:p>
      <w:pPr>
        <w:spacing w:before="120" w:after="0"/>
      </w:pPr>
    </w:p>
    <w:p>
      <w:pPr>
        <w:pStyle w:val="Heading2"/>
        <w:spacing w:before="280" w:after="120"/>
      </w:pPr>
      <w:r>
        <w:rPr>
          <w:rFonts w:ascii="Arial" w:cs="Arial" w:eastAsia="Arial" w:hAnsi="Arial"/>
          <w:b/>
          <w:bCs/>
          <w:color w:val="0D6E6E"/>
          <w:sz w:val="24"/>
          <w:szCs w:val="24"/>
        </w:rPr>
        <w:t xml:space="preserve">4.4  Password Policy — Minimum Length Without Excessive Friction</w:t>
      </w:r>
    </w:p>
    <w:p>
      <w:pPr>
        <w:spacing w:before="60" w:after="120"/>
      </w:pPr>
      <w:r>
        <w:rPr>
          <w:rFonts w:ascii="Arial" w:cs="Arial" w:eastAsia="Arial" w:hAnsi="Arial"/>
          <w:color w:val="333333"/>
          <w:sz w:val="22"/>
          <w:szCs w:val="22"/>
        </w:rPr>
        <w:t xml:space="preserve">The minimum password length is 7 characters. This was a deliberate compromise: security best practice suggests longer passwords, but the primary users are elderly adults who may struggle with complex requirements. The ethical reasoning was that a 7-character minimum with bcrypt hashing (cost factor 12) provides strong security while not creating a barrier that causes users to reuse weak passwords or write them down unsafely. The constraint is enforced both in the HTML (minlength attribute) and server-side (PHP validation) so it cannot be bypassed by disabling JavaScript.</w:t>
      </w:r>
    </w:p>
    <w:p>
      <w:pPr>
        <w:spacing w:before="120" w:after="0"/>
      </w:pPr>
    </w:p>
    <w:p>
      <w:pPr>
        <w:pStyle w:val="Heading2"/>
        <w:spacing w:before="280" w:after="120"/>
      </w:pPr>
      <w:r>
        <w:rPr>
          <w:rFonts w:ascii="Arial" w:cs="Arial" w:eastAsia="Arial" w:hAnsi="Arial"/>
          <w:b/>
          <w:bCs/>
          <w:color w:val="0D6E6E"/>
          <w:sz w:val="24"/>
          <w:szCs w:val="24"/>
        </w:rPr>
        <w:t xml:space="preserve">4.5  Session Security</w:t>
      </w:r>
    </w:p>
    <w:p>
      <w:pPr>
        <w:spacing w:before="60" w:after="120"/>
      </w:pPr>
      <w:r>
        <w:rPr>
          <w:rFonts w:ascii="Arial" w:cs="Arial" w:eastAsia="Arial" w:hAnsi="Arial"/>
          <w:color w:val="333333"/>
          <w:sz w:val="22"/>
          <w:szCs w:val="22"/>
        </w:rPr>
        <w:t xml:space="preserve">Session IDs are regenerated on every login to prevent session fixation attacks. Sessions are configured with httponly cookies (preventing JavaScript access) and strict mode (preventing uninitialized session IDs from being accepted). These protections specifically guard against attacks where a malicious party intercepts or predicts a session token.</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5. Fairness and Non-Exploitation in the Business Model</w:t>
      </w:r>
    </w:p>
    <w:p>
      <w:pPr>
        <w:spacing w:before="60" w:after="120"/>
      </w:pPr>
      <w:r>
        <w:rPr>
          <w:rFonts w:ascii="Arial" w:cs="Arial" w:eastAsia="Arial" w:hAnsi="Arial"/>
          <w:color w:val="333333"/>
          <w:sz w:val="22"/>
          <w:szCs w:val="22"/>
        </w:rPr>
        <w:t xml:space="preserve">Many platforms monetize vulnerable users. ElderShield was designed to explicitly reject this pattern.</w:t>
      </w:r>
    </w:p>
    <w:p>
      <w:pPr>
        <w:spacing w:before="120" w:after="0"/>
      </w:pPr>
    </w:p>
    <w:p>
      <w:pPr>
        <w:pStyle w:val="Heading2"/>
        <w:spacing w:before="280" w:after="120"/>
      </w:pPr>
      <w:r>
        <w:rPr>
          <w:rFonts w:ascii="Arial" w:cs="Arial" w:eastAsia="Arial" w:hAnsi="Arial"/>
          <w:b/>
          <w:bCs/>
          <w:color w:val="0D6E6E"/>
          <w:sz w:val="24"/>
          <w:szCs w:val="24"/>
        </w:rPr>
        <w:t xml:space="preserve">5.1  Seniors Pay Nothing — Caregivers Bear the Cost</w:t>
      </w:r>
    </w:p>
    <w:p>
      <w:pPr>
        <w:spacing w:before="60" w:after="120"/>
      </w:pPr>
      <w:r>
        <w:rPr>
          <w:rFonts w:ascii="Arial" w:cs="Arial" w:eastAsia="Arial" w:hAnsi="Arial"/>
          <w:color w:val="333333"/>
          <w:sz w:val="22"/>
          <w:szCs w:val="22"/>
        </w:rPr>
        <w:t xml:space="preserve">The pricing model places the financial burden on caregivers and institutions — those with resources and professional incentives — rather than on the elderly users the platform exists to protect. Elder accounts are unconditionally free. The premium subscription ($9.99/month) is available only to caregivers who need to manage more than two elder accounts.</w:t>
      </w:r>
    </w:p>
    <w:p>
      <w:pPr>
        <w:spacing w:before="120" w:after="0"/>
      </w:pPr>
    </w:p>
    <w:p>
      <w:pPr>
        <w:pStyle w:val="Heading2"/>
        <w:spacing w:before="280" w:after="120"/>
      </w:pPr>
      <w:r>
        <w:rPr>
          <w:rFonts w:ascii="Arial" w:cs="Arial" w:eastAsia="Arial" w:hAnsi="Arial"/>
          <w:b/>
          <w:bCs/>
          <w:color w:val="0D6E6E"/>
          <w:sz w:val="24"/>
          <w:szCs w:val="24"/>
        </w:rPr>
        <w:t xml:space="preserve">5.2  No Advertising, No Data Monetization</w:t>
      </w:r>
    </w:p>
    <w:p>
      <w:pPr>
        <w:spacing w:before="60" w:after="120"/>
      </w:pPr>
      <w:r>
        <w:rPr>
          <w:rFonts w:ascii="Arial" w:cs="Arial" w:eastAsia="Arial" w:hAnsi="Arial"/>
          <w:color w:val="333333"/>
          <w:sz w:val="22"/>
          <w:szCs w:val="22"/>
        </w:rPr>
        <w:t xml:space="preserve">The platform collects no advertising data and has no mechanism for monetizing user reports. The AI runs locally — user data never leaves the server to be processed by a third-party commercial service. The revenue model is a straightforward flat fee for premium caregiver access, not surveillance-based advertising.</w:t>
      </w:r>
    </w:p>
    <w:p>
      <w:pPr>
        <w:spacing w:before="120" w:after="0"/>
      </w:pPr>
    </w:p>
    <w:p>
      <w:pPr>
        <w:pStyle w:val="Heading2"/>
        <w:spacing w:before="280" w:after="120"/>
      </w:pPr>
      <w:r>
        <w:rPr>
          <w:rFonts w:ascii="Arial" w:cs="Arial" w:eastAsia="Arial" w:hAnsi="Arial"/>
          <w:b/>
          <w:bCs/>
          <w:color w:val="0D6E6E"/>
          <w:sz w:val="24"/>
          <w:szCs w:val="24"/>
        </w:rPr>
        <w:t xml:space="preserve">5.3  Transparent Subscription Management</w:t>
      </w:r>
    </w:p>
    <w:p>
      <w:pPr>
        <w:spacing w:before="60" w:after="120"/>
      </w:pPr>
      <w:r>
        <w:rPr>
          <w:rFonts w:ascii="Arial" w:cs="Arial" w:eastAsia="Arial" w:hAnsi="Arial"/>
          <w:color w:val="333333"/>
          <w:sz w:val="22"/>
          <w:szCs w:val="22"/>
        </w:rPr>
        <w:t xml:space="preserve">Caregivers can view their full invoice history, retry failed payments, and cancel at any time. Admins can pause a plan rather than delete it — preserving account history while restricting access. These affordances reflect a principle of user control: people should understand and be able to manage their own financial relationship with the platform.</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6. Critical Thinking in Technical Trade-Off Decisions</w:t>
      </w:r>
    </w:p>
    <w:p>
      <w:pPr>
        <w:spacing w:before="60" w:after="120"/>
      </w:pPr>
      <w:r>
        <w:rPr>
          <w:rFonts w:ascii="Arial" w:cs="Arial" w:eastAsia="Arial" w:hAnsi="Arial"/>
          <w:color w:val="333333"/>
          <w:sz w:val="22"/>
          <w:szCs w:val="22"/>
        </w:rPr>
        <w:t xml:space="preserve">Several specific technical decisions in the project required explicit critical thinking about competing values.</w:t>
      </w:r>
    </w:p>
    <w:p>
      <w:pPr>
        <w:spacing w:before="120" w:after="0"/>
      </w:pPr>
    </w:p>
    <w:p>
      <w:pPr>
        <w:pStyle w:val="Heading2"/>
        <w:spacing w:before="280" w:after="120"/>
      </w:pPr>
      <w:r>
        <w:rPr>
          <w:rFonts w:ascii="Arial" w:cs="Arial" w:eastAsia="Arial" w:hAnsi="Arial"/>
          <w:b/>
          <w:bCs/>
          <w:color w:val="0D6E6E"/>
          <w:sz w:val="24"/>
          <w:szCs w:val="24"/>
        </w:rPr>
        <w:t xml:space="preserve">6.1  Asynchronous AI: Speed vs. Transparency</w:t>
      </w:r>
    </w:p>
    <w:p>
      <w:pPr>
        <w:spacing w:before="60" w:after="120"/>
      </w:pPr>
      <w:r>
        <w:rPr>
          <w:rFonts w:ascii="Arial" w:cs="Arial" w:eastAsia="Arial" w:hAnsi="Arial"/>
          <w:color w:val="333333"/>
          <w:sz w:val="22"/>
          <w:szCs w:val="22"/>
        </w:rPr>
        <w:t xml:space="preserve">AI analysis runs as a background process so the elder's page loads immediately rather than making them wait 10–30 seconds. The trade-off is that the elder briefly sees an "Analysis in progress..." banner instead of instant results. The decision favored user experience (immediate feedback that their report was received) over technical simplicity (a synchronous call would have been easier to implement). The page auto-refreshes every 5 seconds until results are available.</w:t>
      </w:r>
    </w:p>
    <w:p>
      <w:pPr>
        <w:spacing w:before="120" w:after="0"/>
      </w:pPr>
    </w:p>
    <w:p>
      <w:pPr>
        <w:pStyle w:val="Heading2"/>
        <w:spacing w:before="280" w:after="120"/>
      </w:pPr>
      <w:r>
        <w:rPr>
          <w:rFonts w:ascii="Arial" w:cs="Arial" w:eastAsia="Arial" w:hAnsi="Arial"/>
          <w:b/>
          <w:bCs/>
          <w:color w:val="0D6E6E"/>
          <w:sz w:val="24"/>
          <w:szCs w:val="24"/>
        </w:rPr>
        <w:t xml:space="preserve">6.2  Hard Delete of Links: Privacy vs. Audit Trail</w:t>
      </w:r>
    </w:p>
    <w:p>
      <w:pPr>
        <w:spacing w:before="60" w:after="120"/>
      </w:pPr>
      <w:r>
        <w:rPr>
          <w:rFonts w:ascii="Arial" w:cs="Arial" w:eastAsia="Arial" w:hAnsi="Arial"/>
          <w:color w:val="333333"/>
          <w:sz w:val="22"/>
          <w:szCs w:val="22"/>
        </w:rPr>
        <w:t xml:space="preserve">When a caregiver–elder relationship is revoked, it is permanently deleted from the database rather than marked "revoked". The trade-off is that an audit trail of the relationship is lost. The decision favored the elder's right to clean separation — a soft-delete (status = "revoked") would have prevented re-linking due to the unique key constraint, and more importantly would have left a record of a relationship the elder may have revoked for safety reasons. Hard delete respects the elder's control over their own data.</w:t>
      </w:r>
    </w:p>
    <w:p>
      <w:pPr>
        <w:spacing w:before="120" w:after="0"/>
      </w:pPr>
    </w:p>
    <w:p>
      <w:pPr>
        <w:pStyle w:val="Heading2"/>
        <w:spacing w:before="280" w:after="120"/>
      </w:pPr>
      <w:r>
        <w:rPr>
          <w:rFonts w:ascii="Arial" w:cs="Arial" w:eastAsia="Arial" w:hAnsi="Arial"/>
          <w:b/>
          <w:bCs/>
          <w:color w:val="0D6E6E"/>
          <w:sz w:val="24"/>
          <w:szCs w:val="24"/>
        </w:rPr>
        <w:t xml:space="preserve">6.3  Role Escalation Prevention</w:t>
      </w:r>
    </w:p>
    <w:p>
      <w:pPr>
        <w:spacing w:before="60" w:after="120"/>
      </w:pPr>
      <w:r>
        <w:rPr>
          <w:rFonts w:ascii="Arial" w:cs="Arial" w:eastAsia="Arial" w:hAnsi="Arial"/>
          <w:color w:val="333333"/>
          <w:sz w:val="22"/>
          <w:szCs w:val="22"/>
        </w:rPr>
        <w:t xml:space="preserve">The registration form intentionally omits the admin role from the user-facing dropdown. Admin accounts can only be created by existing admins. This is a defense-in-depth decision: even if the CSRF protection or session validation had a vulnerability, a regular user registering through the public form cannot create an admin account.</w:t>
      </w:r>
    </w:p>
    <w:p>
      <w:pPr>
        <w:spacing w:before="120" w:after="0"/>
      </w:pPr>
    </w:p>
    <w:p>
      <w:pPr>
        <w:pStyle w:val="Heading2"/>
        <w:spacing w:before="280" w:after="120"/>
      </w:pPr>
      <w:r>
        <w:rPr>
          <w:rFonts w:ascii="Arial" w:cs="Arial" w:eastAsia="Arial" w:hAnsi="Arial"/>
          <w:b/>
          <w:bCs/>
          <w:color w:val="0D6E6E"/>
          <w:sz w:val="24"/>
          <w:szCs w:val="24"/>
        </w:rPr>
        <w:t xml:space="preserve">6.4  Timezone-Correct Timestamps</w:t>
      </w:r>
    </w:p>
    <w:p>
      <w:pPr>
        <w:spacing w:before="60" w:after="120"/>
      </w:pPr>
      <w:r>
        <w:rPr>
          <w:rFonts w:ascii="Arial" w:cs="Arial" w:eastAsia="Arial" w:hAnsi="Arial"/>
          <w:color w:val="333333"/>
          <w:sz w:val="22"/>
          <w:szCs w:val="22"/>
        </w:rPr>
        <w:t xml:space="preserve">The original codebase displayed all incident timestamps as "6h ago" regardless of when they were submitted — a consequence of PHP defaulting to UTC while MySQL stored times in a different timezone. This was identified as an ethical issue because incorrect timestamps mislead caregivers about the urgency of incidents. A caregiver seeing "6h ago" for an incident submitted 10 minutes ago may not respond appropriately. The fix — setting an explicit APP_TIMEZONE constant applied consistently across both DateTime objects in the comparison — ensures caregivers have accurate temporal context for every report.</w:t>
      </w:r>
    </w:p>
    <w:p>
      <w:pPr>
        <w:spacing w:before="120" w:after="0"/>
      </w:pPr>
    </w:p>
    <w:p>
      <w:pPr>
        <w:pBdr>
          <w:bottom w:val="single" w:color="0D6E6E" w:sz="4" w:space="1"/>
        </w:pBdr>
        <w:spacing w:before="200" w:after="200"/>
      </w:pPr>
    </w:p>
    <w:p>
      <w:pPr>
        <w:pStyle w:val="Heading1"/>
        <w:spacing w:before="360" w:after="160"/>
      </w:pPr>
      <w:r>
        <w:rPr>
          <w:rFonts w:ascii="Arial" w:cs="Arial" w:eastAsia="Arial" w:hAnsi="Arial"/>
          <w:b/>
          <w:bCs/>
          <w:color w:val="1E3A5F"/>
          <w:sz w:val="28"/>
          <w:szCs w:val="28"/>
        </w:rPr>
        <w:t xml:space="preserve">7. Summary</w:t>
      </w:r>
    </w:p>
    <w:p>
      <w:pPr>
        <w:spacing w:before="60" w:after="120"/>
      </w:pPr>
      <w:r>
        <w:rPr>
          <w:rFonts w:ascii="Arial" w:cs="Arial" w:eastAsia="Arial" w:hAnsi="Arial"/>
          <w:color w:val="333333"/>
          <w:sz w:val="22"/>
          <w:szCs w:val="22"/>
        </w:rPr>
        <w:t xml:space="preserve">The table below maps each major ethical principle to the concrete technical decisions that implement it.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Ethical Principle</w:t>
            </w:r>
          </w:p>
        </w:tc>
        <w:tc>
          <w:tcPr>
            <w:tcW w:type="dxa" w:w="6160"/>
            <w:tcBorders>
              <w:top w:val="single" w:color="CCCCCC" w:sz="1"/>
              <w:left w:val="single" w:color="CCCCCC" w:sz="1"/>
              <w:bottom w:val="single" w:color="CCCCCC" w:sz="1"/>
              <w:right w:val="single" w:color="CCCCCC" w:sz="1"/>
            </w:tcBorders>
            <w:shd w:fill="1E3A5F" w:val="clear"/>
            <w:tcMar>
              <w:top w:type="dxa" w:w="120"/>
              <w:left w:type="dxa" w:w="160"/>
              <w:bottom w:type="dxa" w:w="120"/>
              <w:right w:type="dxa" w:w="160"/>
            </w:tcMar>
          </w:tcPr>
          <w:p>
            <w:r>
              <w:rPr>
                <w:rFonts w:ascii="Arial" w:cs="Arial" w:eastAsia="Arial" w:hAnsi="Arial"/>
                <w:b/>
                <w:bCs/>
                <w:color w:val="FFFFFF"/>
                <w:sz w:val="22"/>
                <w:szCs w:val="22"/>
              </w:rPr>
              <w:t xml:space="preserve">How It Is Implemented</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E3A5F"/>
                <w:sz w:val="20"/>
                <w:szCs w:val="20"/>
              </w:rPr>
              <w:t xml:space="preserve">Access equity</w:t>
            </w:r>
          </w:p>
        </w:tc>
        <w:tc>
          <w:tcPr>
            <w:tcW w:type="dxa" w:w="61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color w:val="333333"/>
                <w:sz w:val="20"/>
                <w:szCs w:val="20"/>
              </w:rPr>
              <w:t xml:space="preserve">Elders always free, hardcoded in subscription_helper.php and submit.php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AI accountability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Human override at three levels: edit, reprompt, clear — AI never has final say</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E3A5F"/>
                <w:sz w:val="20"/>
                <w:szCs w:val="20"/>
              </w:rPr>
              <w:t xml:space="preserve">AI reliability</w:t>
            </w:r>
          </w:p>
        </w:tc>
        <w:tc>
          <w:tcPr>
            <w:tcW w:type="dxa" w:w="61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color w:val="333333"/>
                <w:sz w:val="20"/>
                <w:szCs w:val="20"/>
              </w:rPr>
              <w:t xml:space="preserve">temperature: 0.1 for consistency; defaultAnalysis() fallback ensures users always get guidance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User privacy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Offline Ollama — no data sent to third parties; relationship-scoped data access</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E3A5F"/>
                <w:sz w:val="20"/>
                <w:szCs w:val="20"/>
              </w:rPr>
              <w:t xml:space="preserve">Informed consent</w:t>
            </w:r>
          </w:p>
        </w:tc>
        <w:tc>
          <w:tcPr>
            <w:tcW w:type="dxa" w:w="61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color w:val="333333"/>
                <w:sz w:val="20"/>
                <w:szCs w:val="20"/>
              </w:rPr>
              <w:t xml:space="preserve">Caregiver links start as 'pending'; elders must approve all relationships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Data security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PDO prepared statements; CSRF tokens; bcrypt passwords; upload sandboxing</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E3A5F"/>
                <w:sz w:val="20"/>
                <w:szCs w:val="20"/>
              </w:rPr>
              <w:t xml:space="preserve">Accurate information</w:t>
            </w:r>
          </w:p>
        </w:tc>
        <w:tc>
          <w:tcPr>
            <w:tcW w:type="dxa" w:w="61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color w:val="333333"/>
                <w:sz w:val="20"/>
                <w:szCs w:val="20"/>
              </w:rPr>
              <w:t xml:space="preserve">Timezone-corrected timestamps so caregivers see correct incident timing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bCs/>
                <w:color w:val="1E3A5F"/>
                <w:sz w:val="20"/>
                <w:szCs w:val="20"/>
              </w:rPr>
              <w:t xml:space="preserve">Non-exploitation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Flat-fee caregiver pricing; no ads; no data monetization; no elder billing</w:t>
            </w:r>
          </w:p>
        </w:tc>
      </w:tr>
      <w:tr>
        <w:tc>
          <w:tcPr>
            <w:tcW w:type="dxa" w:w="320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b/>
                <w:bCs/>
                <w:color w:val="1E3A5F"/>
                <w:sz w:val="20"/>
                <w:szCs w:val="20"/>
              </w:rPr>
              <w:t xml:space="preserve">User autonomy</w:t>
            </w:r>
          </w:p>
        </w:tc>
        <w:tc>
          <w:tcPr>
            <w:tcW w:type="dxa" w:w="6160"/>
            <w:tcBorders>
              <w:top w:val="single" w:color="CCCCCC" w:sz="1"/>
              <w:left w:val="single" w:color="CCCCCC" w:sz="1"/>
              <w:bottom w:val="single" w:color="CCCCCC" w:sz="1"/>
              <w:right w:val="single" w:color="CCCCCC" w:sz="1"/>
            </w:tcBorders>
            <w:shd w:fill="F2F4F7" w:val="clear"/>
            <w:tcMar>
              <w:top w:type="dxa" w:w="100"/>
              <w:left w:type="dxa" w:w="160"/>
              <w:bottom w:type="dxa" w:w="100"/>
              <w:right w:type="dxa" w:w="160"/>
            </w:tcMar>
          </w:tcPr>
          <w:p>
            <w:r>
              <w:rPr>
                <w:rFonts w:ascii="Arial" w:cs="Arial" w:eastAsia="Arial" w:hAnsi="Arial"/>
                <w:color w:val="333333"/>
                <w:sz w:val="20"/>
                <w:szCs w:val="20"/>
              </w:rPr>
              <w:t xml:space="preserve">Hard-delete on link revocation; invoice transparency; self-service plan management</w:t>
            </w:r>
          </w:p>
        </w:tc>
      </w:tr>
    </w:tbl>
    <w:p>
      <w:pPr>
        <w:spacing w:before="300" w:after="0"/>
      </w:pPr>
    </w:p>
    <w:p>
      <w:pPr>
        <w:spacing w:before="60" w:after="120"/>
      </w:pPr>
      <w:r>
        <w:rPr>
          <w:rFonts w:ascii="Arial" w:cs="Arial" w:eastAsia="Arial" w:hAnsi="Arial"/>
          <w:i/>
          <w:iCs/>
          <w:color w:val="333333"/>
          <w:sz w:val="22"/>
          <w:szCs w:val="22"/>
        </w:rPr>
        <w:t xml:space="preserve">ElderShield demonstrates that ethical considerations are not separate from technical decisions — they are embedded in them. The choice to run AI offline, to hard-delete revoked links, to make elders unconditionally free, to require consent for caregiver relationships: each of these is simultaneously a technical architecture decision and an ethical stance. Good system design for vulnerable populations requires holding both of those things in mind at once.</w:t>
      </w:r>
    </w:p>
    <w:p>
      <w:pPr>
        <w:spacing w:before="120" w:after="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ElderShield  ·  Ethics &amp; Critical Thinking  ·  IS 6465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2026-03-14T21:50:50.392Z</dcterms:created>
  <dcterms:modified xsi:type="dcterms:W3CDTF">2026-03-14T21:50:50.393Z</dcterms:modified>
</cp:coreProperties>
</file>

<file path=docProps/custom.xml><?xml version="1.0" encoding="utf-8"?>
<Properties xmlns="http://schemas.openxmlformats.org/officeDocument/2006/custom-properties" xmlns:vt="http://schemas.openxmlformats.org/officeDocument/2006/docPropsVTypes"/>
</file>