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5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
          <w:iCs/>
        </w:rPr>
        <w:t xml:space="preserve">Artificial Neural Networks</w:t>
      </w:r>
    </w:p>
    <w:p>
      <w:pPr>
        <w:pStyle w:val="BodyText"/>
      </w:pPr>
      <w:r>
        <w:rPr>
          <w:i/>
          <w:iCs/>
        </w:rPr>
        <w:t xml:space="preserve">Coronavirus Disease 2019</w:t>
      </w:r>
    </w:p>
    <w:p>
      <w:pPr>
        <w:pStyle w:val="BodyText"/>
      </w:pPr>
      <w:r>
        <w:t xml:space="preserve">Hipótese de Mercado Eficiente</w:t>
      </w:r>
    </w:p>
    <w:p>
      <w:pPr>
        <w:pStyle w:val="BodyText"/>
      </w:pPr>
      <w:r>
        <w:rPr>
          <w:i/>
          <w:iCs/>
        </w:rPr>
        <w:t xml:space="preserve">Machine Learning</w:t>
      </w:r>
    </w:p>
    <w:p>
      <w:pPr>
        <w:pStyle w:val="BodyText"/>
      </w:pPr>
      <w:r>
        <w:rPr>
          <w:i/>
          <w:iCs/>
        </w:rPr>
        <w:t xml:space="preserve">Média-variância</w:t>
      </w:r>
    </w:p>
    <w:p>
      <w:pPr>
        <w:pStyle w:val="BodyText"/>
      </w:pPr>
      <w:r>
        <w:rPr>
          <w:i/>
          <w:iCs/>
        </w:rPr>
        <w:t xml:space="preserve">Support Vector Machine</w:t>
      </w:r>
    </w:p>
    <w:bookmarkStart w:id="24" w:name="chap_introducao"/>
    <w:p>
      <w:pPr>
        <w:pStyle w:val="Heading1"/>
      </w:pPr>
      <w:r>
        <w:t xml:space="preserve">Introdução</w:t>
      </w:r>
    </w:p>
    <w:bookmarkStart w:id="18" w:name="sec_contextualizacao"/>
    <w:p>
      <w:pPr>
        <w:pStyle w:val="Heading2"/>
      </w:pPr>
      <w:r>
        <w:t xml:space="preserve">Contextualização</w:t>
      </w:r>
    </w:p>
    <w:p>
      <w:pPr>
        <w:pStyle w:val="FirstParagraph"/>
      </w:pPr>
      <w:r>
        <w:t xml:space="preserve">“A administração financeira pode ser vista como uma forma de economia aplicada, que se baseia amplamente em conceitos teóricos econômicos”</w:t>
      </w:r>
      <w:r>
        <w:t xml:space="preserve"> </w:t>
      </w:r>
      <w:r>
        <w:t xml:space="preserve">. Com essa citação, se introduz o presente trabalho abordando a definição da área macro do estudo, a Administração Financeira. Área que se caracteriza por dinamismo, que cada vez mais vem se apropriando de novas tecnologias em busca de maximização de resultados.</w:t>
      </w:r>
    </w:p>
    <w:p>
      <w:pPr>
        <w:pStyle w:val="BodyText"/>
      </w:pPr>
      <w:r>
        <w:t xml:space="preserve">Meio a essa instigante área, um dos assuntos bastante pesquisados são as decisões de investimento., aborda a relevância da alocação de ativos em portfólios, abordando como distribuir os recursos financeiros entre as oportunidades de investimento disponíveis, prática que visa mitigar o risco e máximizar o retorno. Segundo , varios estudos debruçam sobre o impacto das finanças comportamentais em decisões de investimento. Nesse sentido,</w:t>
      </w:r>
      <w:r>
        <w:t xml:space="preserve"> </w:t>
      </w:r>
      <w:r>
        <w:t xml:space="preserve">, complementa sobre a importancia da educação financeira na tomada de decisões de investimento bem informadas, o autor cita que a baixa alfabetização financeira gera tomadas de decisões irracionais e desfavoráveis, com pouca diversificação. Mas, , diz que a possibilidade de prever preços futuros em ativos financeiros a fim de obter ganhos anormais, contraria a teoria financeira dominante, a Hipótese de Mercado Eficiente (HME), mainstream das Finanças Modernas. A HME denota ineficácia na previsão de preços do mercado se utilizando de informações passadas. A afirmativa é justificada pelo pressuposto de movimento browniano da HME, concebido por características randômicas e independentes. Entretanto, pontua que há estudos que defendem que o mercado acionário, na verdade, não se firma como aleatório e as séries financeiras têm memória de longo-prazo. De tal maneira que, caso seja possível identificar os padrões de comportamento do mercado, se tornaria plausível uma abordagem preditiva.</w:t>
      </w:r>
    </w:p>
    <w:p>
      <w:pPr>
        <w:pStyle w:val="BodyText"/>
      </w:pPr>
      <w:r>
        <w:t xml:space="preserve">Sendo assim, diversos estudos demonstraram obter sucesso em previsões de preços de ativos, fazendo a utilização de ferramentas de aprendizado de máquina. Em sua definição clássica, define aprendizado de máquina como o processo pelo qual um programa de computador melhora seu desempenho em determinada classe de tarefas a partir da experiência, considerando uma métrica específica de desempenho.</w:t>
      </w:r>
    </w:p>
    <w:p>
      <w:pPr>
        <w:pStyle w:val="BodyText"/>
      </w:pPr>
      <w:r>
        <w:t xml:space="preserve">, empregou e analisou vários modelos de Aprendizado de máquina para prever e negociar movimentos das 100 maiores criptomoedas concluiu que todos os modelos utilizados fazem previsões estatisticamente viáveis.</w:t>
      </w:r>
    </w:p>
    <w:p>
      <w:pPr>
        <w:pStyle w:val="BodyText"/>
      </w:pPr>
      <w:r>
        <w:t xml:space="preserve">descobriram que, ao combinar a previsão de retornos do Bitcoin com uma estratégia de alavancagem híbrida que utiliza volatilidade e sentimento narrativo, que segundo o texto são informações de sentimento extraídas de fontes textuais formais e públicas, como publicações, notícias e artigos de negócios globais, que influenciam o mercado de criptomoedas, em contraste com dados brutos de mídias sociais ou indicadores técnicos. Todas as estratégias de alavancagem melhoraram significativamente o desempenho da negociação, sendo que a estratégia híbrida superou as demais.</w:t>
      </w:r>
    </w:p>
    <w:p>
      <w:pPr>
        <w:pStyle w:val="BodyText"/>
      </w:pPr>
      <w:r>
        <w:t xml:space="preserve">afirma que a partir da previsão de preços de criptomoedas através da integração de dados de mídias sociais e de mercado, alcançou um ganho médio geral de 194% sem taxas de transação e de 117% considerando as taxas.</w:t>
      </w:r>
    </w:p>
    <w:bookmarkEnd w:id="18"/>
    <w:bookmarkStart w:id="19" w:name="sec_problema_de_pesquisa"/>
    <w:p>
      <w:pPr>
        <w:pStyle w:val="Heading2"/>
      </w:pPr>
      <w:r>
        <w:t xml:space="preserve">Problema de Pesquisa</w:t>
      </w:r>
    </w:p>
    <w:p>
      <w:pPr>
        <w:pStyle w:val="FirstParagraph"/>
      </w:pPr>
      <w:r>
        <w:t xml:space="preserve">Tendo em vista o cenário citado acima, a presente pesquisa busca responder: como integrar previsões de criptoativos baseadas em</w:t>
      </w:r>
      <w:r>
        <w:t xml:space="preserve"> </w:t>
      </w:r>
      <w:r>
        <w:rPr>
          <w:i/>
          <w:iCs/>
        </w:rPr>
        <w:t xml:space="preserve">machine learning</w:t>
      </w:r>
      <w:r>
        <w:t xml:space="preserve"> </w:t>
      </w:r>
      <w:r>
        <w:t xml:space="preserve">ao processo de otimização de portfólio fundamentado no modelo de Markowitz?</w:t>
      </w:r>
    </w:p>
    <w:bookmarkEnd w:id="19"/>
    <w:bookmarkStart w:id="22" w:name="sec_objetivos_de_pesquisa"/>
    <w:p>
      <w:pPr>
        <w:pStyle w:val="Heading2"/>
      </w:pPr>
      <w:r>
        <w:t xml:space="preserve">Objetivos de pesquisa</w:t>
      </w:r>
    </w:p>
    <w:bookmarkStart w:id="20" w:name="subsec_objetivo_geral"/>
    <w:p>
      <w:pPr>
        <w:pStyle w:val="Heading3"/>
      </w:pPr>
      <w:r>
        <w:t xml:space="preserve">Objetivo geral</w:t>
      </w:r>
    </w:p>
    <w:p>
      <w:pPr>
        <w:pStyle w:val="FirstParagraph"/>
      </w:pPr>
      <w:r>
        <w:t xml:space="preserve">Diante de tal pergunta, a pesquisa há de examinar as contribuições do uso de aprendizado de máquina para a gestão de carteiras de criptoativos.</w:t>
      </w:r>
    </w:p>
    <w:bookmarkEnd w:id="20"/>
    <w:bookmarkStart w:id="21" w:name="subsec_objetivos_especificos"/>
    <w:p>
      <w:pPr>
        <w:pStyle w:val="Heading3"/>
      </w:pPr>
      <w:r>
        <w:t xml:space="preserve">Objetivos específicos</w:t>
      </w:r>
    </w:p>
    <w:p>
      <w:pPr>
        <w:pStyle w:val="FirstParagraph"/>
      </w:pPr>
      <w:r>
        <w:t xml:space="preserve">Firmando se a esse objetivo, delinearam-se os seguintes objetivos específicos para viabilizar a acurácia das determinações da pesquisa:</w:t>
      </w:r>
    </w:p>
    <w:p>
      <w:pPr>
        <w:pStyle w:val="BodyText"/>
      </w:pPr>
      <w:r>
        <w:t xml:space="preserve">Analisar os resultados obtidos a partir do modelo de diversificação de portifólio de Markowitz em conjunto com o aprendizado de máquina.</w:t>
      </w:r>
    </w:p>
    <w:p>
      <w:pPr>
        <w:pStyle w:val="BodyText"/>
      </w:pPr>
      <w:r>
        <w:t xml:space="preserve">Comparar estratégias de investimento tradicionais e as com base em modelos de aprendizado de máquina.</w:t>
      </w:r>
    </w:p>
    <w:p>
      <w:pPr>
        <w:pStyle w:val="BodyText"/>
      </w:pPr>
      <w:r>
        <w:t xml:space="preserve">Avaliar se há consistência entre os resultados apresentados em diferentes pesquisas.</w:t>
      </w:r>
    </w:p>
    <w:bookmarkEnd w:id="21"/>
    <w:bookmarkEnd w:id="22"/>
    <w:bookmarkStart w:id="23" w:name="sec_justificativa"/>
    <w:p>
      <w:pPr>
        <w:pStyle w:val="Heading2"/>
      </w:pPr>
      <w:r>
        <w:t xml:space="preserve">Justificativa</w:t>
      </w:r>
    </w:p>
    <w:p>
      <w:pPr>
        <w:pStyle w:val="FirstParagraph"/>
      </w:pPr>
      <w:r>
        <w:t xml:space="preserve">Em um contexto de ascensão do termo</w:t>
      </w:r>
      <w:r>
        <w:t xml:space="preserve"> </w:t>
      </w:r>
      <w:r>
        <w:t xml:space="preserve">“inteligência artificial”</w:t>
      </w:r>
      <w:r>
        <w:t xml:space="preserve">, é difícil saber factualmente o que pode ser promissor na utilização de novas tecnologias computacionais baseadas em interações não lineares. Segundo , são interações não lineares,</w:t>
      </w:r>
    </w:p>
    <w:p>
      <w:pPr>
        <w:pStyle w:val="BodyText"/>
      </w:pPr>
      <w:r>
        <w:t xml:space="preserve">Quando características interagem entre si em um modelo de previsão, a previsão não pode ser expressa como a soma dos efeitos das características, porque o efeito de uma característica depende do valor da outra característica.</w:t>
      </w:r>
    </w:p>
    <w:p>
      <w:pPr>
        <w:pStyle w:val="BodyText"/>
      </w:pPr>
      <w:r>
        <w:t xml:space="preserve">Por isso, a presente pesquisa tem por objetivo analisar as contribuições do uso de aprendizado de máquina para a gestão de carteiras de criptoativos. Tal objetivo se justifica, pois é capaz de servir de base para a criação de ferramentas, para a análise de viabilidade de investimentos e diversificação de carteira. Sendo assim, espera-se contribuir com a tomada de decisão de gestores, tanto bancários quanto de departamentos financeiros:</w:t>
      </w:r>
      <w:r>
        <w:t xml:space="preserve"> </w:t>
      </w:r>
      <w:r>
        <w:t xml:space="preserve">“O</w:t>
      </w:r>
      <w:r>
        <w:t xml:space="preserve"> </w:t>
      </w:r>
      <w:r>
        <w:rPr>
          <w:i/>
          <w:iCs/>
        </w:rPr>
        <w:t xml:space="preserve">Machine Learning</w:t>
      </w:r>
      <w:r>
        <w:t xml:space="preserve"> </w:t>
      </w:r>
      <w:r>
        <w:t xml:space="preserve">financeiro corresponde a um conjunto de procedimentos para estimar um modelo estatístico e utilizar esse modelo para tomar decisões.”</w:t>
      </w:r>
      <w:r>
        <w:t xml:space="preserve"> </w:t>
      </w:r>
      <w:r>
        <w:t xml:space="preserve">.</w:t>
      </w:r>
    </w:p>
    <w:p>
      <w:pPr>
        <w:pStyle w:val="BodyText"/>
      </w:pPr>
      <w:r>
        <w:t xml:space="preserve">A pesquisa aprofunda sobre áreas de utilização de aprendizado de máquina, e coloca em pauta um grande debate da economia, a Hipótese de Mercado eficiente (HME). Tal teoria, pressupõe que os resultados do mercado financeiro não permitem ganhos acima do normal, pois, segundo , na HME os preços dos ativos refletem integralmente toda a informação disponível, teoria que passa por recorrentes contestações. Além disso, trabalhos científicos anteriores, já abordavam a necessidade do aprofundamento da pesquisa em Machine learning e suas utilizações, como em e . Ademais, a pesquisa espera ser benéfica para o contexto social, contribuindo com a criação ferramentas que tragam maior racionalidade e métodos mais robustos para a tomada de decisões no mercado financeiro. De tal maneira, evitando que haja a formação de bolhas, que segundo , ocorrem quando preços de ativos sofrem desvios em relação ao valor fundamental dos ativos. A pesquisa espera também que seus achados tenham contribuição para as ODS, em particular a ODS 9 — Indústria, inovação e infraestrutura, a partir do debate sobre novas tecnologias e seu uso de forma responsável no desenvolvimento de infraestruturas de dados.</w:t>
      </w:r>
    </w:p>
    <w:bookmarkEnd w:id="23"/>
    <w:bookmarkEnd w:id="24"/>
    <w:bookmarkStart w:id="43" w:name="chap_referencial_teorico"/>
    <w:p>
      <w:pPr>
        <w:pStyle w:val="Heading1"/>
      </w:pPr>
      <w:r>
        <w:t xml:space="preserve">Referencial teórico</w:t>
      </w:r>
    </w:p>
    <w:bookmarkStart w:id="25" w:name="X229e28962a9aeb3d2d3bf7e450d4d9d4828fad7"/>
    <w:p>
      <w:pPr>
        <w:pStyle w:val="Heading2"/>
      </w:pPr>
      <w:r>
        <w:t xml:space="preserve">Tomada de decisão no mercado financeiro</w:t>
      </w:r>
    </w:p>
    <w:p>
      <w:pPr>
        <w:pStyle w:val="FirstParagraph"/>
      </w:pPr>
      <w:r>
        <w:t xml:space="preserve">aponta que, especialmente em épocas de incerteza, é fundamental estabelecer uma estratégia para combater fenômenos financeiros adversos, como, por exemplo, desvalorização. Para guiar essa tomada de decisão, os fatores mais comumente analisados pelos indivíduos são o retorno esperado, o risco e a liquidez do investimento. Além do propósito de proteção, ressaltam que os investidores estão dispostos a realizar aportes objetivando obter retornos financeiros. Com acesso a diversos instrumentos, a utilização desses fundos de forma racional, buscando a maximização do retorno aliada à minimização do risco, constitui o objetivo central na alocação de recursos</w:t>
      </w:r>
      <w:r>
        <w:t xml:space="preserve"> </w:t>
      </w:r>
      <w:r>
        <w:t xml:space="preserve">.</w:t>
      </w:r>
    </w:p>
    <w:p>
      <w:pPr>
        <w:pStyle w:val="BodyText"/>
      </w:pPr>
      <w:r>
        <w:t xml:space="preserve">O cenário macroeconômico também é um fator a ser considerado na tomada de decisões no mercado financeiro. Conforme explicam , o aumento das incertezas em relação às políticas econômicas ou conflitos políticos torna os investidores pessimistas no que diz respeito ao ambiente internacional. Como consequência, as pessoas são compelidas a procurar proteção, direcionando seus recursos para ativos que ofereçam segurança, ou então, recursos mais conservadores, a fim de compensar as eventuais perdas geradas em decorrência da instabilidade</w:t>
      </w:r>
      <w:r>
        <w:t xml:space="preserve"> </w:t>
      </w:r>
      <w:r>
        <w:t xml:space="preserve">.</w:t>
      </w:r>
    </w:p>
    <w:p>
      <w:pPr>
        <w:pStyle w:val="BodyText"/>
      </w:pPr>
      <w:r>
        <w:t xml:space="preserve">Apesar de essas motivações buscarem o lucro ou a proteção, as razões pelas quais as pessoas investem esbarram em um debate central sobre a racionalidade e a previsibilidade dos ganhos. A teoria financeira tradicional, fundamentada na Hipótese de Mercado Eficiente (HME), pressupõe que os investidores tomam decisões de forma puramente lógica e que os preços refletem integralmente todas as informações disponíveis, o que impossibilitaria a obtenção de retornos anormais consistentes</w:t>
      </w:r>
      <w:r>
        <w:t xml:space="preserve"> </w:t>
      </w:r>
      <w:r>
        <w:t xml:space="preserve">. A literatura mais recente, contudo, tem contestado essa visão, argumentando que os mercados não operam de forma totalmente aleatória ou eficiente, visto que as decisões de investimento são frequentemente influenciadas por fatores psicológicos, vieses emocionais e limitações cognitivas que podem levar a escolhas irracionais</w:t>
      </w:r>
      <w:r>
        <w:t xml:space="preserve"> </w:t>
      </w:r>
      <w:r>
        <w:t xml:space="preserve">. Desse modo, ao constatar que as séries financeiras possuem memória e padrões de comportamento identificáveis, os indivíduos também investem porque se torna possível delinear modelos de previsibilidade para buscar lucros extraordinários e diversificar portfólios, contrariando as premissas da eficiência de mercado</w:t>
      </w:r>
      <w:r>
        <w:t xml:space="preserve"> </w:t>
      </w:r>
      <w:r>
        <w:t xml:space="preserve">.</w:t>
      </w:r>
    </w:p>
    <w:p>
      <w:pPr>
        <w:pStyle w:val="BodyText"/>
      </w:pPr>
      <w:r>
        <w:t xml:space="preserve">Conforme as teorias financeiras convencionais, o investimento ocorre sob a premissa de que os indivíduos são agentes racionais, capazes de processar e avaliar toda a informação existente no mercado antes de decidir</w:t>
      </w:r>
      <w:r>
        <w:t xml:space="preserve"> </w:t>
      </w:r>
      <w:r>
        <w:t xml:space="preserve">. complementam que, nessa visão tradicional, o processo decisório é centralizado na análise do binômio risco e retorno esperado, o que leva o investidor a selecionar combinações de ativos que garantam a menor variância possível para um lucro desejado ou o maior retorno para um nível de risco aceitável. Essa lógica fundamenta a busca pela eficiência estatística na montagem de portfólios, tratando a alocação de recursos como um problema de otimização matemática para que se alcance o melhor equilíbrio entre as opções disponíveis</w:t>
      </w:r>
      <w:r>
        <w:t xml:space="preserve"> </w:t>
      </w:r>
      <w:r>
        <w:t xml:space="preserve">.</w:t>
      </w:r>
    </w:p>
    <w:p>
      <w:pPr>
        <w:pStyle w:val="BodyText"/>
      </w:pPr>
      <w:r>
        <w:t xml:space="preserve">Entretanto, as finanças comportamentais revelam que os investidores frequentemente se distanciam da racionalidade pura, investindo de forma influenciada por estados psicológicos e emocionais que provocam divergências em relação ao comportamento previsto pela teoria clássica</w:t>
      </w:r>
      <w:r>
        <w:t xml:space="preserve"> </w:t>
      </w:r>
      <w:r>
        <w:t xml:space="preserve">. Conforme argumentam , o comportamento do mercado é afetado por uma gama de fatores subjetivos, incluindo vieses cognitivos, influências sociais e percepções de risco que mudam dinamicamente conforme o contexto. Essa instabilidade na percepção individual e a tendência de seguir o comportamento de grupos podem induzir a escolhas de investimento de baixa qualidade, resultando em desempenhos de carteira inferiores aos modelos puramente lógicos</w:t>
      </w:r>
      <w:r>
        <w:t xml:space="preserve"> </w:t>
      </w:r>
      <w:r>
        <w:t xml:space="preserve">.</w:t>
      </w:r>
    </w:p>
    <w:p>
      <w:pPr>
        <w:pStyle w:val="BodyText"/>
      </w:pPr>
      <w:r>
        <w:t xml:space="preserve">Como resposta à natureza caótica e complexa dos mercados, tem se consolidado uma abordagem de investimento baseada na busca por padrões históricos que possam indicar movimentos futuros de preços</w:t>
      </w:r>
      <w:r>
        <w:t xml:space="preserve"> </w:t>
      </w:r>
      <w:r>
        <w:t xml:space="preserve">. Para , embora o mercado seja extremamente sensível a fatores externos, o reconhecimento de padrões de comportamento nas séries financeiras permite delinear modelos de previsibilidade mais robustos. Assim, os métodos atuais de investimento evoluem para sistemas que utilizam ferramentas de aprendizado de máquina para classificar ativos com maior potencial de ganho, integrando esses sinais tecnológicos a modelos de diversificação clássicos para definir de forma mais precisa a alocação de capital e mitigar os efeitos da irracionalidade humana</w:t>
      </w:r>
      <w:r>
        <w:t xml:space="preserve"> </w:t>
      </w:r>
      <w:r>
        <w:t xml:space="preserve">.</w:t>
      </w:r>
    </w:p>
    <w:p>
      <w:pPr>
        <w:pStyle w:val="BodyText"/>
      </w:pPr>
      <w:r>
        <w:t xml:space="preserve">No contexto da diversificação de carteiras e da busca por retornos ajustados ao risco, a consolidação das criptomoedas representa o surgimento de uma nova classe de ativos financeiros. Esse crescimento acelerado tem atraído a atenção de diferentes perfis de investidores interessados em gerar lucros adicionais e explorar novas oportunidades de composição de portfólio</w:t>
      </w:r>
      <w:r>
        <w:t xml:space="preserve"> </w:t>
      </w:r>
      <w:r>
        <w:t xml:space="preserve">. Do ponto de vista estrutural, ativos como o</w:t>
      </w:r>
      <w:r>
        <w:t xml:space="preserve"> </w:t>
      </w:r>
      <w:r>
        <w:rPr>
          <w:i/>
          <w:iCs/>
        </w:rPr>
        <w:t xml:space="preserve">Bitcoin</w:t>
      </w:r>
      <w:r>
        <w:t xml:space="preserve"> </w:t>
      </w:r>
      <w:r>
        <w:t xml:space="preserve">operam como moedas digitais descentralizadas, funcionando de forma independente das instituições financeiras tradicionais e de autoridades governamentais centralizadas</w:t>
      </w:r>
      <w:r>
        <w:t xml:space="preserve"> </w:t>
      </w:r>
      <w:r>
        <w:t xml:space="preserve">.</w:t>
      </w:r>
    </w:p>
    <w:bookmarkEnd w:id="25"/>
    <w:bookmarkStart w:id="33" w:name="sec_cripto_ativos"/>
    <w:p>
      <w:pPr>
        <w:pStyle w:val="Heading2"/>
      </w:pPr>
      <w:r>
        <w:t xml:space="preserve">Cripto Ativos</w:t>
      </w:r>
    </w:p>
    <w:bookmarkStart w:id="26" w:name="X0b4dda7868ddc9861016d142b2c2fb0261f7416"/>
    <w:p>
      <w:pPr>
        <w:pStyle w:val="Heading3"/>
      </w:pPr>
      <w:r>
        <w:t xml:space="preserve">Conceito, origem e funcionamento dos criptoativos</w:t>
      </w:r>
    </w:p>
    <w:p>
      <w:pPr>
        <w:pStyle w:val="FirstParagraph"/>
      </w:pPr>
      <w:r>
        <w:t xml:space="preserve">As criptomoedas são ativos digitais concebidos para operar como meios de troca descentralizados, utilizando funções criptográficas para assegurar a propriedade, conduzir transações financeiras e controlar a emissão de novas unidades</w:t>
      </w:r>
      <w:r>
        <w:t xml:space="preserve"> </w:t>
      </w:r>
      <w:r>
        <w:t xml:space="preserve">. O</w:t>
      </w:r>
      <w:r>
        <w:t xml:space="preserve"> </w:t>
      </w:r>
      <w:r>
        <w:rPr>
          <w:i/>
          <w:iCs/>
        </w:rPr>
        <w:t xml:space="preserve">Bitcoin</w:t>
      </w:r>
      <w:r>
        <w:t xml:space="preserve"> </w:t>
      </w:r>
      <w:r>
        <w:t xml:space="preserve">consolidou-se como a primeira criptomoeda descentralizada, baseada fundamentalmente na tecnologia</w:t>
      </w:r>
      <w:r>
        <w:t xml:space="preserve"> </w:t>
      </w:r>
      <w:r>
        <w:rPr>
          <w:i/>
          <w:iCs/>
        </w:rPr>
        <w:t xml:space="preserve">blockchain</w:t>
      </w:r>
      <w:r>
        <w:t xml:space="preserve"> </w:t>
      </w:r>
      <w:r>
        <w:t xml:space="preserve">, tendo sido idealizado em 2008 sob o pseudônimo Satoshi Nakamoto, que designa um indivíduo ou grupo anônimo responsável por publicar o documento fundacional do ativo em uma lista de e-mails sobre criptografia</w:t>
      </w:r>
      <w:r>
        <w:t xml:space="preserve"> </w:t>
      </w:r>
      <w:r>
        <w:t xml:space="preserve">. A atua como a tecnologia estrutural do sistema, operando como um livro-razão digital público, no qual as transações entre os usuários são invariavelmente registradas</w:t>
      </w:r>
      <w:r>
        <w:t xml:space="preserve"> </w:t>
      </w:r>
      <w:r>
        <w:t xml:space="preserve">.</w:t>
      </w:r>
    </w:p>
    <w:p>
      <w:pPr>
        <w:pStyle w:val="BodyText"/>
      </w:pPr>
      <w:r>
        <w:t xml:space="preserve">O funcionamento operacional das criptomoedas ocorre por meio de uma arquitetura de pagamentos ponto a ponto (</w:t>
      </w:r>
      <w:r>
        <w:rPr>
          <w:i/>
          <w:iCs/>
        </w:rPr>
        <w:t xml:space="preserve">peer-to-peer</w:t>
      </w:r>
      <w:r>
        <w:t xml:space="preserve">), permitindo que os fluxos financeiros ocorram diretamente entre as partes envolvidas </w:t>
      </w:r>
      <w:r>
        <w:t xml:space="preserve">. A segurança desse ecossistema é garantida de forma estrita pela criptografia, eliminando a dependência de fatores humanos ou relações de confiança </w:t>
      </w:r>
      <w:r>
        <w:t xml:space="preserve">. A inovação intrínseca ao</w:t>
      </w:r>
      <w:r>
        <w:t xml:space="preserve"> </w:t>
      </w:r>
      <w:r>
        <w:rPr>
          <w:i/>
          <w:iCs/>
        </w:rPr>
        <w:t xml:space="preserve">Bitcoin</w:t>
      </w:r>
      <w:r>
        <w:t xml:space="preserve"> </w:t>
      </w:r>
      <w:r>
        <w:t xml:space="preserve">e à</w:t>
      </w:r>
      <w:r>
        <w:t xml:space="preserve"> </w:t>
      </w:r>
      <w:r>
        <w:rPr>
          <w:i/>
          <w:iCs/>
        </w:rPr>
        <w:t xml:space="preserve">blockchain</w:t>
      </w:r>
      <w:r>
        <w:t xml:space="preserve"> </w:t>
      </w:r>
      <w:r>
        <w:t xml:space="preserve">reside na transferência do mecanismo de criação de confiança, eliminando a obrigação de haver um terceiro centralizado, em favor de um corpo de consenso coletivo formado por computadores independentes na rede </w:t>
      </w:r>
      <w:r>
        <w:t xml:space="preserve">. Consequentemente, a característica primordial das criptomoedas é a exclusão da necessidade de instituições financeiras atuando como intermediárias nas operações </w:t>
      </w:r>
      <w:r>
        <w:t xml:space="preserve">. Como resultado, essa estrutura impulsionou as criptomoedas a uma posição de instrumento de investimento global, absorvendo o escrutínio de gestores, reguladores e formuladores de políticas</w:t>
      </w:r>
      <w:r>
        <w:t xml:space="preserve"> </w:t>
      </w:r>
      <w:r>
        <w:t xml:space="preserve">.</w:t>
      </w:r>
    </w:p>
    <w:p>
      <w:pPr>
        <w:pStyle w:val="BodyText"/>
      </w:pPr>
      <w:r>
        <w:t xml:space="preserve">Apesar de compartilharem essa base tecnológica, o ecossistema de criptoativos apresenta uma heterogeneidade significativa que afeta o comportamento dos investimentos. Enquanto criptomoedas convencionais possuem alta volatilidade e operam sob dinâmicas próprias de precificação, existem moedas projetadas para manter estabilidade, conhecidas como</w:t>
      </w:r>
      <w:r>
        <w:t xml:space="preserve"> </w:t>
      </w:r>
      <w:r>
        <w:rPr>
          <w:i/>
          <w:iCs/>
        </w:rPr>
        <w:t xml:space="preserve">stablecoins</w:t>
      </w:r>
      <w:r>
        <w:t xml:space="preserve"> </w:t>
      </w:r>
      <w:r>
        <w:t xml:space="preserve">. Ativos como o</w:t>
      </w:r>
      <w:r>
        <w:t xml:space="preserve"> </w:t>
      </w:r>
      <w:r>
        <w:rPr>
          <w:i/>
          <w:iCs/>
        </w:rPr>
        <w:t xml:space="preserve">Tether</w:t>
      </w:r>
      <w:r>
        <w:t xml:space="preserve">, por exemplo, possuem seu valor indexado a moedas fiduciárias, como o dólar norte-americano, apresentando características e utilidades inerentemente distintas de ativos como o</w:t>
      </w:r>
      <w:r>
        <w:t xml:space="preserve"> </w:t>
      </w:r>
      <w:r>
        <w:rPr>
          <w:i/>
          <w:iCs/>
        </w:rPr>
        <w:t xml:space="preserve">Bitcoin</w:t>
      </w:r>
      <w:r>
        <w:t xml:space="preserve"> </w:t>
      </w:r>
      <w:r>
        <w:t xml:space="preserve">. Essa diversidade intrínseca à classe exige que a inclusão de criptomoedas em estratégias de investimento seja analisada por meio de modelos robustos, dado que cada tipo de moeda digital pode exercer um papel diferente na alocação de capital e na exposição ao risco.</w:t>
      </w:r>
    </w:p>
    <w:bookmarkEnd w:id="26"/>
    <w:bookmarkStart w:id="32" w:name="X9615a5eab9d1492ef9a088273ff7f5e0a01d15f"/>
    <w:p>
      <w:pPr>
        <w:pStyle w:val="Heading3"/>
      </w:pPr>
      <w:r>
        <w:t xml:space="preserve">Características do mercado de criptoativos</w:t>
      </w:r>
    </w:p>
    <w:p>
      <w:pPr>
        <w:pStyle w:val="FirstParagraph"/>
      </w:pPr>
      <w:r>
        <w:t xml:space="preserve">O mercado de criptomoedas, atualmente um dos maiores mercados não regulamentados do mundo</w:t>
      </w:r>
      <w:r>
        <w:t xml:space="preserve"> </w:t>
      </w:r>
      <w:r>
        <w:t xml:space="preserve">, é estruturalmente caracterizado por sua extrema volatilidade. Os preços do</w:t>
      </w:r>
      <w:r>
        <w:t xml:space="preserve"> </w:t>
      </w:r>
      <w:r>
        <w:rPr>
          <w:i/>
          <w:iCs/>
        </w:rPr>
        <w:t xml:space="preserve">Bitcoin</w:t>
      </w:r>
      <w:r>
        <w:t xml:space="preserve"> </w:t>
      </w:r>
      <w:r>
        <w:t xml:space="preserve">e de outros ativos digitais apresentam oscilações substanciais não apenas em horizontes de longo prazo, mas também em bases diárias</w:t>
      </w:r>
      <w:r>
        <w:t xml:space="preserve"> </w:t>
      </w:r>
      <w:r>
        <w:t xml:space="preserve">. Quando comparadas a classes de ativos convencionais, como ações, títulos de dívida, ouro e moedas fiduciárias, as cotações do</w:t>
      </w:r>
      <w:r>
        <w:t xml:space="preserve"> </w:t>
      </w:r>
      <w:r>
        <w:rPr>
          <w:i/>
          <w:iCs/>
        </w:rPr>
        <w:t xml:space="preserve">Bitcoin</w:t>
      </w:r>
      <w:r>
        <w:t xml:space="preserve"> </w:t>
      </w:r>
      <w:r>
        <w:t xml:space="preserve">chegam a ser dezenas de vezes mais voláteis e exibem uma sensibilidade aguda a eventos de mercado e a anúncios regulatórios</w:t>
      </w:r>
      <w:r>
        <w:t xml:space="preserve"> </w:t>
      </w:r>
      <w:r>
        <w:t xml:space="preserve">. Na Figura </w:t>
      </w:r>
      <w:hyperlink w:anchor="fig:mercado-cripto">
        <w:r>
          <w:rPr>
            <w:rStyle w:val="Hyperlink"/>
          </w:rPr>
          <w:t xml:space="preserve">2.1</w:t>
        </w:r>
      </w:hyperlink>
      <w:r>
        <w:t xml:space="preserve">, observa-se a evolução temporal do valor de mercado global dos criptoativos, considerando uma cesta composta por 125 ativos. A série em azul representa o valor de mercado excluindo o</w:t>
      </w:r>
      <w:r>
        <w:t xml:space="preserve"> </w:t>
      </w:r>
      <w:r>
        <w:rPr>
          <w:i/>
          <w:iCs/>
        </w:rPr>
        <w:t xml:space="preserve">Bitcoin</w:t>
      </w:r>
      <w:r>
        <w:t xml:space="preserve">, enquanto a série em laranja representa o valor de mercado total, incluindo todos os ativos considerados.</w:t>
      </w:r>
    </w:p>
    <w:bookmarkStart w:id="31" w:name="fig:mercado-cripto"/>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984500" cy="847850"/>
                  <wp:effectExtent b="0" l="0" r="0" t="0"/>
                  <wp:docPr descr="" title="" id="28" name="Picture"/>
                  <a:graphic>
                    <a:graphicData uri="http://schemas.openxmlformats.org/drawingml/2006/picture">
                      <pic:pic>
                        <pic:nvPicPr>
                          <pic:cNvPr descr="merc_cripto.png" id="29" name="Picture"/>
                          <pic:cNvPicPr>
                            <a:picLocks noChangeArrowheads="1" noChangeAspect="1"/>
                          </pic:cNvPicPr>
                        </pic:nvPicPr>
                        <pic:blipFill>
                          <a:blip r:embed="rId27"/>
                          <a:stretch>
                            <a:fillRect/>
                          </a:stretch>
                        </pic:blipFill>
                        <pic:spPr bwMode="auto">
                          <a:xfrm>
                            <a:off x="0" y="0"/>
                            <a:ext cx="2984500" cy="847850"/>
                          </a:xfrm>
                          <a:prstGeom prst="rect">
                            <a:avLst/>
                          </a:prstGeom>
                          <a:noFill/>
                          <a:ln w="9525">
                            <a:noFill/>
                            <a:headEnd/>
                            <a:tailEnd/>
                          </a:ln>
                        </pic:spPr>
                      </pic:pic>
                    </a:graphicData>
                  </a:graphic>
                </wp:inline>
              </w:drawing>
            </w:r>
          </w:p>
        </w:tc>
        <w:tc>
          <w:tcPr/>
          <w:p>
            <w:pPr>
              <w:jc w:val="center"/>
            </w:pPr>
            <w:r>
              <w:t xml:space="preserve">Fonte:</w:t>
            </w:r>
            <w:r>
              <w:t xml:space="preserve"> </w:t>
            </w:r>
            <w:hyperlink r:id="rId30">
              <w:r>
                <w:rPr>
                  <w:rStyle w:val="Hyperlink"/>
                </w:rPr>
                <w:t xml:space="preserve">https://br.tradingview.com/markets/cryptocurrencies/global-charts/</w:t>
              </w:r>
            </w:hyperlink>
            <w:r>
              <w:t xml:space="preserve">.</w:t>
            </w:r>
          </w:p>
        </w:tc>
      </w:tr>
    </w:tbl>
    <w:p>
      <w:pPr>
        <w:pStyle w:val="ImageCaption"/>
      </w:pPr>
      <w:r>
        <w:t xml:space="preserve">Valor de mercado global dos criptoativos</w:t>
      </w:r>
    </w:p>
    <w:bookmarkEnd w:id="31"/>
    <w:p>
      <w:pPr>
        <w:pStyle w:val="BodyText"/>
      </w:pPr>
      <w:r>
        <w:t xml:space="preserve">A inclusão de criptomoedas em carteiras de investimento é um tópico debatido na literatura. Há estudos apontam que ativos digitais, como o</w:t>
      </w:r>
      <w:r>
        <w:t xml:space="preserve"> </w:t>
      </w:r>
      <w:r>
        <w:rPr>
          <w:i/>
          <w:iCs/>
        </w:rPr>
        <w:t xml:space="preserve">Bitcoin</w:t>
      </w:r>
      <w:r>
        <w:t xml:space="preserve">, apresentam uma baixa correlação histórica em relação aos mercados financeiros tradicionais, incluindo índices de ações, metais preciosos e commodities de energia</w:t>
      </w:r>
      <w:r>
        <w:t xml:space="preserve"> </w:t>
      </w:r>
      <w:r>
        <w:t xml:space="preserve">. Essa falta de sincronia ocorre porque as criptomoedas não compartilham necessariamente dos mesmos determinantes de preço que os ativos convencionais, estando menos expostas aos indicadores macroeconômicos clássicos</w:t>
      </w:r>
      <w:r>
        <w:t xml:space="preserve"> </w:t>
      </w:r>
      <w:r>
        <w:t xml:space="preserve">. Desse modo, a alocação de proporções relativamente pequenas de capital nesses ativos pode gerar, segundo o autor, benefícios para a redução do risco geral do portfólio, configurando uma possível estratégia de diversificação</w:t>
      </w:r>
      <w:r>
        <w:t xml:space="preserve"> </w:t>
      </w:r>
      <w:r>
        <w:t xml:space="preserve">.</w:t>
      </w:r>
    </w:p>
    <w:p>
      <w:pPr>
        <w:pStyle w:val="BodyText"/>
      </w:pPr>
      <w:r>
        <w:t xml:space="preserve">O</w:t>
      </w:r>
      <w:r>
        <w:t xml:space="preserve"> </w:t>
      </w:r>
      <w:r>
        <w:rPr>
          <w:i/>
          <w:iCs/>
        </w:rPr>
        <w:t xml:space="preserve">Bitcoin</w:t>
      </w:r>
      <w:r>
        <w:t xml:space="preserve">, de forma específica, demonstra estar segmentado em relação aos</w:t>
      </w:r>
      <w:r>
        <w:t xml:space="preserve"> </w:t>
      </w:r>
      <w:r>
        <w:t xml:space="preserve">mercados financeiros tradicionais e de commodities, exibindo maior reatividade ao fluxo de informações gerado por outras criptomoedas, o que, consequentemente, afeta a precisão de suas previsões</w:t>
      </w:r>
      <w:r>
        <w:t xml:space="preserve"> </w:t>
      </w:r>
      <w:r>
        <w:t xml:space="preserve">. pontua que a alta volatilidade intrínseca às criptomoedas impõe dificuldades substanciais para a obtenção de retornos estáveis e a preservação de valor no</w:t>
      </w:r>
      <w:r>
        <w:t xml:space="preserve"> </w:t>
      </w:r>
      <w:r>
        <w:t xml:space="preserve">. Em decorrência dessas oscilações extremas e da falta de regulamentações, os investidores enfrentam obstáculos diretos para estabelecer estratégias preditivas eficazes, visto que ineficiências heterogêneas causam turbulências que técnicas de previsão isoladas não conseguem superar</w:t>
      </w:r>
      <w:r>
        <w:t xml:space="preserve"> </w:t>
      </w:r>
      <w:r>
        <w:t xml:space="preserve">. As decisões financeiras nesse ambiente são frequentemente embasadas em informações limitadas, motivadas por perspectivas de lucros de curto prazo e sujeitas a resultados altamente incertos</w:t>
      </w:r>
      <w:r>
        <w:t xml:space="preserve"> </w:t>
      </w:r>
      <w:r>
        <w:t xml:space="preserve">. Adicionalmente, indicam que, em períodos de grave ruptura econômica e financeira, esses ativos falham em atuar como instrumentos de proteção (</w:t>
      </w:r>
      <w:r>
        <w:rPr>
          <w:i/>
          <w:iCs/>
        </w:rPr>
        <w:t xml:space="preserve">hedge</w:t>
      </w:r>
      <w:r>
        <w:t xml:space="preserve">) ou portos seguros, funcionando, na verdade, como amplificadores de contágio sistêmico.</w:t>
      </w:r>
    </w:p>
    <w:p>
      <w:pPr>
        <w:pStyle w:val="BodyText"/>
      </w:pPr>
      <w:r>
        <w:t xml:space="preserve">A natureza de alta volatilidade desse mercado impõe dificuldades práticas para investidores que buscam a obtenção de retornos estáveis ou a manutenção de valor no tempo</w:t>
      </w:r>
      <w:r>
        <w:t xml:space="preserve"> </w:t>
      </w:r>
      <w:r>
        <w:t xml:space="preserve">. O ambiente de negociação é marcado por uma dinâmica de alto risco e altas recompensas, evidenciando padrões recorrentes de retornos atípicos e quedas frequentes de preços</w:t>
      </w:r>
      <w:r>
        <w:t xml:space="preserve"> </w:t>
      </w:r>
      <w:r>
        <w:t xml:space="preserve">. O risco inerente aos criptoativos é exacerbado pela falta de recursos legais disponíveis para a proteção dos investidores em casos de fraude ou falhas operacionais</w:t>
      </w:r>
      <w:r>
        <w:t xml:space="preserve"> </w:t>
      </w:r>
      <w:r>
        <w:t xml:space="preserve">. Ademais, a literatura financeira destaca a ocorrência do comportamento de manada (herding behavior) como um fenômeno investigado e característico das dinâmicas de atuação dos participantes nesse mercado</w:t>
      </w:r>
      <w:r>
        <w:t xml:space="preserve"> </w:t>
      </w:r>
      <w:r>
        <w:t xml:space="preserve">.</w:t>
      </w:r>
    </w:p>
    <w:p>
      <w:pPr>
        <w:pStyle w:val="BodyText"/>
      </w:pPr>
      <w:r>
        <w:t xml:space="preserve">Em contrapartida, outros autores investigam o papel das criptomoedas como um</w:t>
      </w:r>
      <w:r>
        <w:t xml:space="preserve"> </w:t>
      </w:r>
      <w:r>
        <w:t xml:space="preserve">“porto seguro”</w:t>
      </w:r>
      <w:r>
        <w:t xml:space="preserve"> </w:t>
      </w:r>
      <w:r>
        <w:t xml:space="preserve">(</w:t>
      </w:r>
      <w:r>
        <w:rPr>
          <w:i/>
          <w:iCs/>
        </w:rPr>
        <w:t xml:space="preserve">safe haven</w:t>
      </w:r>
      <w:r>
        <w:t xml:space="preserve">) em períodos de elevada instabilidade, observam que, diante de picos de incerteza política e econômica, a demanda por</w:t>
      </w:r>
      <w:r>
        <w:t xml:space="preserve"> </w:t>
      </w:r>
      <w:r>
        <w:rPr>
          <w:i/>
          <w:iCs/>
        </w:rPr>
        <w:t xml:space="preserve">Bitcoin</w:t>
      </w:r>
      <w:r>
        <w:t xml:space="preserve"> </w:t>
      </w:r>
      <w:r>
        <w:t xml:space="preserve">tende a aumentar, uma vez que os investidores buscam ativos alternativos para compensar as perdas sofridas nas bolsas tradicionais. No entanto, os autores ressaltam que essa característica de proteção não é linear, operando em ciclos. Há períodos de retração em que os ativos digitais sofrem quedas simultâneas aos instrumentos financeiros convencionais, o que exige do investidor a habilidade de identificar o ciclo de mercado correto antes de adotar a criptomoeda como um instrumento de</w:t>
      </w:r>
      <w:r>
        <w:t xml:space="preserve"> </w:t>
      </w:r>
      <w:r>
        <w:rPr>
          <w:i/>
          <w:iCs/>
        </w:rPr>
        <w:t xml:space="preserve">hedge</w:t>
      </w:r>
      <w:r>
        <w:t xml:space="preserve"> </w:t>
      </w:r>
      <w:r>
        <w:t xml:space="preserve">.</w:t>
      </w:r>
    </w:p>
    <w:p>
      <w:pPr>
        <w:pStyle w:val="BodyText"/>
      </w:pPr>
      <w:r>
        <w:t xml:space="preserve">A eficácia desse investimento como proteção torna-se ainda mais específica durante crises econômicas extremas, fenômeno que costuma elevar a correlação entre as diferentes classes de ativos. demonstram que, em choques de grande magnitude como o provocado pela pandemia de COVID-19, criptomoedas convencionais e de alta volatilidade (como</w:t>
      </w:r>
      <w:r>
        <w:t xml:space="preserve"> </w:t>
      </w:r>
      <w:r>
        <w:rPr>
          <w:i/>
          <w:iCs/>
        </w:rPr>
        <w:t xml:space="preserve">Bitcoin</w:t>
      </w:r>
      <w:r>
        <w:t xml:space="preserve">,</w:t>
      </w:r>
      <w:r>
        <w:t xml:space="preserve"> </w:t>
      </w:r>
      <w:r>
        <w:rPr>
          <w:i/>
          <w:iCs/>
        </w:rPr>
        <w:t xml:space="preserve">Ethereum</w:t>
      </w:r>
      <w:r>
        <w:t xml:space="preserve"> </w:t>
      </w:r>
      <w:r>
        <w:t xml:space="preserve">e</w:t>
      </w:r>
      <w:r>
        <w:t xml:space="preserve"> </w:t>
      </w:r>
      <w:r>
        <w:rPr>
          <w:i/>
          <w:iCs/>
        </w:rPr>
        <w:t xml:space="preserve">Litecoin</w:t>
      </w:r>
      <w:r>
        <w:t xml:space="preserve">) passam a se mover na mesma direção dos índices de ações, falhando em atuar como diversificadores eficientes. Em contrapartida, as</w:t>
      </w:r>
      <w:r>
        <w:t xml:space="preserve"> </w:t>
      </w:r>
      <w:r>
        <w:rPr>
          <w:i/>
          <w:iCs/>
        </w:rPr>
        <w:t xml:space="preserve">stablecoins</w:t>
      </w:r>
      <w:r>
        <w:t xml:space="preserve">, a exemplo do</w:t>
      </w:r>
      <w:r>
        <w:t xml:space="preserve"> </w:t>
      </w:r>
      <w:r>
        <w:rPr>
          <w:i/>
          <w:iCs/>
        </w:rPr>
        <w:t xml:space="preserve">Tether</w:t>
      </w:r>
      <w:r>
        <w:t xml:space="preserve">, apresentam um comportamento de correlação negativa com as ações durante essas turbulências</w:t>
      </w:r>
      <w:r>
        <w:t xml:space="preserve"> </w:t>
      </w:r>
      <w:r>
        <w:t xml:space="preserve">. Portanto, há evidências de que</w:t>
      </w:r>
      <w:r>
        <w:t xml:space="preserve"> </w:t>
      </w:r>
      <w:r>
        <w:rPr>
          <w:i/>
          <w:iCs/>
        </w:rPr>
        <w:t xml:space="preserve">stablecoins</w:t>
      </w:r>
      <w:r>
        <w:t xml:space="preserve">, especialmente em cenários de forte retração econômica e restrição de liquidez, possam atuar como portos seguros e reservas de valor</w:t>
      </w:r>
      <w:r>
        <w:t xml:space="preserve"> </w:t>
      </w:r>
      <w:r>
        <w:t xml:space="preserve">.</w:t>
      </w:r>
    </w:p>
    <w:p>
      <w:pPr>
        <w:pStyle w:val="BodyText"/>
      </w:pPr>
      <w:r>
        <w:t xml:space="preserve">Apesar de o</w:t>
      </w:r>
      <w:r>
        <w:t xml:space="preserve"> </w:t>
      </w:r>
      <w:r>
        <w:rPr>
          <w:i/>
          <w:iCs/>
        </w:rPr>
        <w:t xml:space="preserve">Bitcoin</w:t>
      </w:r>
      <w:r>
        <w:t xml:space="preserve"> </w:t>
      </w:r>
      <w:r>
        <w:t xml:space="preserve">carecer de valor intrínseco que lhe permita gerar dividendos ou ser amplamente utilizado como meio de pagamento convencional, a moeda obteve amplo reconhecimento como um ativo de investimento. Sua atratividade financeira fundamenta-se na possibilidade de comercialização a preços superiores, uma dinâmica impulsionada pela escassez restritiva de sua oferta digital</w:t>
      </w:r>
      <w:r>
        <w:t xml:space="preserve"> </w:t>
      </w:r>
      <w:r>
        <w:t xml:space="preserve">. Esse processo de legitimação levou fundos de cobertura e gestores de capital a incorporarem criptomoedas em seus portfólios, estimulando também a comunidade acadêmica a direcionar pesquisas para a negociação desses ativos, com ênfase na aplicação de algoritmos de aprendizado de máquina</w:t>
      </w:r>
      <w:r>
        <w:t xml:space="preserve"> </w:t>
      </w:r>
      <w:r>
        <w:t xml:space="preserve">.</w:t>
      </w:r>
    </w:p>
    <w:p>
      <w:pPr>
        <w:pStyle w:val="BodyText"/>
      </w:pPr>
      <w:r>
        <w:t xml:space="preserve">Por fim, constata-se uma heterogeneidade estrutural dentro dessa nova classe de ativos. Existem criptoativos, a exemplo do</w:t>
      </w:r>
      <w:r>
        <w:t xml:space="preserve"> </w:t>
      </w:r>
      <w:r>
        <w:rPr>
          <w:i/>
          <w:iCs/>
        </w:rPr>
        <w:t xml:space="preserve">Tether</w:t>
      </w:r>
      <w:r>
        <w:t xml:space="preserve">, que diferem inerentemente do</w:t>
      </w:r>
      <w:r>
        <w:t xml:space="preserve"> </w:t>
      </w:r>
      <w:r>
        <w:rPr>
          <w:i/>
          <w:iCs/>
        </w:rPr>
        <w:t xml:space="preserve">Bitcoin</w:t>
      </w:r>
      <w:r>
        <w:t xml:space="preserve"> </w:t>
      </w:r>
      <w:r>
        <w:t xml:space="preserve">por possuírem seu valor indexado a moedas fiduciárias, como o dólar norte-americano, o que lhes confere utilidades e características financeiras fundamentalmente distintas no mercado</w:t>
      </w:r>
      <w:r>
        <w:t xml:space="preserve"> </w:t>
      </w:r>
      <w:r>
        <w:t xml:space="preserve">.</w:t>
      </w:r>
    </w:p>
    <w:p>
      <w:pPr>
        <w:pStyle w:val="BodyText"/>
      </w:pPr>
      <w:r>
        <w:t xml:space="preserve">Internamente ao mercado digital, os retornos das diferentes criptomoedas apresentam alta correlação entre si, além de exibirem elevada exposição a riscos de cauda</w:t>
      </w:r>
      <w:r>
        <w:t xml:space="preserve"> </w:t>
      </w:r>
      <w:r>
        <w:t xml:space="preserve">. Não obstante, a estruturação de carteiras diversificadas contendo múltiplas criptomoedas possibilita a mitigação desses riscos, gerando desempenhos superiores — mensurados pelo índice de Sharpe e retornos equivalentes de certeza — quando comparados à detenção de um ativo digital isolado</w:t>
      </w:r>
      <w:r>
        <w:t xml:space="preserve"> </w:t>
      </w:r>
      <w:r>
        <w:t xml:space="preserve">.</w:t>
      </w:r>
    </w:p>
    <w:p>
      <w:pPr>
        <w:pStyle w:val="BodyText"/>
      </w:pPr>
      <w:r>
        <w:t xml:space="preserve">No que tange à proteção em cenários adversos, a utilidade desses ativos possui limitações. Em condições normais de mercado, as</w:t>
      </w:r>
      <w:r>
        <w:t xml:space="preserve"> </w:t>
      </w:r>
      <w:r>
        <w:rPr>
          <w:i/>
          <w:iCs/>
        </w:rPr>
        <w:t xml:space="preserve">stablecoins</w:t>
      </w:r>
      <w:r>
        <w:t xml:space="preserve"> </w:t>
      </w:r>
      <w:r>
        <w:t xml:space="preserve">operam fundamentalmente como diversificadores eficazes, assumindo a função de porto seguro (</w:t>
      </w:r>
      <w:r>
        <w:rPr>
          <w:i/>
          <w:iCs/>
        </w:rPr>
        <w:t xml:space="preserve">safe haven</w:t>
      </w:r>
      <w:r>
        <w:t xml:space="preserve">) apenas sob circunstâncias muito específicas</w:t>
      </w:r>
      <w:r>
        <w:t xml:space="preserve"> </w:t>
      </w:r>
      <w:r>
        <w:t xml:space="preserve">. Em períodos de severa ruptura econômica e financeira, as evidências indicam que os criptoativos perdem sua capacidade de atuar como instrumentos de proteção (</w:t>
      </w:r>
      <w:r>
        <w:rPr>
          <w:i/>
          <w:iCs/>
        </w:rPr>
        <w:t xml:space="preserve">hedge</w:t>
      </w:r>
      <w:r>
        <w:t xml:space="preserve">) ou portos seguros, podendo funcionar como amplificadores do contágio financeiro sistêmico</w:t>
      </w:r>
      <w:r>
        <w:t xml:space="preserve"> </w:t>
      </w:r>
      <w:r>
        <w:t xml:space="preserve">.</w:t>
      </w:r>
    </w:p>
    <w:p>
      <w:pPr>
        <w:pStyle w:val="BodyText"/>
      </w:pPr>
      <w:r>
        <w:t xml:space="preserve">A literatura especializada demonstra que os retornos do</w:t>
      </w:r>
      <w:r>
        <w:t xml:space="preserve"> </w:t>
      </w:r>
      <w:r>
        <w:rPr>
          <w:i/>
          <w:iCs/>
        </w:rPr>
        <w:t xml:space="preserve">Bitcoin</w:t>
      </w:r>
      <w:r>
        <w:t xml:space="preserve"> </w:t>
      </w:r>
      <w:r>
        <w:t xml:space="preserve">não se adequam à Hipótese de Mercado Eficiente (HME), indicando que as variações de preços não são eventos independentes </w:t>
      </w:r>
      <w:r>
        <w:t xml:space="preserve">. Essa ineficiência manifesta-se de forma heterogênea e decorre, na maioria das vezes, pela ausência de regulamentações estruturais quando comparada aos ativos financeiros convencionais</w:t>
      </w:r>
      <w:r>
        <w:t xml:space="preserve"> </w:t>
      </w:r>
      <w:r>
        <w:t xml:space="preserve">. Tais falhas geram uma volatilidade turbulenta, evidenciando que o mercado não opera puramente aleatório e que técnicas preditivas isoladas podem ser insuficientes para lidar com essa dinâmica</w:t>
      </w:r>
      <w:r>
        <w:t xml:space="preserve"> </w:t>
      </w:r>
      <w:r>
        <w:t xml:space="preserve">.</w:t>
      </w:r>
    </w:p>
    <w:p>
      <w:pPr>
        <w:pStyle w:val="BodyText"/>
      </w:pPr>
      <w:r>
        <w:t xml:space="preserve">A persistência de ineficiências invalida a premissa de eficiência plena, viabilizando a identificação de padrões para a extração de lucros. Diante dessas oportunidades, observou-se nos últimos anos um aumento expressivo no interesse pelo uso de técnicas de aprendizado de máquina (</w:t>
      </w:r>
      <w:r>
        <w:rPr>
          <w:i/>
          <w:iCs/>
        </w:rPr>
        <w:t xml:space="preserve">machine learning</w:t>
      </w:r>
      <w:r>
        <w:t xml:space="preserve">) para prever o comportamento das criptomoedas</w:t>
      </w:r>
      <w:r>
        <w:t xml:space="preserve"> </w:t>
      </w:r>
      <w:r>
        <w:t xml:space="preserve">. Essa tecnologia consolidou-se como um instrumento eficaz para o desenvolvimento de estratégias de negociação, pois possui a capacidade de inferir relações nos dados que são, frequentemente, imperceptíveis à observação humana direta</w:t>
      </w:r>
      <w:r>
        <w:t xml:space="preserve"> </w:t>
      </w:r>
      <w:r>
        <w:t xml:space="preserve">.</w:t>
      </w:r>
    </w:p>
    <w:p>
      <w:pPr>
        <w:pStyle w:val="BodyText"/>
      </w:pPr>
      <w:r>
        <w:t xml:space="preserve">O uso de modelos de aprendizado de máquina proporciona níveis elevados de precisão, melhorando a previsibilidade dos retornos e superando o desempenho de abordagens concorrentes tradicionais, como os modelos de médias móveis exponenciais e médias móveis integradas autorregressivas</w:t>
      </w:r>
      <w:r>
        <w:t xml:space="preserve"> </w:t>
      </w:r>
      <w:r>
        <w:t xml:space="preserve">. Uma vantagem dessa tecnologia em relação aos modelos econométricos clássicos é que o aprendizado de máquina não exige que os dados sejam estacionários para garantir a obtenção de soluções válidas. Dado que a estacionariedade é uma premissa restritiva e essencial da econometria, porém dados não estacionários são toleráveis em inteligência artificial, as técnicas de</w:t>
      </w:r>
      <w:r>
        <w:t xml:space="preserve"> </w:t>
      </w:r>
      <w:r>
        <w:rPr>
          <w:i/>
          <w:iCs/>
        </w:rPr>
        <w:t xml:space="preserve">machine learning</w:t>
      </w:r>
      <w:r>
        <w:t xml:space="preserve"> </w:t>
      </w:r>
      <w:r>
        <w:t xml:space="preserve">despontam como uma via metodológica promissora para o setor</w:t>
      </w:r>
      <w:r>
        <w:t xml:space="preserve"> </w:t>
      </w:r>
      <w:r>
        <w:t xml:space="preserve">.</w:t>
      </w:r>
    </w:p>
    <w:p>
      <w:pPr>
        <w:pStyle w:val="BodyText"/>
      </w:pPr>
      <w:r>
        <w:t xml:space="preserve">Contudo, a aplicação desses algoritmos esbarra em desafios relacionados à sua explicabilidade. Mesmo apresentando alta acurácia na otimização de portfólios, as ferramentas de aprendizado de máquina operam frequentemente como</w:t>
      </w:r>
      <w:r>
        <w:t xml:space="preserve"> </w:t>
      </w:r>
      <w:r>
        <w:t xml:space="preserve">“caixas pretas”</w:t>
      </w:r>
      <w:r>
        <w:t xml:space="preserve">, fornecendo previsões precisas sem que as razões lógicas subjacentes à decisão sejam claras para o investidor</w:t>
      </w:r>
      <w:r>
        <w:t xml:space="preserve"> </w:t>
      </w:r>
      <w:r>
        <w:t xml:space="preserve">. As criptomoedas continuam sendo um ativo complexo para a modelagem matemática, mantendo o debate sobre a precisão e os limites dos métodos de previsão de seus preços ainda em aberto na literatura</w:t>
      </w:r>
      <w:r>
        <w:t xml:space="preserve"> </w:t>
      </w:r>
      <w:r>
        <w:t xml:space="preserve">.</w:t>
      </w:r>
    </w:p>
    <w:p>
      <w:pPr>
        <w:pStyle w:val="BodyText"/>
      </w:pPr>
      <w:r>
        <w:t xml:space="preserve">A escassez de regulamentação, quando comparada à de outros ativos financeiros, é um dos fatores centrais para a ocorrência do comportamento de manada e de ineficiências no mercado</w:t>
      </w:r>
      <w:r>
        <w:t xml:space="preserve"> </w:t>
      </w:r>
      <w:r>
        <w:t xml:space="preserve">. Por operarem sem a supervisão de governos ou bancos centrais, esses ativos geram preocupações quanto aos potenciais impactos negativos na estabilidade do sistema monetário e financeiro global</w:t>
      </w:r>
      <w:r>
        <w:t xml:space="preserve"> </w:t>
      </w:r>
      <w:r>
        <w:t xml:space="preserve">. Consequentemente, o mercado apresenta riscos severos, não oferecendo recursos ou garantias legais aos investidores em situações de fraude, ou falhas operacionais</w:t>
      </w:r>
      <w:r>
        <w:t xml:space="preserve"> </w:t>
      </w:r>
      <w:r>
        <w:t xml:space="preserve">.</w:t>
      </w:r>
    </w:p>
    <w:p>
      <w:pPr>
        <w:pStyle w:val="BodyText"/>
      </w:pPr>
      <w:r>
        <w:t xml:space="preserve">Sob a perspectiva tecnológica, a infraestrutura das criptomoedas enfrenta severas limitações de escalabilidade. destacam que o volume e a velocidade das transações nessas redes ainda não conseguem competir com a negociação de moedas tradicionais, o que já ocasionou acúmulos e atrasos operacionais de múltiplos dias em plataformas de negociação.</w:t>
      </w:r>
    </w:p>
    <w:p>
      <w:pPr>
        <w:pStyle w:val="BodyText"/>
      </w:pPr>
      <w:r>
        <w:t xml:space="preserve">No âmbito comportamental, a literatura aponta que os investidores do setor principal de criptomoedas agem frequentemente de forma irracional, mimetizando as decisões de terceiros sem qualquer referência às suas próprias convicções</w:t>
      </w:r>
      <w:r>
        <w:t xml:space="preserve"> </w:t>
      </w:r>
      <w:r>
        <w:t xml:space="preserve">. Esse comportamento de manada faz com que os ativos se movam em conjunto, gerando dinâmicas e tendências que não refletem, necessariamente, os seus verdadeiros fundamentos econômicos subjacentes</w:t>
      </w:r>
      <w:r>
        <w:t xml:space="preserve"> </w:t>
      </w:r>
      <w:r>
        <w:t xml:space="preserve">.</w:t>
      </w:r>
    </w:p>
    <w:bookmarkEnd w:id="32"/>
    <w:bookmarkEnd w:id="33"/>
    <w:bookmarkStart w:id="37" w:name="sec_machine_learning"/>
    <w:p>
      <w:pPr>
        <w:pStyle w:val="Heading2"/>
      </w:pPr>
      <w:r>
        <w:rPr>
          <w:i/>
          <w:iCs/>
        </w:rPr>
        <w:t xml:space="preserve">Machine learning</w:t>
      </w:r>
    </w:p>
    <w:bookmarkStart w:id="34" w:name="subsec_fundamentos_do_machine_learning"/>
    <w:p>
      <w:pPr>
        <w:pStyle w:val="Heading3"/>
      </w:pPr>
      <w:r>
        <w:t xml:space="preserve">Fundamentos do</w:t>
      </w:r>
      <w:r>
        <w:t xml:space="preserve"> </w:t>
      </w:r>
      <w:r>
        <w:rPr>
          <w:i/>
          <w:iCs/>
        </w:rPr>
        <w:t xml:space="preserve">machine learning</w:t>
      </w:r>
    </w:p>
    <w:p>
      <w:pPr>
        <w:pStyle w:val="FirstParagraph"/>
      </w:pPr>
      <w:r>
        <w:t xml:space="preserve">O Aprendizado de Máquina (</w:t>
      </w:r>
      <w:r>
        <w:rPr>
          <w:i/>
          <w:iCs/>
        </w:rPr>
        <w:t xml:space="preserve">machine learning</w:t>
      </w:r>
      <w:r>
        <w:t xml:space="preserve"> </w:t>
      </w:r>
      <w:r>
        <w:t xml:space="preserve">- ML) compreende uma subárea da inteligência artificial que se destaca por sua capacidade de prever eventos futuros com base na análise de dados históricos</w:t>
      </w:r>
      <w:r>
        <w:t xml:space="preserve"> </w:t>
      </w:r>
      <w:r>
        <w:t xml:space="preserve">. O princípio fundamental dessa tecnologia reside na aptidão dos algoritmos para extrair conhecimento e aprender representações internas diretamente a partir de dados brutos (séries temporais, por exemplo), eliminando a necessidade de conhecimento especializado do domínio para a filtragem manual de características de entrada</w:t>
      </w:r>
      <w:r>
        <w:t xml:space="preserve"> </w:t>
      </w:r>
      <w:r>
        <w:t xml:space="preserve">.</w:t>
      </w:r>
    </w:p>
    <w:p>
      <w:pPr>
        <w:pStyle w:val="BodyText"/>
      </w:pPr>
      <w:r>
        <w:t xml:space="preserve">A evolução dessas técnicas ocorreu em sua maioria como resposta às limitações dos métodos estatísticos e econométricos tradicionais, que conseguiam lidar apenas com problemas lineares e frequentemente enfrentavam dificuldades com a multicolinearidade de múltiplas variáveis. Com o avanço tecnológico, modelos de ML como Redes Neurais Artificiais (ANNs</w:t>
      </w:r>
      <w:r>
        <w:t xml:space="preserve"> </w:t>
      </w:r>
      <w:r>
        <w:rPr>
          <w:i/>
          <w:iCs/>
        </w:rPr>
        <w:t xml:space="preserve">Artificial Neural Networks</w:t>
      </w:r>
      <w:r>
        <w:t xml:space="preserve">), Máquinas de Vetores de Suporte (SVM) e Florestas Aleatórias (Random Forest) passaram a ser adotados justamente por conseguirem analisar e processar relações não lineares altamente complexas entre diversos fatores</w:t>
      </w:r>
      <w:r>
        <w:t xml:space="preserve"> </w:t>
      </w:r>
      <w:r>
        <w:t xml:space="preserve">. Esse amadurecimento permitiu que os algoritmos entregassem previsões que não apenas se igualam à realidade, mas que aumentam substancialmente a precisão dos resultados em comparação com modelos anteriores</w:t>
      </w:r>
      <w:r>
        <w:t xml:space="preserve"> </w:t>
      </w:r>
      <w:r>
        <w:t xml:space="preserve">.</w:t>
      </w:r>
    </w:p>
    <w:p>
      <w:pPr>
        <w:pStyle w:val="BodyText"/>
      </w:pPr>
      <w:r>
        <w:t xml:space="preserve">Atualmente, a relevância do</w:t>
      </w:r>
      <w:r>
        <w:t xml:space="preserve"> </w:t>
      </w:r>
      <w:r>
        <w:rPr>
          <w:i/>
          <w:iCs/>
        </w:rPr>
        <w:t xml:space="preserve">machine learning</w:t>
      </w:r>
      <w:r>
        <w:t xml:space="preserve"> </w:t>
      </w:r>
      <w:r>
        <w:t xml:space="preserve">é evidenciada pela sua aplicação bem-sucedida em inúmeras áreas de pesquisa de sistemas complexos. Conforme destacam , algoritmos de ML têm demonstrado eficácia significativa em campos variados, como biomedicina, neurorobótica, análise de imagem e voz, e reconhecimento de padrões, o que motivou sua recente e forte aplicação na análise de séries temporais financeiras. Nesse contexto contemporâneo, estratégias modernas como o aprendizado profundo (</w:t>
      </w:r>
      <w:r>
        <w:rPr>
          <w:i/>
          <w:iCs/>
        </w:rPr>
        <w:t xml:space="preserve">deep learning</w:t>
      </w:r>
      <w:r>
        <w:t xml:space="preserve">) e o aprendizado combinado (</w:t>
      </w:r>
      <w:r>
        <w:rPr>
          <w:i/>
          <w:iCs/>
        </w:rPr>
        <w:t xml:space="preserve">ensemble learning</w:t>
      </w:r>
      <w:r>
        <w:t xml:space="preserve">) alcançam níveis de precisão de ponta, pois são capazes de criar características valiosas enquanto filtram eficientemente o ruído dos dados de entrada</w:t>
      </w:r>
      <w:r>
        <w:t xml:space="preserve"> </w:t>
      </w:r>
      <w:r>
        <w:t xml:space="preserve">.</w:t>
      </w:r>
    </w:p>
    <w:p>
      <w:pPr>
        <w:pStyle w:val="BodyText"/>
      </w:pPr>
      <w:r>
        <w:t xml:space="preserve">No aprendizado de máquina supervisionado, os problemas são frequentemente categorizados em tarefas de regressão e classificação, dependendo do objetivo específico da previsão a ser realizada</w:t>
      </w:r>
      <w:r>
        <w:t xml:space="preserve"> </w:t>
      </w:r>
      <w:r>
        <w:t xml:space="preserve">. Em aplicações financeiras, a regressão é comumente utilizada para estimar o valor exato de um ativo no futuro, enquanto a classificação é aplicada para prever a direção do movimento dos preços, como identificar se a cotação vai subir ou descer no período seguinte</w:t>
      </w:r>
      <w:r>
        <w:t xml:space="preserve"> </w:t>
      </w:r>
      <w:r>
        <w:t xml:space="preserve">. Para garantir a robustez na construção e validação dessas ferramentas em séries temporais, os dados costumam ser divididos em subconjuntos distintos: um conjunto de treinamento, utilizado para ajustar e estimar os parâmetros; um conjunto de validação, para selecionar o modelo mais adequado; e um conjunto de teste, que avalia o desempenho final e a capacidade do modelo de generalizar informações em dados não vistos anteriormente, conforme e .</w:t>
      </w:r>
    </w:p>
    <w:p>
      <w:pPr>
        <w:pStyle w:val="BodyText"/>
      </w:pPr>
      <w:r>
        <w:t xml:space="preserve">Diante da complexidade natural das tarefas de regressão e classificação, ocorre com frequência que modelos individuais de aprendizado de máquina não consigam fornecer, de maneira isolada, a precisão e a qualidade preditiva desejadas</w:t>
      </w:r>
      <w:r>
        <w:t xml:space="preserve"> </w:t>
      </w:r>
      <w:r>
        <w:t xml:space="preserve">. Como uma solução sofisticada para esse desafio, o aprendizado combinado (</w:t>
      </w:r>
      <w:r>
        <w:rPr>
          <w:i/>
          <w:iCs/>
        </w:rPr>
        <w:t xml:space="preserve">ensemble learning</w:t>
      </w:r>
      <w:r>
        <w:t xml:space="preserve">) propõe a integração de múltiplos modelos para reduzir a alta variância dos preditores individuais e minimizar o erro de generalização</w:t>
      </w:r>
      <w:r>
        <w:t xml:space="preserve"> </w:t>
      </w:r>
      <w:r>
        <w:t xml:space="preserve">. O princípio fundamental dessa estratégia consiste em agregar as previsões de diversos algoritmos considerados "fracos" ou de baixo viés, fazendo com que os erros específicos de cada modelo sejam compensados mutuamente durante o processo de previsão, o que invariavelmente resulta em um desempenho global superior, conforme e .</w:t>
      </w:r>
    </w:p>
    <w:p>
      <w:pPr>
        <w:pStyle w:val="BodyText"/>
      </w:pPr>
      <w:r>
        <w:t xml:space="preserve">Dentro dessa arquitetura de múltiplos modelos, destacam-se duas abordagens principais: o</w:t>
      </w:r>
      <w:r>
        <w:t xml:space="preserve"> </w:t>
      </w:r>
      <w:r>
        <w:rPr>
          <w:i/>
          <w:iCs/>
        </w:rPr>
        <w:t xml:space="preserve">bagging</w:t>
      </w:r>
      <w:r>
        <w:t xml:space="preserve"> </w:t>
      </w:r>
      <w:r>
        <w:t xml:space="preserve">e o</w:t>
      </w:r>
      <w:r>
        <w:t xml:space="preserve"> </w:t>
      </w:r>
      <w:r>
        <w:rPr>
          <w:i/>
          <w:iCs/>
        </w:rPr>
        <w:t xml:space="preserve">boosting</w:t>
      </w:r>
      <w:r>
        <w:t xml:space="preserve"> </w:t>
      </w:r>
      <w:r>
        <w:t xml:space="preserve">. Enquanto no</w:t>
      </w:r>
      <w:r>
        <w:t xml:space="preserve"> </w:t>
      </w:r>
      <w:r>
        <w:rPr>
          <w:i/>
          <w:iCs/>
        </w:rPr>
        <w:t xml:space="preserve">bagging</w:t>
      </w:r>
      <w:r>
        <w:t xml:space="preserve"> </w:t>
      </w:r>
      <w:r>
        <w:t xml:space="preserve">os modelos básicos aprendem de forma independente e paralela, compensando os resultados por meio de uma média ou votação simples, o</w:t>
      </w:r>
      <w:r>
        <w:t xml:space="preserve"> </w:t>
      </w:r>
      <w:r>
        <w:rPr>
          <w:i/>
          <w:iCs/>
        </w:rPr>
        <w:t xml:space="preserve">boosting</w:t>
      </w:r>
      <w:r>
        <w:t xml:space="preserve"> </w:t>
      </w:r>
      <w:r>
        <w:t xml:space="preserve">opera por meio de uma construção sequencial e adaptativa, onde cada modelo atual é desenvolvido com base nos resultados do modelo anterior, conforme e . Consequentemente, o método de</w:t>
      </w:r>
      <w:r>
        <w:t xml:space="preserve"> </w:t>
      </w:r>
      <w:r>
        <w:rPr>
          <w:i/>
          <w:iCs/>
        </w:rPr>
        <w:t xml:space="preserve">boosting</w:t>
      </w:r>
      <w:r>
        <w:t xml:space="preserve"> </w:t>
      </w:r>
      <w:r>
        <w:t xml:space="preserve">se utiliza de uma votação ponderada em vez de simples, focando seu esforço computacional em corrigir as falhas sucessivas dos classificadores prévios, o que lhe confere um grande potencial para extrair padrões não lineares complexos dos dados</w:t>
      </w:r>
      <w:r>
        <w:t xml:space="preserve"> </w:t>
      </w:r>
      <w:r>
        <w:t xml:space="preserve">.</w:t>
      </w:r>
    </w:p>
    <w:bookmarkEnd w:id="34"/>
    <w:bookmarkStart w:id="35" w:name="X0543d7010acfb1d0bfb52c4ed1fd33aa8082f32"/>
    <w:p>
      <w:pPr>
        <w:pStyle w:val="Heading3"/>
      </w:pPr>
      <w:r>
        <w:t xml:space="preserve">AdaBoost: funcionamento e características</w:t>
      </w:r>
    </w:p>
    <w:p>
      <w:pPr>
        <w:pStyle w:val="FirstParagraph"/>
      </w:pPr>
      <w:r>
        <w:t xml:space="preserve">O algoritmo AdaBoost, cujo nome deriva de Adaptive Boosting, fundamenta-se na premissa de reduzir o viés do modelo ao combinar diferentes técnicas de aprendizado de máquina em um único sistema de previsão robusto</w:t>
      </w:r>
      <w:r>
        <w:t xml:space="preserve"> </w:t>
      </w:r>
      <w:r>
        <w:t xml:space="preserve">. O conceito central dessa abordagem reside na utilização de modelos considerados "fracos", que realizam o aprendizado de maneira sequencial e adaptativa</w:t>
      </w:r>
      <w:r>
        <w:t xml:space="preserve"> </w:t>
      </w:r>
      <w:r>
        <w:t xml:space="preserve">. Na prática, esses classificadores fracos costumam ser árvores de decisão rasas, as quais, apesar de possuírem baixa precisão individualmente, são computacionalmente eficientes e fáceis de projetar</w:t>
      </w:r>
      <w:r>
        <w:t xml:space="preserve"> </w:t>
      </w:r>
      <w:r>
        <w:t xml:space="preserve">.</w:t>
      </w:r>
    </w:p>
    <w:p>
      <w:pPr>
        <w:pStyle w:val="BodyText"/>
      </w:pPr>
      <w:r>
        <w:t xml:space="preserve">No funcionamento interno do algoritmo, as observações do conjunto de treinamento são ponderadas de forma que cada novo classificador seja treinado levando em conta o sucesso ou fracasso dos modelos anteriores</w:t>
      </w:r>
      <w:r>
        <w:t xml:space="preserve"> </w:t>
      </w:r>
      <w:r>
        <w:t xml:space="preserve">. Após cada etapa de treinamento, os pesos dos dados são redistribuídos: as amostras classificadas incorretamente recebem um peso maior, garantindo que os próximos aprendizes concentrem seus esforços nos casos mais difíceis</w:t>
      </w:r>
      <w:r>
        <w:t xml:space="preserve"> </w:t>
      </w:r>
      <w:r>
        <w:t xml:space="preserve">. Intuitivamente, quanto maior o erro cometido por um modelo prévio em um dado específico, maior será a importância atribuída a esse dado na rodada seguinte para tentar corrigir a falha de previsão</w:t>
      </w:r>
      <w:r>
        <w:t xml:space="preserve"> </w:t>
      </w:r>
      <w:r>
        <w:t xml:space="preserve">.</w:t>
      </w:r>
    </w:p>
    <w:p>
      <w:pPr>
        <w:pStyle w:val="BodyText"/>
      </w:pPr>
      <w:r>
        <w:t xml:space="preserve">A decisão final do AdaBoost é construída por meio da soma ponderada das saídas de todos os submodelos criados durante as iterações</w:t>
      </w:r>
      <w:r>
        <w:t xml:space="preserve"> </w:t>
      </w:r>
      <w:r>
        <w:t xml:space="preserve">. Esse processo de integração leva em conta a confiança ou credibilidade de cada modelo: quanto maior for a acurácia de um submodelo específico, maior será o peso da sua resposta no resultado</w:t>
      </w:r>
      <w:r>
        <w:t xml:space="preserve"> </w:t>
      </w:r>
      <w:r>
        <w:t xml:space="preserve">. Essa arquitetura de soma de classificadores gera um modelo global fortalecido, que aumenta consideravelmente a força preditiva do sistema e entrega resultados com precisão superior</w:t>
      </w:r>
      <w:r>
        <w:t xml:space="preserve"> </w:t>
      </w:r>
      <w:r>
        <w:t xml:space="preserve">.</w:t>
      </w:r>
    </w:p>
    <w:p>
      <w:pPr>
        <w:pStyle w:val="BodyText"/>
      </w:pPr>
      <w:r>
        <w:t xml:space="preserve">Dentre as principais vantagens do AdaBoost, destacam-se a sua alta escalabilidade devido à mecânica simples, a exigência de poucos parâmetros de ajuste e a sua eficácia comprovada na minimização do sobre ajuste (</w:t>
      </w:r>
      <w:r>
        <w:rPr>
          <w:i/>
          <w:iCs/>
        </w:rPr>
        <w:t xml:space="preserve">overfitting</w:t>
      </w:r>
      <w:r>
        <w:t xml:space="preserve">)</w:t>
      </w:r>
      <w:r>
        <w:t xml:space="preserve"> </w:t>
      </w:r>
      <w:r>
        <w:t xml:space="preserve">. Embora o algoritmo consiga reduzir tanto a variância quanto o viés das previsões, ele possui limitações importantes</w:t>
      </w:r>
      <w:r>
        <w:t xml:space="preserve"> </w:t>
      </w:r>
      <w:r>
        <w:t xml:space="preserve">. Conforme apontam , o uso de uma função de perda exponencial pode induzir a erros quando a base de dados possui muito ruído, pois o algoritmo tende a superestimar a importância de valores atípicos (</w:t>
      </w:r>
      <w:r>
        <w:rPr>
          <w:i/>
          <w:iCs/>
        </w:rPr>
        <w:t xml:space="preserve">outliers</w:t>
      </w:r>
      <w:r>
        <w:t xml:space="preserve">), prejudicando o desempenho final.</w:t>
      </w:r>
    </w:p>
    <w:bookmarkEnd w:id="35"/>
    <w:bookmarkStart w:id="36" w:name="X0c5f497d849edd6be46f659c4ed36bc03c15ac0"/>
    <w:p>
      <w:pPr>
        <w:pStyle w:val="Heading3"/>
      </w:pPr>
      <w:r>
        <w:t xml:space="preserve">Aplicações de</w:t>
      </w:r>
      <w:r>
        <w:t xml:space="preserve"> </w:t>
      </w:r>
      <w:r>
        <w:rPr>
          <w:i/>
          <w:iCs/>
        </w:rPr>
        <w:t xml:space="preserve">machine learning</w:t>
      </w:r>
      <w:r>
        <w:t xml:space="preserve"> </w:t>
      </w:r>
      <w:r>
        <w:t xml:space="preserve">em finanças e criptoativos</w:t>
      </w:r>
    </w:p>
    <w:p>
      <w:pPr>
        <w:pStyle w:val="FirstParagraph"/>
      </w:pPr>
      <w:r>
        <w:t xml:space="preserve">O mercado de criptoativos, caracterizado por sua natureza dinâmica e alta complexidade, tornou-se um campo de interesse para a aplicação de algoritmos de aprendizado de máquina</w:t>
      </w:r>
      <w:r>
        <w:t xml:space="preserve"> </w:t>
      </w:r>
      <w:r>
        <w:t xml:space="preserve">. De acordo com , esses algoritmos apresentam um desempenho superior aos modelos tradicionais de séries temporais na previsão de taxas de câmbio e preços de fechamento diários das moedas digitais mais capitalizadas. Nesse contexto, ressaltam que o desenvolvimento de modelos preditivos inteligentes é considerado uma necessidade fundamental para a tomada de decisão estratégica e para a otimização de portfólios em um ambiente financeiro globalizado.</w:t>
      </w:r>
    </w:p>
    <w:p>
      <w:pPr>
        <w:pStyle w:val="BodyText"/>
      </w:pPr>
      <w:r>
        <w:t xml:space="preserve">Um dos maiores desafios enfrentados pelos investidores nesse setor é a volatilidade extrema, que chega a ser significativamente superior à observada em mercados convencionais de ações ou ouro</w:t>
      </w:r>
      <w:r>
        <w:t xml:space="preserve"> </w:t>
      </w:r>
      <w:r>
        <w:t xml:space="preserve">. explicam que o mercado de criptomoedas é marcado por fortes flutuações de preços ao longo do tempo, o que exige ferramentas capazes de lidar com dados não estacionários para garantir soluções válidas. Além disso, a presença de eventos anômalos e extremos reforça a importância de técnicas robustas de aprendizado profundo para identificar padrões ocultos e mitigar riscos em períodos de incerteza, conforme e .</w:t>
      </w:r>
    </w:p>
    <w:p>
      <w:pPr>
        <w:pStyle w:val="BodyText"/>
      </w:pPr>
      <w:r>
        <w:t xml:space="preserve">No âmbito das operações de</w:t>
      </w:r>
      <w:r>
        <w:t xml:space="preserve"> </w:t>
      </w:r>
      <w:r>
        <w:rPr>
          <w:i/>
          <w:iCs/>
        </w:rPr>
        <w:t xml:space="preserve">trading</w:t>
      </w:r>
      <w:r>
        <w:t xml:space="preserve">, a previsão precisa dos movimentos de preços permite que investidores financeiros reduzam seus riscos ao estabelecer políticas de investimento mais adequadas</w:t>
      </w:r>
      <w:r>
        <w:t xml:space="preserve"> </w:t>
      </w:r>
      <w:r>
        <w:t xml:space="preserve">. Modelos baseados em aprendizado de máquina auxiliam na identificação de momentos ideais para a compra e venda de ativos, integrando informações históricas de preços com indicadores técnicos, como médias móveis</w:t>
      </w:r>
      <w:r>
        <w:t xml:space="preserve"> </w:t>
      </w:r>
      <w:r>
        <w:t xml:space="preserve">. Conforme demonstram , a utilização de conjuntos de modelos (ensembles) pode gerar estratégias de negociação lucrativas mesmo sob condições adversas de mercado, superando estratégias passivas tradicionais.</w:t>
      </w:r>
    </w:p>
    <w:p>
      <w:pPr>
        <w:pStyle w:val="BodyText"/>
      </w:pPr>
      <w:r>
        <w:t xml:space="preserve">Fatores comportamentais e externos também desempenham um papel crucial na formação de preços dos ativos digitais. destacam a ocorrência frequente de comportamentos de manada e ineficiências de mercado, que podem causar turbulências prolongadas devido a quebras estruturais. Diante disso, apontam que a análise de sentimento extraída de mídias sociais e plataformas de microblogs constitui um fator relevante que pode influenciar diretamente o volume de negociação e a volatilidade do mercado de criptomoedas.</w:t>
      </w:r>
    </w:p>
    <w:p>
      <w:pPr>
        <w:pStyle w:val="BodyText"/>
      </w:pPr>
      <w:r>
        <w:t xml:space="preserve">Por fim, a alocação de criptoativos e o uso de consultores automatizados (</w:t>
      </w:r>
      <w:r>
        <w:rPr>
          <w:i/>
          <w:iCs/>
        </w:rPr>
        <w:t xml:space="preserve">robot advisors</w:t>
      </w:r>
      <w:r>
        <w:t xml:space="preserve">) têm se expandido para tornar os mercados mais transparentes e reduzir custos operacionais</w:t>
      </w:r>
      <w:r>
        <w:t xml:space="preserve"> </w:t>
      </w:r>
      <w:r>
        <w:t xml:space="preserve">. Entretanto, embora os modelos de aprendizado de máquina apresentem alta acurácia na otimização de carteiras, eles costumam operar como "caixas-pretas", o que dificulta a compreensão das razões lógicas por trás das decisões de alocação</w:t>
      </w:r>
      <w:r>
        <w:t xml:space="preserve"> </w:t>
      </w:r>
      <w:r>
        <w:t xml:space="preserve">. Para superar essa barreira, propõem sistemas de negociação inteligentes que integram conhecimentos econômicos sobre turbulência de mercado para maximizar recompensas e emitir alerta sobre investimentos de alto risco.</w:t>
      </w:r>
    </w:p>
    <w:bookmarkEnd w:id="36"/>
    <w:bookmarkEnd w:id="37"/>
    <w:bookmarkStart w:id="42" w:name="sec_teoria_moderna_de_portfolio"/>
    <w:p>
      <w:pPr>
        <w:pStyle w:val="Heading2"/>
      </w:pPr>
      <w:r>
        <w:t xml:space="preserve">Teoria Moderna de Portfólio</w:t>
      </w:r>
    </w:p>
    <w:bookmarkStart w:id="38" w:name="X7700d2dd97c02f66562c21ffa4a0374a94320da"/>
    <w:p>
      <w:pPr>
        <w:pStyle w:val="Heading3"/>
      </w:pPr>
      <w:r>
        <w:t xml:space="preserve">Fundamentos da teoria moderna de portfólio</w:t>
      </w:r>
    </w:p>
    <w:p>
      <w:pPr>
        <w:pStyle w:val="FirstParagraph"/>
      </w:pPr>
      <w:r>
        <w:t xml:space="preserve">A gestão de portfólio caracteriza-se como um processo analítico voltado à seleção e alocação de um grupo de ativos financeiros, no qual a distribuição dos investimentos é ajustada continuamente visando otimizar o retorno esperado e a tolerância ao risco</w:t>
      </w:r>
      <w:r>
        <w:t xml:space="preserve"> </w:t>
      </w:r>
      <w:r>
        <w:t xml:space="preserve">. O alicerce dessa prática reside no modelo de média-variância (MV) proposto originalmente em 1952, que é considerado a base da teoria de portfólio e permanece como uma referência amplamente reconhecida na gestão de investimentos</w:t>
      </w:r>
      <w:r>
        <w:t xml:space="preserve"> </w:t>
      </w:r>
      <w:r>
        <w:t xml:space="preserve">.</w:t>
      </w:r>
    </w:p>
    <w:p>
      <w:pPr>
        <w:pStyle w:val="BodyText"/>
      </w:pPr>
      <w:r>
        <w:t xml:space="preserve">O trabalho seminal de é apontado como o marco inicial da teoria financeira moderna, introduzindo uma solução matemática para gerenciar o dilema entre a busca pelo maior retorno possível e a redução do risco associado ao investimento</w:t>
      </w:r>
      <w:r>
        <w:t xml:space="preserve"> </w:t>
      </w:r>
      <w:r>
        <w:t xml:space="preserve">. De acordo com , a formulação desse modelo fundamenta-se na estruturação de carteiras de investimento que buscam maximizar as expectativas de ganho ao mesmo tempo, em que mitigam a exposição ao risco.</w:t>
      </w:r>
    </w:p>
    <w:p>
      <w:pPr>
        <w:pStyle w:val="BodyText"/>
      </w:pPr>
      <w:r>
        <w:t xml:space="preserve">Do ponto de vista comportamental e de mercado, destacam que a Teoria Moderna de Portfólio parte da premissa de que os investidores são racionais e avessos ao risco, buscando composições de carteira que otimizem a relação entre retorno esperado e risco. Nesse contexto, o modelo média-variância de Markowitz avalia os ativos de forma conjunta, considerando a covariância entre eles, e a variância dos retornos. De tal maneira, o modelo MV busca combinações de carteira que gerem mitigação dos riscos. Tendo em vista essa otimização, são preferíveis os ativos que apresentam baixa covariância ou até covariância negativa entre si</w:t>
      </w:r>
      <w:r>
        <w:t xml:space="preserve"> </w:t>
      </w:r>
      <w:r>
        <w:t xml:space="preserve">.</w:t>
      </w:r>
    </w:p>
    <w:bookmarkEnd w:id="38"/>
    <w:bookmarkStart w:id="39" w:name="Xe8dd861c84da38716d31e01182f5d2bb25bf3da"/>
    <w:p>
      <w:pPr>
        <w:pStyle w:val="Heading3"/>
      </w:pPr>
      <w:r>
        <w:t xml:space="preserve">Modelo média-variância de Markowitz</w:t>
      </w:r>
    </w:p>
    <w:p>
      <w:pPr>
        <w:pStyle w:val="FirstParagraph"/>
      </w:pPr>
      <w:r>
        <w:t xml:space="preserve">O modelo MV fundamenta-se na utilização da média e da variância, extraídas de preços históricos, para mensurar o retorno esperado e o risco de uma carteira</w:t>
      </w:r>
      <w:r>
        <w:t xml:space="preserve"> </w:t>
      </w:r>
      <w:r>
        <w:t xml:space="preserve">. apontam que essa abordagem estabelece uma estrutura de otimização baseada em objetivos conflitantes, buscando maximizar o retorno enquanto se minimiza a variância, que atua como a métrica representativa do risco.</w:t>
      </w:r>
    </w:p>
    <w:p>
      <w:pPr>
        <w:pStyle w:val="BodyText"/>
      </w:pPr>
      <w:r>
        <w:t xml:space="preserve">Sendo assim, o risco é definido pela variação dos retornos em relação à sua média aritmética</w:t>
      </w:r>
      <w:r>
        <w:t xml:space="preserve"> </w:t>
      </w:r>
      <w:r>
        <w:t xml:space="preserve">. Consequentemente, o processo de seleção de ativos por parte do investidor deve priorizar opções que entreguem a menor variância para um nível de retorno específico, ou inversamente, opções que gerem um maior retorno para um determinado limiar de risco pré-estabelecido pelo investidor</w:t>
      </w:r>
      <w:r>
        <w:t xml:space="preserve"> </w:t>
      </w:r>
      <w:r>
        <w:t xml:space="preserve">. A equação </w:t>
      </w:r>
      <w:hyperlink w:anchor="eq:risco-carteira">
        <w:r>
          <w:rPr>
            <w:rStyle w:val="Hyperlink"/>
          </w:rPr>
          <w:t xml:space="preserve">[eq:risco-carteira]</w:t>
        </w:r>
      </w:hyperlink>
      <w:r>
        <w:t xml:space="preserve"> </w:t>
      </w:r>
      <w:r>
        <w:t xml:space="preserve">mostra que o risco da carteira é composto tanto pela variância individual dos ativos quanto pela interação entre eles, representada pelo coeficiente de correlação</w:t>
      </w:r>
      <w:r>
        <w:t xml:space="preserve"> </w:t>
      </w:r>
      <m:oMath>
        <m:sSub>
          <m:e>
            <m:r>
              <m:t>ρ</m:t>
            </m:r>
          </m:e>
          <m:sub>
            <m:r>
              <m:t>i</m:t>
            </m:r>
            <m:r>
              <m:rPr>
                <m:sty m:val="p"/>
              </m:rPr>
              <m:t>,</m:t>
            </m:r>
            <m:r>
              <m:t>j</m:t>
            </m:r>
          </m:sub>
        </m:sSub>
      </m:oMath>
      <w:r>
        <w:t xml:space="preserve"> </w:t>
      </w:r>
      <w:r>
        <w:t xml:space="preserve">e pelos desvios padrão</w:t>
      </w:r>
      <w:r>
        <w:t xml:space="preserve"> </w:t>
      </w:r>
      <m:oMath>
        <m:sSub>
          <m:e>
            <m:r>
              <m:t>σ</m:t>
            </m:r>
          </m:e>
          <m:sub>
            <m:r>
              <m:t>i</m:t>
            </m:r>
          </m:sub>
        </m:sSub>
      </m:oMath>
      <w:r>
        <w:t xml:space="preserve"> </w:t>
      </w:r>
      <w:r>
        <w:t xml:space="preserve">e</w:t>
      </w:r>
      <w:r>
        <w:t xml:space="preserve"> </w:t>
      </w:r>
      <m:oMath>
        <m:sSub>
          <m:e>
            <m:r>
              <m:t>σ</m:t>
            </m:r>
          </m:e>
          <m:sub>
            <m:r>
              <m:t>j</m:t>
            </m:r>
          </m:sub>
        </m:sSub>
      </m:oMath>
      <w:r>
        <w:t xml:space="preserve">. Nessa formulação,</w:t>
      </w:r>
      <w:r>
        <w:t xml:space="preserve"> </w:t>
      </w:r>
      <m:oMath>
        <m:sSub>
          <m:e>
            <m:r>
              <m:rPr>
                <m:sty m:val="p"/>
              </m:rPr>
              <m:t>W</m:t>
            </m:r>
          </m:e>
          <m:sub>
            <m:r>
              <m:t>i</m:t>
            </m:r>
          </m:sub>
        </m:sSub>
      </m:oMath>
      <w:r>
        <w:t xml:space="preserve"> </w:t>
      </w:r>
      <w:r>
        <w:t xml:space="preserve">representa o peso, isto é, a participação de cada ativo na carteira, e</w:t>
      </w:r>
      <w:r>
        <w:t xml:space="preserve"> </w:t>
      </w:r>
      <m:oMath>
        <m:r>
          <m:rPr>
            <m:sty m:val="p"/>
          </m:rPr>
          <m:t>N</m:t>
        </m:r>
      </m:oMath>
      <w:r>
        <w:t xml:space="preserve"> </w:t>
      </w:r>
      <w:r>
        <w:t xml:space="preserve">representa o número de ativos considerados</w:t>
      </w:r>
      <w:r>
        <w:t xml:space="preserve"> </w:t>
      </w:r>
      <w:r>
        <w:t xml:space="preserve">.</w:t>
      </w:r>
    </w:p>
    <w:p>
      <w:pPr>
        <w:pStyle w:val="BodyText"/>
      </w:pPr>
      <m:oMathPara>
        <m:oMathParaPr>
          <m:jc m:val="center"/>
        </m:oMathParaPr>
        <m:oMath>
          <m:sSub>
            <m:e>
              <m:r>
                <m:t>σ</m:t>
              </m:r>
            </m:e>
            <m:sub>
              <m:r>
                <m:t>p</m:t>
              </m:r>
            </m:sub>
          </m:sSub>
          <m:r>
            <m:rPr>
              <m:sty m:val="p"/>
            </m:rPr>
            <m:t>=</m:t>
          </m:r>
          <m:sSup>
            <m:e>
              <m:d>
                <m:dPr>
                  <m:begChr m:val="["/>
                  <m:sepChr m:val=""/>
                  <m:endChr m:val="]"/>
                  <m:grow/>
                </m:dPr>
                <m:e>
                  <m:nary>
                    <m:naryPr>
                      <m:chr m:val="∑"/>
                      <m:limLoc m:val="undOvr"/>
                      <m:subHide m:val="off"/>
                      <m:supHide m:val="off"/>
                    </m:naryPr>
                    <m:sub>
                      <m:r>
                        <m:t>i</m:t>
                      </m:r>
                      <m:r>
                        <m:rPr>
                          <m:sty m:val="p"/>
                        </m:rPr>
                        <m:t>=</m:t>
                      </m:r>
                      <m:r>
                        <m:t>1</m:t>
                      </m:r>
                    </m:sub>
                    <m:sup>
                      <m:r>
                        <m:t>N</m:t>
                      </m:r>
                    </m:sup>
                    <m:e>
                      <m:sSubSup>
                        <m:e>
                          <m:r>
                            <m:t>W</m:t>
                          </m:r>
                        </m:e>
                        <m:sub>
                          <m:r>
                            <m:t>i</m:t>
                          </m:r>
                        </m:sub>
                        <m:sup>
                          <m:r>
                            <m:t>2</m:t>
                          </m:r>
                        </m:sup>
                      </m:sSubSup>
                    </m:e>
                  </m:nary>
                  <m:sSubSup>
                    <m:e>
                      <m:r>
                        <m:t>σ</m:t>
                      </m:r>
                    </m:e>
                    <m:sub>
                      <m:r>
                        <m:t>i</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N</m:t>
                          </m:r>
                        </m:sup>
                        <m:e>
                          <m:sSub>
                            <m:e>
                              <m:r>
                                <m:t>W</m:t>
                              </m:r>
                            </m:e>
                            <m:sub>
                              <m:r>
                                <m:t>i</m:t>
                              </m:r>
                            </m:sub>
                          </m:sSub>
                        </m:e>
                      </m:nary>
                    </m:e>
                  </m:nary>
                  <m:sSub>
                    <m:e>
                      <m:r>
                        <m:t>W</m:t>
                      </m:r>
                    </m:e>
                    <m:sub>
                      <m:r>
                        <m:t>j</m:t>
                      </m:r>
                    </m:sub>
                  </m:sSub>
                  <m:sSub>
                    <m:e>
                      <m:r>
                        <m:t>ρ</m:t>
                      </m:r>
                    </m:e>
                    <m:sub>
                      <m:r>
                        <m:t>i</m:t>
                      </m:r>
                      <m:r>
                        <m:rPr>
                          <m:sty m:val="p"/>
                        </m:rPr>
                        <m:t>,</m:t>
                      </m:r>
                      <m:r>
                        <m:t>j</m:t>
                      </m:r>
                    </m:sub>
                  </m:sSub>
                  <m:sSub>
                    <m:e>
                      <m:r>
                        <m:t>σ</m:t>
                      </m:r>
                    </m:e>
                    <m:sub>
                      <m:r>
                        <m:t>i</m:t>
                      </m:r>
                    </m:sub>
                  </m:sSub>
                  <m:sSub>
                    <m:e>
                      <m:r>
                        <m:t>σ</m:t>
                      </m:r>
                    </m:e>
                    <m:sub>
                      <m:r>
                        <m:t>j</m:t>
                      </m:r>
                    </m:sub>
                  </m:sSub>
                </m:e>
              </m:d>
            </m:e>
            <m:sup>
              <m:r>
                <m:t>1</m:t>
              </m:r>
              <m:r>
                <m:rPr>
                  <m:sty m:val="p"/>
                </m:rPr>
                <m:t>/</m:t>
              </m:r>
              <m:r>
                <m:t>2</m:t>
              </m:r>
            </m:sup>
          </m:sSup>
        </m:oMath>
      </m:oMathPara>
    </w:p>
    <w:p>
      <w:pPr>
        <w:pStyle w:val="FirstParagraph"/>
      </w:pPr>
      <w:r>
        <w:t xml:space="preserve">São dois os tipos de risco, o risco sistemático e o risco diversificável ou não sistemático, definem risco sistemático como um risco que impacta um alto volume de ativos de forma maior ou menor, ja o não sistemático é aquele que afeta somente um ou um pequeno grupo de ativos. pontua que o risco sistemático decorre de natureza política, econômica e social, e que cada ativo se comporta diferentemente em resposta a conjuntura. De tal forma, sendo o risco sistemático um risco inerente a todos os ativos negociados no mercado, não é possível se proteger dele por completo, visto que a diversificação é eficiente somente com relação ao risco diversificável</w:t>
      </w:r>
      <w:r>
        <w:t xml:space="preserve"> </w:t>
      </w:r>
      <w:r>
        <w:t xml:space="preserve">. O risco total, que é usualmente mensurado pela variância do ativo, é, em essência, composto pelo risco sistemático e não sistemático</w:t>
      </w:r>
      <w:r>
        <w:t xml:space="preserve"> </w:t>
      </w:r>
      <w:r>
        <w:t xml:space="preserve">.</w:t>
      </w:r>
    </w:p>
    <w:bookmarkEnd w:id="39"/>
    <w:bookmarkStart w:id="40" w:name="X1086fcab6153e98cdc0feb7ce46f9da9c2ec163"/>
    <w:p>
      <w:pPr>
        <w:pStyle w:val="Heading3"/>
      </w:pPr>
      <w:r>
        <w:t xml:space="preserve">Diversificação e fronteira eficiente</w:t>
      </w:r>
    </w:p>
    <w:p>
      <w:pPr>
        <w:pStyle w:val="FirstParagraph"/>
      </w:pPr>
      <w:r>
        <w:t xml:space="preserve">O propósito central da diversificação de portfólios consiste em estruturar uma combinação de ativos que apresentem correlação nula ou moderada entre si, para maximizar os retornos ajustados ao risco do investimento</w:t>
      </w:r>
      <w:r>
        <w:t xml:space="preserve"> </w:t>
      </w:r>
      <w:r>
        <w:t xml:space="preserve">. A diversificação atua não apenas como um mecanismo de mitigação da exposição ao risco, mas também como um impulsionador para a obtenção de rentabilidade superior</w:t>
      </w:r>
      <w:r>
        <w:t xml:space="preserve"> </w:t>
      </w:r>
      <w:r>
        <w:t xml:space="preserve">. Essa estratégia demonstra eficácia empírica mesmo quando incorpora classes de ativos caracterizadas por elevada volatilidade na composição da carteira</w:t>
      </w:r>
      <w:r>
        <w:t xml:space="preserve"> </w:t>
      </w:r>
      <w:r>
        <w:t xml:space="preserve">.</w:t>
      </w:r>
    </w:p>
    <w:p>
      <w:pPr>
        <w:pStyle w:val="BodyText"/>
      </w:pPr>
      <w:r>
        <w:t xml:space="preserve">Sob a ótica do modelo de média-variância (MV), a formulação matemática configura-se como um problema de otimização multiobjetivo, cujo resultado é um conjunto de soluções ótimas denominado fronteira eficiente de investimentos</w:t>
      </w:r>
      <w:r>
        <w:t xml:space="preserve"> </w:t>
      </w:r>
      <w:r>
        <w:t xml:space="preserve">. Essa fronteira delimita a carteira de ativos capaz de alcançar o patamar máximo de retorno esperado para um dado limite mínimo de risco estabelecido, indicando as estratégias de alocação mais eficientes para qualquer nível de retorno desejado pelo investidor</w:t>
      </w:r>
      <w:r>
        <w:t xml:space="preserve"> </w:t>
      </w:r>
      <w:r>
        <w:t xml:space="preserve">.</w:t>
      </w:r>
    </w:p>
    <w:p>
      <w:pPr>
        <w:pStyle w:val="BodyText"/>
      </w:pPr>
      <w:r>
        <w:t xml:space="preserve">A otimização de carteiras é a técnica voltada à extração do benefício máximo derivado da alocação de recursos financeiros, respeitando estritamente o perfil de risco-retorno do investidor</w:t>
      </w:r>
      <w:r>
        <w:t xml:space="preserve"> </w:t>
      </w:r>
      <w:r>
        <w:t xml:space="preserve">. O procedimento requer o ajuste percentual do peso de cada ativo visando, em termos estatísticos, a minimização da variância ou desvio padrão e a maximização da média dos retornos</w:t>
      </w:r>
      <w:r>
        <w:t xml:space="preserve"> </w:t>
      </w:r>
      <w:r>
        <w:t xml:space="preserve">. Profissionais de investimento exploram o potencial de diferentes ativos por meio de simulações e da aplicação de cenários de restrição sobre os pesos de alocação</w:t>
      </w:r>
      <w:r>
        <w:t xml:space="preserve"> </w:t>
      </w:r>
      <w:r>
        <w:t xml:space="preserve">.</w:t>
      </w:r>
    </w:p>
    <w:p>
      <w:pPr>
        <w:pStyle w:val="BodyText"/>
      </w:pPr>
      <w:r>
        <w:t xml:space="preserve">Do ponto de vista empírico, a determinação da ponderação ideal utiliza frequentemente a maximização do Índice de Sharpe como objetivo principal, método que origina o que a literatura técnica denomina como carteira de tangência</w:t>
      </w:r>
      <w:r>
        <w:t xml:space="preserve"> </w:t>
      </w:r>
      <w:r>
        <w:t xml:space="preserve">. As modelagens aplicam restrições orçamentárias unitárias, permitindo o posicionamento do investidor em ativos arbitrários dentro dos limites impostos pelo cenário</w:t>
      </w:r>
      <w:r>
        <w:t xml:space="preserve"> </w:t>
      </w:r>
      <w:r>
        <w:t xml:space="preserve">. Contudo, a aplicação dessa técnica em múltiplos ativos de alto risco pode gerar carteiras ótimas compostas por uma abundância de frações diminutas (pesos de pequena escala), impondo barreiras práticas para a implementação da estratégia, especialmente no caso de investidores individuais</w:t>
      </w:r>
      <w:r>
        <w:t xml:space="preserve"> </w:t>
      </w:r>
      <w:r>
        <w:t xml:space="preserve">.</w:t>
      </w:r>
    </w:p>
    <w:bookmarkEnd w:id="40"/>
    <w:bookmarkStart w:id="41" w:name="X2c361dc9ce6f37c56ce844a50dc5550bebf305e"/>
    <w:p>
      <w:pPr>
        <w:pStyle w:val="Heading3"/>
      </w:pPr>
      <w:r>
        <w:t xml:space="preserve">Aplicação da média-variância em criptoativos</w:t>
      </w:r>
    </w:p>
    <w:p>
      <w:pPr>
        <w:pStyle w:val="FirstParagraph"/>
      </w:pPr>
      <w:r>
        <w:t xml:space="preserve">A integração crescente das criptomoedas na alocação de capital impõe a verificação sobre os reais benefícios de otimização que esses ativos conferem às carteiras</w:t>
      </w:r>
      <w:r>
        <w:t xml:space="preserve"> </w:t>
      </w:r>
      <w:r>
        <w:t xml:space="preserve">. A característica de descorrelação do</w:t>
      </w:r>
      <w:r>
        <w:t xml:space="preserve"> </w:t>
      </w:r>
      <w:r>
        <w:rPr>
          <w:i/>
          <w:iCs/>
        </w:rPr>
        <w:t xml:space="preserve">Bitcoin</w:t>
      </w:r>
      <w:r>
        <w:t xml:space="preserve"> </w:t>
      </w:r>
      <w:r>
        <w:t xml:space="preserve">em relação aos ativos financeiros convencionais sinaliza uma vantagem potencial de diversificação quando adicionado a portfólios previamente diversificados</w:t>
      </w:r>
      <w:r>
        <w:t xml:space="preserve"> </w:t>
      </w:r>
      <w:r>
        <w:t xml:space="preserve">. Estudos reportam que a inserção de</w:t>
      </w:r>
      <w:r>
        <w:t xml:space="preserve"> </w:t>
      </w:r>
      <w:r>
        <w:rPr>
          <w:i/>
          <w:iCs/>
        </w:rPr>
        <w:t xml:space="preserve">Bitcoin</w:t>
      </w:r>
      <w:r>
        <w:t xml:space="preserve">, mesmo em proporções marginais, produz resultados na relação média-variância superiores aos de carteiras compostas estritamente por ativos tradicionais</w:t>
      </w:r>
      <w:r>
        <w:t xml:space="preserve"> </w:t>
      </w:r>
      <w:r>
        <w:t xml:space="preserve">.</w:t>
      </w:r>
    </w:p>
    <w:p>
      <w:pPr>
        <w:pStyle w:val="BodyText"/>
      </w:pPr>
      <w:r>
        <w:t xml:space="preserve">Análises evidenciam que portfólios híbridos, compostos por ativos convencionais e criptomoedas, exibem um Índice de Sharpe superior em avaliações</w:t>
      </w:r>
      <w:r>
        <w:t xml:space="preserve"> </w:t>
      </w:r>
      <w:r>
        <w:rPr>
          <w:i/>
          <w:iCs/>
        </w:rPr>
        <w:t xml:space="preserve">ex-post</w:t>
      </w:r>
      <w:r>
        <w:t xml:space="preserve"> </w:t>
      </w:r>
      <w:r>
        <w:t xml:space="preserve">e comportamentos mais estáveis em projeções</w:t>
      </w:r>
      <w:r>
        <w:t xml:space="preserve"> </w:t>
      </w:r>
      <w:r>
        <w:rPr>
          <w:i/>
          <w:iCs/>
        </w:rPr>
        <w:t xml:space="preserve">ex-ante</w:t>
      </w:r>
      <w:r>
        <w:t xml:space="preserve"> </w:t>
      </w:r>
      <w:r>
        <w:t xml:space="preserve">. Além das melhorias de desempenho estatístico, a alocação em criptoativos funciona como uma camada de proteção adicional para o investidor frente aos riscos atrelados a políticas monetárias que afetam o mercado de moedas fiduciárias tradicionais</w:t>
      </w:r>
      <w:r>
        <w:t xml:space="preserve"> </w:t>
      </w:r>
      <w:r>
        <w:t xml:space="preserve">.</w:t>
      </w:r>
    </w:p>
    <w:bookmarkEnd w:id="41"/>
    <w:bookmarkEnd w:id="42"/>
    <w:bookmarkEnd w:id="43"/>
    <w:bookmarkStart w:id="48" w:name="chap_estudos_relacionados"/>
    <w:p>
      <w:pPr>
        <w:pStyle w:val="Heading1"/>
      </w:pPr>
      <w:r>
        <w:t xml:space="preserve">Estudos relacionados</w:t>
      </w:r>
    </w:p>
    <w:bookmarkStart w:id="44" w:name="Xbde24ad8957f859bf2e6465f0aea3e2c1395725"/>
    <w:p>
      <w:pPr>
        <w:pStyle w:val="Heading2"/>
      </w:pPr>
      <w:r>
        <w:t xml:space="preserve">Estudos sobre machine learning aplicado à otimização de portfólios</w:t>
      </w:r>
    </w:p>
    <w:p>
      <w:pPr>
        <w:pStyle w:val="FirstParagraph"/>
      </w:pPr>
      <w:r>
        <w:t xml:space="preserve">Os estudos analisados sobre otimização de portfólios mostram que modelos preditivos vêm sendo combinados com métodos tradicionais de alocação de recursos. Em geral, essa combinação ocorre em duas etapas: primeiro, algoritmos de machine learning ou deep learning são usados para prever preços, retornos ou movimentos futuros dos ativos; depois, essas previsões são incorporadas a modelos de seleção e otimização de carteiras, especialmente ao modelo média-variância de Markowitz</w:t>
      </w:r>
      <w:r>
        <w:t xml:space="preserve"> </w:t>
      </w:r>
      <w:r>
        <w:t xml:space="preserve">. Embora esses estudos tratem principalmente de ações e índices, sua lógica metodológica se aproxima do tema deste anteprojeto, pois combina previsão algorítmica e diversificação de portfólios.</w:t>
      </w:r>
    </w:p>
    <w:p>
      <w:pPr>
        <w:pStyle w:val="BodyText"/>
      </w:pPr>
      <w:r>
        <w:t xml:space="preserve">A previsão aparece como uma etapa importante porque fornece informações para a montagem posterior da carteira. combinam previsão de preços por machine learning com a definição dos pesos da carteira pelo modelo média-variância. também relacionam previsões de retorno à otimização de portfólios, destacando que modelos de machine learning e deep learning podem apresentar desempenho preditivo mais favorável do que modelos tradicionais de séries temporais. De forma semelhante, utilizam LSTM para capturar dependências de longo prazo nos retornos dos ativos e, em seguida, formar carteiras otimizadas pelo critério média-variância.</w:t>
      </w:r>
    </w:p>
    <w:p>
      <w:pPr>
        <w:pStyle w:val="BodyText"/>
      </w:pPr>
      <w:r>
        <w:t xml:space="preserve">Além da previsão, os estudos destacam a pré-seleção de ativos antes da alocação final. selecionam ativos com maior potencial de retorno a partir dos preços previstos, enquanto utilizam modelos preditivos para filtrar ativos antes de aplicar os modelos média-variância e ômega. também enfatizam a seleção inicial dos ativos que irão compor a carteira. Assim, a pré-seleção por algoritmos funciona como uma etapa intermediária entre a previsão e a otimização, direcionando a alocação para ativos com maior potencial estimado</w:t>
      </w:r>
      <w:r>
        <w:t xml:space="preserve"> </w:t>
      </w:r>
      <w:r>
        <w:t xml:space="preserve">.</w:t>
      </w:r>
    </w:p>
    <w:p>
      <w:pPr>
        <w:pStyle w:val="BodyText"/>
      </w:pPr>
      <w:r>
        <w:t xml:space="preserve">Quanto ao desempenho, os estudos sugerem que a combinação entre previsão e otimização pode gerar resultados mais favoráveis do que estratégias sem etapa preditiva. , em estudo aplicado à Bolsa de Xangai, reportam melhores resultados em retorno e risco quando comparados a métodos tradicionais sem previsão e a diferentes benchmarks. identificam desempenho mais favorável nos modelos média-variância e ômega quando combinados com previsões de Random Forest. , por sua vez, indicam que a estratégia LSTM + MV apresentou melhorias em retorno cumulativo e retorno ajustado ao risco na maior parte dos períodos analisados.</w:t>
      </w:r>
    </w:p>
    <w:p>
      <w:pPr>
        <w:pStyle w:val="BodyText"/>
      </w:pPr>
      <w:r>
        <w:t xml:space="preserve">também tratam dessa integração ao combinar seleção de portfólio e aprendizado de máquina. Nesse estudo, a abordagem média-variância é usada para reduzir o risco por meio da construção de uma carteira ótima, enquanto técnicas de aprendizado online são aplicadas para prever movimentos futuros de preços. A partir do material disponível, também podem ser associados a esse eixo, pois tratam de uma abordagem de fusão entre machine learning e seleção de portfólio para tomada de decisão em negociações financeiras. Contudo, os dados fornecidos não apresentam detalhes suficientes sobre seus métodos e resultados para uma comparação mais aprofundada.</w:t>
      </w:r>
    </w:p>
    <w:p>
      <w:pPr>
        <w:pStyle w:val="BodyText"/>
      </w:pPr>
      <w:r>
        <w:t xml:space="preserve">De modo geral, os estudos analisados indicam que o machine learning tem sido usado na otimização de portfólios principalmente para prever retornos ou preços, selecionar ativos promissores e buscar melhor desempenho após a alocação matemática</w:t>
      </w:r>
      <w:r>
        <w:t xml:space="preserve"> </w:t>
      </w:r>
      <w:r>
        <w:t xml:space="preserve">. Ainda assim, os resultados devem ser analisados com cautela, pois o material disponível aponta limitações como elevada rotatividade das carteiras, custos de transação capazes de reduzir parte dos lucros, concentração dos testes em mercados específicos e uso predominante da variância como métrica de risco, com menor atenção a medidas como VaR e CVaR</w:t>
      </w:r>
      <w:r>
        <w:t xml:space="preserve"> </w:t>
      </w:r>
      <w:r>
        <w:t xml:space="preserve">.</w:t>
      </w:r>
    </w:p>
    <w:bookmarkEnd w:id="44"/>
    <w:bookmarkStart w:id="45" w:name="Xc0f86ccf0b6e16f13c43480d7143dedd2c306d2"/>
    <w:p>
      <w:pPr>
        <w:pStyle w:val="Heading2"/>
      </w:pPr>
      <w:r>
        <w:t xml:space="preserve">Estudos sobre média-variância e Markowitz em criptoativos</w:t>
      </w:r>
    </w:p>
    <w:p>
      <w:pPr>
        <w:pStyle w:val="FirstParagraph"/>
      </w:pPr>
      <w:r>
        <w:t xml:space="preserve">Enquanto os estudos anteriores mostram o uso de previsões algorítmicas na otimização de carteiras, a literatura sobre criptoativos permite observar como o modelo média-variância se comporta em um mercado mais volátil. A Teoria Moderna de Portfólio tem sido usada para avaliar os efeitos da diversificação sobre a relação entre risco e retorno em carteiras formadas por criptomoedas ou por combinações entre ativos digitais e ativos tradicionais</w:t>
      </w:r>
      <w:r>
        <w:t xml:space="preserve"> </w:t>
      </w:r>
      <w:r>
        <w:t xml:space="preserve">. Nesse contexto, o modelo de Markowitz aparece tanto como instrumento para avaliar benefícios de diversificação quanto como método para definir pesos otimizados segundo o critério média-variância</w:t>
      </w:r>
      <w:r>
        <w:t xml:space="preserve"> </w:t>
      </w:r>
      <w:r>
        <w:t xml:space="preserve">.</w:t>
      </w:r>
    </w:p>
    <w:p>
      <w:pPr>
        <w:pStyle w:val="BodyText"/>
      </w:pPr>
      <w:r>
        <w:t xml:space="preserve">A aplicação desse modelo ao mercado de criptoativos exige cautela. Os estudos analisados destacam que esse mercado apresenta elevada volatilidade, retornos não normais, correlações instáveis, dificuldade de previsão da dependência entre ativos e sensibilidade a fatores globais. Essas características podem limitar a aderência das premissas clássicas da média-variância</w:t>
      </w:r>
      <w:r>
        <w:t xml:space="preserve"> </w:t>
      </w:r>
      <w:r>
        <w:t xml:space="preserve">. Ainda assim, os resultados sobre diversificação sugerem que criptoativos podem contribuir para a redução de risco quando combinados entre si ou quando inseridos em carteiras com ativos tradicionais. apontam que a combinação de várias criptomoedas apresenta potencial de redução de risco, ampliando a análise para além da inclusão isolada de uma única moeda digital. , de modo complementar, indicam que portfólios compostos por criptomoedas e ativos tradicionais apresentam maior Índice de Sharpe em avaliação retrospectiva e desempenho mais estável em análise prospectiva.</w:t>
      </w:r>
    </w:p>
    <w:p>
      <w:pPr>
        <w:pStyle w:val="BodyText"/>
      </w:pPr>
      <w:r>
        <w:t xml:space="preserve">Apesar desse potencial, os estudos também apontam fragilidades da otimização média-variância clássica em carteiras de criptomoedas. observam que a estratégia de pesos iguais, representada pelo portfólio 1/N, supera criptomoedas individuais e mais de 75% dos portfólios ótimos de média-variância em termos de Índice de Sharpe e retornos equivalentes de certeza. Esse achado sugere que a otimização matemática tradicional nem sempre apresenta desempenho mais favorável do que estratégias simples de diversificação</w:t>
      </w:r>
      <w:r>
        <w:t xml:space="preserve"> </w:t>
      </w:r>
      <w:r>
        <w:t xml:space="preserve">. De forma próxima, apontam que o modelo de Markowitz pode concentrar a carteira em poucas criptomoedas, deixando a maior parte dos ativos fora da alocação, situação associada, segundo os autores, a limitações no uso do coeficiente de correlação e à geração restrita de portfólios possíveis.</w:t>
      </w:r>
    </w:p>
    <w:p>
      <w:pPr>
        <w:pStyle w:val="BodyText"/>
      </w:pPr>
      <w:r>
        <w:t xml:space="preserve">A relação entre risco e retorno reforça essas limitações. reportam que uma carteira baseada no modelo retorno-risco de Markowitz apresentou retorno estimado de 31,15% e risco de 39,05%, além de Índice de Sharpe médio pouco atrativo no portfólio selecionado. Os autores associam parte desse risco às fortes oscilações dos preços das criptomoedas e à influência de condições globais sobre o mercado. , por sua vez, destacam que a imaturidade estrutural do mercado e a dificuldade de prever a estrutura de correlação entre criptomoedas podem gerar underfitting nos modelos de risco, prejudicando a identificação adequada das dependências entre os ativos. Esses achados indicam que a volatilidade e a instabilidade das correlações podem limitar a aplicação isolada da média-variância no mercado cripto</w:t>
      </w:r>
      <w:r>
        <w:t xml:space="preserve"> </w:t>
      </w:r>
      <w:r>
        <w:t xml:space="preserve">.</w:t>
      </w:r>
    </w:p>
    <w:p>
      <w:pPr>
        <w:pStyle w:val="BodyText"/>
      </w:pPr>
      <w:r>
        <w:t xml:space="preserve">Essas limitações estão relacionadas às próprias premissas do modelo. reconhecem a existência de alternativas à otimização média-variância quando os retornos não seguem distribuição normal. também ressaltam que a Teoria Moderna de Portfólio, embora ofereça uma estrutura quantitativa para diversificação e análise da relação entre risco e retorno, pode ter sua aplicação prática restringida em mercados voláteis, não normais e sujeitos a correlações variáveis. Dessa forma, a literatura analisada sugere que Markowitz permanece como referência metodológica de alocação, mas apresenta limitações importantes quando aplicado diretamente a carteiras de criptoativos</w:t>
      </w:r>
      <w:r>
        <w:t xml:space="preserve"> </w:t>
      </w:r>
      <w:r>
        <w:t xml:space="preserve">.</w:t>
      </w:r>
    </w:p>
    <w:p>
      <w:pPr>
        <w:pStyle w:val="BodyText"/>
      </w:pPr>
      <w:r>
        <w:t xml:space="preserve">Nesse cenário, a incorporação de técnicas preditivas aparece como uma alternativa para lidar com parte dessas fragilidades. indicam que redes neurais, como LSTM, quando associadas à Teoria Moderna de Portfólio no mercado de criptomoedas, podem reduzir algumas limitações observadas no modelo clássico e gerar Índices de Sharpe mais elevados. Essa discussão reforça a relevância de investigar abordagens híbridas que combinem média-variância e machine learning, uma vez que os estudos apontam tanto o potencial da diversificação em criptoativos quanto os limites da aplicação isolada de Markowitz nesse mercado</w:t>
      </w:r>
      <w:r>
        <w:t xml:space="preserve"> </w:t>
      </w:r>
      <w:r>
        <w:t xml:space="preserve">.</w:t>
      </w:r>
    </w:p>
    <w:bookmarkEnd w:id="45"/>
    <w:bookmarkStart w:id="46" w:name="Xb4bdb9a3c6a743b26eaf04237d5ab87fb1537ea"/>
    <w:p>
      <w:pPr>
        <w:pStyle w:val="Heading2"/>
      </w:pPr>
      <w:r>
        <w:t xml:space="preserve">Estudos híbridos entre Markowitz, machine learning, deep learning e reinforcement learning</w:t>
      </w:r>
    </w:p>
    <w:p>
      <w:pPr>
        <w:pStyle w:val="FirstParagraph"/>
      </w:pPr>
      <w:r>
        <w:t xml:space="preserve">A partir das limitações da média-variância aplicada de forma isolada, parte da literatura passou a investigar modelos híbridos que combinam Markowitz com técnicas preditivas e adaptativas. Nos estudos analisados, a Teoria Moderna de Portfólio não é abandonada, mas utilizada como base de alocação à qual são incorporados algoritmos voltados a melhorar estimativas, selecionar ativos ou ajustar dinamicamente os pesos do portfólio</w:t>
      </w:r>
      <w:r>
        <w:t xml:space="preserve"> </w:t>
      </w:r>
      <w:r>
        <w:t xml:space="preserve">. Essa lógica se aproxima do presente anteprojeto, pois articula otimização média-variância e métodos computacionais voltados à previsão e à tomada de decisão em carteiras financeiras</w:t>
      </w:r>
      <w:r>
        <w:t xml:space="preserve"> </w:t>
      </w:r>
      <w:r>
        <w:t xml:space="preserve">.</w:t>
      </w:r>
    </w:p>
    <w:p>
      <w:pPr>
        <w:pStyle w:val="BodyText"/>
      </w:pPr>
      <w:r>
        <w:t xml:space="preserve">No primeiro grupo de estudos, a combinação entre Markowitz, machine learning e deep learning aparece associada à pré-seleção de ativos e à melhoria dos dados usados na otimização. combinam CNN, BiLSTM e modelo média-variância, utilizando previsões para selecionar previamente ações antes da formação do portfólio. , por sua vez, parte da limitação de que alocações média-variância são sensíveis a pequenos erros nas estimativas de médias e covariâncias, propondo o uso de redes A-LSTM para prever portfólios cointegrados antes da otimização. Em ambos os casos, os algoritmos preditivos funcionam como etapa anterior ou complementar ao modelo de Markowitz, buscando melhorar os dados usados na construção da carteira</w:t>
      </w:r>
      <w:r>
        <w:t xml:space="preserve"> </w:t>
      </w:r>
      <w:r>
        <w:t xml:space="preserve">.</w:t>
      </w:r>
    </w:p>
    <w:p>
      <w:pPr>
        <w:pStyle w:val="BodyText"/>
      </w:pPr>
      <w:r>
        <w:t xml:space="preserve">A previsão de retornos dentro da estrutura média-variância também aparece como eixo relevante. comparam carteiras construídas com retornos históricos e carteiras baseadas em retornos previstos por ARIMA-GARCH e XGBoost, considerando problemas de otimização voltados ao máximo índice de informação e à mínima variância global. Os achados indicam que o uso de retornos previstos pode melhorar a seleção de portfólio no modelo de Markowitz, mas essa solução não é universal e depende do controle cuidadoso de parâmetros e hiperparâmetros</w:t>
      </w:r>
      <w:r>
        <w:t xml:space="preserve"> </w:t>
      </w:r>
      <w:r>
        <w:t xml:space="preserve">. De forma complementar, discutem a integração de técnicas de machine learning à seleção de portfólio de Markowitz, destacando sua aplicação em processos como geração de alfa, gestão de risco e otimização de métricas como o CVaR.</w:t>
      </w:r>
    </w:p>
    <w:p>
      <w:pPr>
        <w:pStyle w:val="BodyText"/>
      </w:pPr>
      <w:r>
        <w:t xml:space="preserve">Uma vertente mais dinâmica é observada nos estudos que conectam Teoria Moderna de Portfólio e deep reinforcement learning. desenvolvem uma estrutura de DRL para seleção de portfólios em mercados financeiros complexos e de grande dimensão, incorporando aversão ao risco e custos de transação em uma função de recompensa baseada em uma extensão da média-variância de Markowitz. Nessa abordagem, o agente de aprendizado utiliza estados de mercado para treinar o modelo e ajustar a decisão de alocação, considerando risco e custos durante o processo de aprendizagem</w:t>
      </w:r>
      <w:r>
        <w:t xml:space="preserve"> </w:t>
      </w:r>
      <w:r>
        <w:t xml:space="preserve">. também conectam reinforcement learning e Teoria Moderna de Portfólio, utilizando decomposição tensorial para combinar entradas de diferentes dimensões e permitir alterações dinâmicas nos pesos da carteira conforme tendências de mercado.</w:t>
      </w:r>
    </w:p>
    <w:p>
      <w:pPr>
        <w:pStyle w:val="BodyText"/>
      </w:pPr>
      <w:r>
        <w:t xml:space="preserve">Comparativamente, os estudos baseados em machine learning e deep learning concentram-se na melhoria das previsões e dos dados de entrada usados pela média-variância. Já os estudos baseados em reinforcement learning ampliam a discussão para uma lógica de decisão sequencial e de alocação dinâmica da carteira</w:t>
      </w:r>
      <w:r>
        <w:t xml:space="preserve"> </w:t>
      </w:r>
      <w:r>
        <w:t xml:space="preserve">. Em termos de resultados, os modelos preditivos indicam potencial de aprimoramento da média-variância, com efeitos reportados sobre Índice de Sharpe, retorno médio, risco e lucratividade em diferentes mercados acionários</w:t>
      </w:r>
      <w:r>
        <w:t xml:space="preserve"> </w:t>
      </w:r>
      <w:r>
        <w:t xml:space="preserve">. Os modelos de deep reinforcement learning, por sua vez, apresentam resultados mais favoráveis e estáveis em relação a estratégias de referência, além de realizarem alocação dinâmica conforme estados ou tendências de mercado</w:t>
      </w:r>
      <w:r>
        <w:t xml:space="preserve"> </w:t>
      </w:r>
      <w:r>
        <w:t xml:space="preserve">.</w:t>
      </w:r>
    </w:p>
    <w:p>
      <w:pPr>
        <w:pStyle w:val="BodyText"/>
      </w:pPr>
      <w:r>
        <w:t xml:space="preserve">Apesar desses achados, as abordagens híbridas também apresentam limitações. ressaltam que retornos previstos não devem ser tratados como solução universal para a estrutura de Markowitz, pois a eficácia do método depende do controle dos parâmetros e hiperparâmetros adotados. Assim, os resultados sugerem potencial de melhoria na alocação de carteiras por meio de técnicas preditivas e adaptativas, mas também mostram a necessidade de cuidado na configuração dos modelos</w:t>
      </w:r>
      <w:r>
        <w:t xml:space="preserve"> </w:t>
      </w:r>
      <w:r>
        <w:t xml:space="preserve">.</w:t>
      </w:r>
    </w:p>
    <w:p>
      <w:pPr>
        <w:pStyle w:val="BodyText"/>
      </w:pPr>
      <w:r>
        <w:t xml:space="preserve">Em síntese, os estudos analisados evidenciam que a integração entre Markowitz, machine learning, deep learning e reinforcement learning ocorre de diferentes formas: pré-seleção de ativos, previsão de retornos, atualização dos dados usados na otimização e alocação dinâmica por agentes de aprendizado</w:t>
      </w:r>
      <w:r>
        <w:t xml:space="preserve"> </w:t>
      </w:r>
      <w:r>
        <w:t xml:space="preserve">. Essa diversidade metodológica oferece base para investigar modelos híbridos também no contexto de carteiras de criptoativos, especialmente pela combinação entre uma estrutura clássica de diversificação, baseada em média-variância, e técnicas de aprendizado voltadas à previsão, gestão de risco e ajuste dinâmico da alocação</w:t>
      </w:r>
      <w:r>
        <w:t xml:space="preserve"> </w:t>
      </w:r>
      <w:r>
        <w:t xml:space="preserve">.</w:t>
      </w:r>
    </w:p>
    <w:bookmarkEnd w:id="46"/>
    <w:bookmarkStart w:id="47" w:name="X250cc8fb59abab58ef4e89562773773fafb7c33"/>
    <w:p>
      <w:pPr>
        <w:pStyle w:val="Heading2"/>
      </w:pPr>
      <w:r>
        <w:t xml:space="preserve">Síntese crítica dos estudos relacionados</w:t>
      </w:r>
    </w:p>
    <w:p>
      <w:pPr>
        <w:pStyle w:val="FirstParagraph"/>
      </w:pPr>
      <w:r>
        <w:t xml:space="preserve">Consideradas em conjunto, as subseções anteriores indicam uma tendência de integração entre modelos clássicos de otimização de portfólios e técnicas preditivas baseadas em machine learning, deep learning e reinforcement learning. Essa integração assume diferentes formas, como previsão de preços ou retornos, seleção prévia de ativos, melhoria dos dados usados pela média-variância e ajuste dinâmico da alocação da carteira</w:t>
      </w:r>
      <w:r>
        <w:t xml:space="preserve"> </w:t>
      </w:r>
      <w:r>
        <w:t xml:space="preserve">. Nos estudos analisados, a inteligência artificial aparece menos como substituta da Teoria Moderna de Portfólio e mais como recurso complementar para lidar com dados financeiros complexos, não lineares, volumosos e sujeitos a mudanças ao longo do tempo</w:t>
      </w:r>
      <w:r>
        <w:t xml:space="preserve"> </w:t>
      </w:r>
      <w:r>
        <w:t xml:space="preserve">.</w:t>
      </w:r>
    </w:p>
    <w:p>
      <w:pPr>
        <w:pStyle w:val="BodyText"/>
      </w:pPr>
      <w:r>
        <w:t xml:space="preserve">Em parte significativa dos estudos, os resultados apontam melhorias em retorno, risco, retorno ajustado ao risco ou Índice de Sharpe quando modelos preditivos são incorporados à formação de carteiras. Pesquisas com Random Forest, XGBoost, LSTM, CNN-BiLSTM e A-LSTM indicam que a previsão de retornos ou a pré-seleção de ativos pode produzir resultados mais favoráveis do que estratégias baseadas apenas em dados históricos, sem etapa preditiva ou com alocação tradicional, conforme o desenho de cada estudo</w:t>
      </w:r>
      <w:r>
        <w:t xml:space="preserve"> </w:t>
      </w:r>
      <w:r>
        <w:t xml:space="preserve">. Em outra direção, os modelos de deep reinforcement learning ampliam essa lógica ao incorporar estados de mercado, aversão ao risco e custos de transação ao processo de decisão, permitindo formas mais dinâmicas de alocação em comparação a estratégias estáticas de média-variância ou Max-Sharpe</w:t>
      </w:r>
      <w:r>
        <w:t xml:space="preserve"> </w:t>
      </w:r>
      <w:r>
        <w:t xml:space="preserve">.</w:t>
      </w:r>
    </w:p>
    <w:p>
      <w:pPr>
        <w:pStyle w:val="BodyText"/>
      </w:pPr>
      <w:r>
        <w:t xml:space="preserve">Contudo, os ganhos não são universais. indicam que o uso de retornos previstos pode aprimorar a seleção de portfólios no modelo de Markowitz, mas depende do controle cuidadoso de parâmetros e hiperparâmetros. No mercado de criptomoedas, apontam que a estratégia 1/N superou criptomoedas individuais e parcela expressiva dos portfólios ótimos de média-variância em termos de Índice de Sharpe e retornos equivalentes de certeza. Esses achados sugerem que a sofisticação metodológica não assegura, isoladamente, melhor desempenho em todos os contextos, sobretudo no mercado de criptoativos, marcado por alta volatilidade, retornos não normais e correlações instáveis</w:t>
      </w:r>
      <w:r>
        <w:t xml:space="preserve"> </w:t>
      </w:r>
      <w:r>
        <w:t xml:space="preserve">.</w:t>
      </w:r>
    </w:p>
    <w:p>
      <w:pPr>
        <w:pStyle w:val="BodyText"/>
      </w:pPr>
      <w:r>
        <w:t xml:space="preserve">As limitações metodológicas reforçam essa cautela. Nos estudos sobre otimização com previsão, o material analisado aponta restrições associadas à rotatividade das carteiras e aos custos de transação, fatores que podem reduzir parte dos ganhos associados às estratégias preditivas</w:t>
      </w:r>
      <w:r>
        <w:t xml:space="preserve"> </w:t>
      </w:r>
      <w:r>
        <w:t xml:space="preserve">. Revisões recentes também destacam que modelos híbridos e de deep learning podem exigir maior custo computacional e planejamento metodológico cuidadoso</w:t>
      </w:r>
      <w:r>
        <w:t xml:space="preserve"> </w:t>
      </w:r>
      <w:r>
        <w:t xml:space="preserve">. Diferenças nos dados, no pré-processamento e nas estratégias de validação dificultam a comparação entre resultados e aumentam o risco de overfitting</w:t>
      </w:r>
      <w:r>
        <w:t xml:space="preserve"> </w:t>
      </w:r>
      <w:r>
        <w:t xml:space="preserve">. De modo complementar, apontam que o overfitting permanece como desafio relevante em estratégias de portfólio baseadas em machine learning, afetando a capacidade dos modelos de manter desempenho robusto em diferentes condições de mercado. Essa dificuldade de generalização também afeta a média-variância, pois carteiras otimizadas com bom desempenho histórico podem apresentar desempenho inferior em condições futuras de mercado</w:t>
      </w:r>
      <w:r>
        <w:t xml:space="preserve"> </w:t>
      </w:r>
      <w:r>
        <w:t xml:space="preserve">.</w:t>
      </w:r>
    </w:p>
    <w:p>
      <w:pPr>
        <w:pStyle w:val="BodyText"/>
      </w:pPr>
      <w:r>
        <w:t xml:space="preserve">Outro limite relevante é a interpretabilidade. Embora a inteligência artificial amplie a capacidade de processar grandes volumes de dados financeiros e identificar padrões complexos, parte dos modelos de machine learning opera como</w:t>
      </w:r>
      <w:r>
        <w:t xml:space="preserve"> </w:t>
      </w:r>
      <w:r>
        <w:t xml:space="preserve">“caixa-preta”</w:t>
      </w:r>
      <w:r>
        <w:t xml:space="preserve">, dificultando a compreensão das razões associadas às decisões de alocação</w:t>
      </w:r>
      <w:r>
        <w:t xml:space="preserve"> </w:t>
      </w:r>
      <w:r>
        <w:t xml:space="preserve">. também apontam que métodos de explicabilidade, como abordagens de XAI, ainda precisam ser associados a validações específicas do domínio financeiro. Assim, a literatura sugere que o avanço dos modelos aplicados a portfólios deve considerar não apenas arquiteturas mais complexas, mas também sistemas interpretáveis, adaptativos e compatíveis com as restrições práticas dos mercados reais</w:t>
      </w:r>
      <w:r>
        <w:t xml:space="preserve"> </w:t>
      </w:r>
      <w:r>
        <w:t xml:space="preserve">.</w:t>
      </w:r>
    </w:p>
    <w:p>
      <w:pPr>
        <w:pStyle w:val="BodyText"/>
      </w:pPr>
      <w:r>
        <w:t xml:space="preserve">No caso dos criptoativos, a comparação entre os estudos evidencia uma lacuna específica. A literatura sobre média-variância em criptomoedas aponta potencial de diversificação, principalmente quando diferentes criptoativos são combinados entre si ou com ativos tradicionais</w:t>
      </w:r>
      <w:r>
        <w:t xml:space="preserve"> </w:t>
      </w:r>
      <w:r>
        <w:t xml:space="preserve">. Ao mesmo tempo, os estudos indicam limitações importantes da aplicação direta de Markowitz nesse mercado, em razão da volatilidade elevada, da não normalidade dos retornos, da instabilidade das correlações e da dificuldade de estimar adequadamente a estrutura de dependência entre os ativos</w:t>
      </w:r>
      <w:r>
        <w:t xml:space="preserve"> </w:t>
      </w:r>
      <w:r>
        <w:t xml:space="preserve">. Como parte relevante dos estudos híbridos analisados se concentra em ações, índices ou mercados financeiros tradicionais, permanece espaço para investigar de forma mais específica modelos híbridos aplicados à diversificação de portfólios em criptoativos</w:t>
      </w:r>
      <w:r>
        <w:t xml:space="preserve"> </w:t>
      </w:r>
      <w:r>
        <w:t xml:space="preserve">.</w:t>
      </w:r>
    </w:p>
    <w:p>
      <w:pPr>
        <w:pStyle w:val="BodyText"/>
      </w:pPr>
      <w:r>
        <w:t xml:space="preserve">Dessa forma, o presente anteprojeto se insere nessa lacuna ao examinar a combinação entre previsão por machine learning e otimização média-variância na construção de carteiras de criptoativos. Essa investigação deve considerar as limitações associadas à instabilidade do mercado cripto e à aplicação direta de Markowitz nesse contexto</w:t>
      </w:r>
      <w:r>
        <w:t xml:space="preserve"> </w:t>
      </w:r>
      <w:r>
        <w:t xml:space="preserve">, aos custos de transação e à rotatividade da carteira em estratégias preditivas</w:t>
      </w:r>
      <w:r>
        <w:t xml:space="preserve"> </w:t>
      </w:r>
      <w:r>
        <w:t xml:space="preserve">, à sensibilidade a parâmetros e hiperparâmetros</w:t>
      </w:r>
      <w:r>
        <w:t xml:space="preserve"> </w:t>
      </w:r>
      <w:r>
        <w:t xml:space="preserve">, ao risco de overfitting e à dificuldade de generalização</w:t>
      </w:r>
      <w:r>
        <w:t xml:space="preserve"> </w:t>
      </w:r>
      <w:r>
        <w:t xml:space="preserve">, bem como à baixa interpretabilidade de parte dos modelos de machine learning</w:t>
      </w:r>
      <w:r>
        <w:t xml:space="preserve"> </w:t>
      </w:r>
      <w:r>
        <w:t xml:space="preserve">. Assim, a proposta mantém o foco na integração entre previsão algorítmica e diversificação matemática, direcionando essa discussão ao contexto específico dos criptoativos e à avaliação crítica de sua viabilidade em estratégias híbridas de portfólio.</w:t>
      </w:r>
    </w:p>
    <w:bookmarkEnd w:id="47"/>
    <w:bookmarkEnd w:id="48"/>
    <w:bookmarkStart w:id="53" w:name="chap_metodologia"/>
    <w:p>
      <w:pPr>
        <w:pStyle w:val="Heading1"/>
      </w:pPr>
      <w:r>
        <w:t xml:space="preserve">Metodologia</w:t>
      </w:r>
    </w:p>
    <w:bookmarkStart w:id="49" w:name="sec_classificacao_da_pesquisa"/>
    <w:p>
      <w:pPr>
        <w:pStyle w:val="Heading2"/>
      </w:pPr>
      <w:r>
        <w:t xml:space="preserve">Classificação da pesquisa</w:t>
      </w:r>
    </w:p>
    <w:p>
      <w:pPr>
        <w:pStyle w:val="FirstParagraph"/>
      </w:pPr>
      <w:r>
        <w:t xml:space="preserve">A presente pesquisa classifica-se, quanto à sua natureza, como aplicada. Seu foco transcende a ampliação do conhecimento teórico, buscando utilizar tal embasamento para solucionar problemas concretos e satisfazer necessidades específicas, em consonância com a definição de , que destaca a geração de conhecimentos dirigidos à aplicação prática e interesses locais.</w:t>
      </w:r>
    </w:p>
    <w:p>
      <w:pPr>
        <w:pStyle w:val="BodyText"/>
      </w:pPr>
      <w:r>
        <w:t xml:space="preserve">Do ponto de vista da abordagem, o estudo é quantitativo, priorizando a objetividade e a tradução de informações em números. Conforme , essa metodologia garante a precisão dos dados e valida as hipóteses através de técnicas estatísticas, abrangendo desde a coleta até o tratamento complexo das informações.</w:t>
      </w:r>
    </w:p>
    <w:p>
      <w:pPr>
        <w:pStyle w:val="BodyText"/>
      </w:pPr>
      <w:r>
        <w:t xml:space="preserve">Em relação aos objetivos, a investigação define-se como descritiva. Ao propor analisar e comparar o desempenho de carteiras — contrapondo o uso de Machine Learning a modelos tradicionais —, o estudo visa descrever características do fenômeno e estabelecer relações entre variáveis. Essa classificação fundamenta-se em , para quem a pesquisa descritiva tem como foco principal a correlação de variáveis sem necessariamente aprofundar-se nas causas primárias.</w:t>
      </w:r>
    </w:p>
    <w:p>
      <w:pPr>
        <w:pStyle w:val="BodyText"/>
      </w:pPr>
      <w:r>
        <w:t xml:space="preserve">Quanto aos procedimentos técnicos, o trabalho assume caráter experimental, pois envolve a manipulação direta dos modelos de investimento para analisar os efeitos produzidos (retorno e risco) sob condições controladas, satisfazendo os critérios de manipulação e controle de variáveis descritos por .</w:t>
      </w:r>
    </w:p>
    <w:bookmarkEnd w:id="49"/>
    <w:bookmarkStart w:id="50" w:name="sec_coleta_de_dados"/>
    <w:p>
      <w:pPr>
        <w:pStyle w:val="Heading2"/>
      </w:pPr>
      <w:r>
        <w:t xml:space="preserve">Coleta de dados</w:t>
      </w:r>
    </w:p>
    <w:p>
      <w:pPr>
        <w:pStyle w:val="FirstParagraph"/>
      </w:pPr>
      <w:r>
        <w:t xml:space="preserve">A operacionalização da pesquisa dar-se-á pela coleta de dados oriundos de múltiplas fontes, incluindo dados primários extraídos via APIs das corretoras Binance e Kraken, e dados secundários obtidos no banco de dados Kaggle.</w:t>
      </w:r>
    </w:p>
    <w:bookmarkEnd w:id="50"/>
    <w:bookmarkStart w:id="51" w:name="sec_estrategias_comparadas"/>
    <w:p>
      <w:pPr>
        <w:pStyle w:val="Heading2"/>
      </w:pPr>
      <w:r>
        <w:t xml:space="preserve">Estratégias comparadas</w:t>
      </w:r>
    </w:p>
    <w:p>
      <w:pPr>
        <w:pStyle w:val="FirstParagraph"/>
      </w:pPr>
      <w:r>
        <w:t xml:space="preserve">A análise comparará duas vertentes: a estratégia alvo (método Adaboost+MV) e uma Base Line, ou referência (estratégia 1/N, que pressupõe divisão igualitária entre ativos), para verificar se o modelo proposto supera a média de mercado.</w:t>
      </w:r>
    </w:p>
    <w:bookmarkEnd w:id="51"/>
    <w:bookmarkStart w:id="52" w:name="sec_procedimentos_de_analise"/>
    <w:p>
      <w:pPr>
        <w:pStyle w:val="Heading2"/>
      </w:pPr>
      <w:r>
        <w:t xml:space="preserve">Procedimentos de análise</w:t>
      </w:r>
    </w:p>
    <w:p>
      <w:pPr>
        <w:pStyle w:val="FirstParagraph"/>
      </w:pPr>
      <w:r>
        <w:t xml:space="preserve">O treinamento do modelo de aprendizado de máquina ocorrerá com dados in-sample, ou seja, dados usados para treinar o modelo, em período t a t+1.</w:t>
      </w:r>
    </w:p>
    <w:p>
      <w:pPr>
        <w:pStyle w:val="BodyText"/>
      </w:pPr>
      <w:r>
        <w:t xml:space="preserve">Sendo a avaliação de desempenho realizada com dados out-sample, ou seja, dados não utilizados no treinamento do modelo (t+2...t+n), garantindo a verificação do aprendizado fora da amostra de treino.</w:t>
      </w:r>
    </w:p>
    <w:bookmarkEnd w:id="52"/>
    <w:bookmarkEnd w:id="53"/>
    <w:bookmarkStart w:id="57" w:name="chap_cronograma"/>
    <w:p>
      <w:pPr>
        <w:pStyle w:val="Heading1"/>
      </w:pPr>
      <w:r>
        <w:t xml:space="preserve">Cronograma</w:t>
      </w:r>
    </w:p>
    <w:p>
      <w:pPr>
        <w:pStyle w:val="FirstParagraph"/>
      </w:pPr>
      <w:r>
        <w:drawing>
          <wp:inline>
            <wp:extent cx="5969000" cy="1773856"/>
            <wp:effectExtent b="0" l="0" r="0" t="0"/>
            <wp:docPr descr="image" title="" id="55" name="Picture"/>
            <a:graphic>
              <a:graphicData uri="http://schemas.openxmlformats.org/drawingml/2006/picture">
                <pic:pic>
                  <pic:nvPicPr>
                    <pic:cNvPr descr="cronograma.png" id="56" name="Picture"/>
                    <pic:cNvPicPr>
                      <a:picLocks noChangeArrowheads="1" noChangeAspect="1"/>
                    </pic:cNvPicPr>
                  </pic:nvPicPr>
                  <pic:blipFill>
                    <a:blip r:embed="rId54"/>
                    <a:stretch>
                      <a:fillRect/>
                    </a:stretch>
                  </pic:blipFill>
                  <pic:spPr bwMode="auto">
                    <a:xfrm>
                      <a:off x="0" y="0"/>
                      <a:ext cx="5969000" cy="1773856"/>
                    </a:xfrm>
                    <a:prstGeom prst="rect">
                      <a:avLst/>
                    </a:prstGeom>
                    <a:noFill/>
                    <a:ln w="9525">
                      <a:noFill/>
                      <a:headEnd/>
                      <a:tailEnd/>
                    </a:ln>
                  </pic:spPr>
                </pic:pic>
              </a:graphicData>
            </a:graphic>
          </wp:inline>
        </w:drawing>
      </w:r>
    </w:p>
    <w:p>
      <w:pPr>
        <w:pStyle w:val="BodyText"/>
      </w:pPr>
      <w:r>
        <w:t xml:space="preserve">Fonte: Autoria Própria (2026).</w:t>
      </w:r>
    </w:p>
    <w:bookmarkEnd w:id="57"/>
    <w:sectPr w:rsidR="00FC693F" w:rsidRPr="0006063C" w:rsidSect="00034616">
      <w:headerReference r:id="rId9" w:type="default"/>
      <w:pgSz w:h="15840" w:w="12240"/>
      <w:pgMar w:bottom="1134" w:footer="1134" w:gutter="0" w:header="1134"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separate"/>
      <w:t>1</w:t>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pageBreakBefore w:val="0"/>
      <w:widowControl/>
      <w:spacing w:after="0" w:before="0" w:line="360" w:lineRule="auto"/>
      <w:ind w:firstLine="709" w:left="0"/>
      <w:jc w:val="both"/>
    </w:pPr>
    <w:rPr>
      <w:rFonts w:ascii="Arial" w:hAnsi="Arial"/>
      <w:sz w:val="24"/>
    </w:rPr>
  </w:style>
  <w:style w:styleId="Header" w:type="paragraph">
    <w:name w:val="header"/>
    <w:basedOn w:val="Normal"/>
    <w:link w:val="HeaderChar"/>
    <w:uiPriority w:val="99"/>
    <w:unhideWhenUsed/>
    <w:rsid w:val="00E618BF"/>
    <w:pPr>
      <w:pageBreakBefore w:val="0"/>
      <w:widowControl/>
      <w:tabs>
        <w:tab w:pos="4680" w:val="center"/>
        <w:tab w:pos="9360" w:val="right"/>
      </w:tabs>
      <w:spacing w:after="0" w:before="0" w:line="240" w:lineRule="auto"/>
      <w:ind w:firstLine="0" w:left="0"/>
      <w:jc w:val="right"/>
    </w:pPr>
    <w:rPr>
      <w:rFonts w:ascii="Arial" w:hAnsi="Arial"/>
      <w:sz w:val="20"/>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widowControl/>
      <w:spacing w:after="360" w:before="0" w:line="360" w:lineRule="auto"/>
      <w:ind w:firstLine="0" w:left="0"/>
      <w:jc w:val="left"/>
      <w:outlineLvl w:val="0"/>
    </w:pPr>
    <w:rPr>
      <w:rFonts w:ascii="Arial" w:asciiTheme="majorHAnsi" w:cstheme="majorBidi" w:eastAsiaTheme="majorEastAsia" w:hAnsi="Arial" w:hAnsiTheme="majorHAnsi"/>
      <w:b/>
      <w:bCs/>
      <w:cap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pageBreakBefore w:val="0"/>
      <w:widowControl/>
      <w:spacing w:after="360" w:before="360" w:line="360" w:lineRule="auto"/>
      <w:ind w:firstLine="0" w:left="0"/>
      <w:jc w:val="left"/>
      <w:outlineLvl w:val="1"/>
    </w:pPr>
    <w:rPr>
      <w:rFonts w:ascii="Arial" w:asciiTheme="majorHAnsi" w:cstheme="majorBidi" w:eastAsiaTheme="majorEastAsia" w:hAnsi="Arial" w:hAnsiTheme="majorHAnsi"/>
      <w:b/>
      <w:bCs/>
      <w:caps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pageBreakBefore w:val="0"/>
      <w:widowControl/>
      <w:spacing w:after="360" w:before="360" w:line="360" w:lineRule="auto"/>
      <w:ind w:firstLine="0" w:left="0"/>
      <w:jc w:val="left"/>
      <w:outlineLvl w:val="2"/>
    </w:pPr>
    <w:rPr>
      <w:rFonts w:ascii="Arial" w:asciiTheme="majorHAnsi" w:cstheme="majorBidi" w:eastAsiaTheme="majorEastAsia" w:hAnsi="Arial" w:hAnsiTheme="majorHAnsi"/>
      <w:b/>
      <w:bCs/>
      <w:caps w:val="0"/>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pageBreakBefore w:val="0"/>
      <w:widowControl/>
      <w:spacing w:after="360" w:before="360" w:line="360" w:lineRule="auto"/>
      <w:ind w:firstLine="0" w:left="0"/>
      <w:jc w:val="left"/>
      <w:outlineLvl w:val="3"/>
    </w:pPr>
    <w:rPr>
      <w:rFonts w:ascii="Arial" w:asciiTheme="majorHAnsi" w:cstheme="majorBidi" w:eastAsiaTheme="majorEastAsia" w:hAnsi="Arial" w:hAnsiTheme="majorHAnsi"/>
      <w:b/>
      <w:bCs/>
      <w:i/>
      <w:iCs/>
      <w:caps w:val="0"/>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pageBreakBefore w:val="0"/>
      <w:widowControl/>
      <w:spacing w:after="360" w:before="360" w:line="360" w:lineRule="auto"/>
      <w:ind w:firstLine="0" w:left="0"/>
      <w:jc w:val="left"/>
      <w:outlineLvl w:val="4"/>
    </w:pPr>
    <w:rPr>
      <w:rFonts w:ascii="Arial" w:asciiTheme="majorHAnsi" w:cstheme="majorBidi" w:eastAsiaTheme="majorEastAsia" w:hAnsi="Arial" w:hAnsiTheme="majorHAnsi"/>
      <w:b/>
      <w:caps w:val="0"/>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pageBreakBefore w:val="0"/>
      <w:widowControl/>
      <w:spacing w:after="0" w:before="0" w:line="360" w:lineRule="auto"/>
      <w:ind w:firstLine="709" w:left="0"/>
      <w:jc w:val="both"/>
    </w:pPr>
    <w:rPr>
      <w:rFonts w:ascii="Arial" w:hAnsi="Arial"/>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BlockText"/>
    <w:next w:val="Normal"/>
    <w:link w:val="QuoteChar"/>
    <w:uiPriority w:val="29"/>
    <w:qFormat/>
    <w:rsid w:val="00FC693F"/>
    <w:pPr>
      <w:pageBreakBefore w:val="0"/>
      <w:widowControl/>
      <w:spacing w:after="0" w:before="0" w:line="240" w:lineRule="auto"/>
      <w:ind w:firstLine="0" w:left="2268"/>
      <w:jc w:val="both"/>
    </w:pPr>
    <w:rPr>
      <w:rFonts w:ascii="Arial" w:hAnsi="Arial"/>
      <w:i/>
      <w:iCs/>
      <w:color w:themeColor="text1" w:val="000000"/>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pageBreakBefore w:val="0"/>
      <w:widowControl/>
      <w:spacing w:after="0" w:before="0" w:line="240" w:lineRule="auto"/>
      <w:ind w:firstLine="0" w:left="0"/>
      <w:jc w:val="left"/>
    </w:pPr>
    <w:rPr>
      <w:rFonts w:ascii="Arial" w:hAnsi="Arial"/>
      <w:b/>
      <w:bCs/>
      <w:color w:themeColor="accent1" w:val="4F81BD"/>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EFETUnnumberedHeading" w:type="paragraph">
    <w:name w:val="CEFET Unnumbered Heading"/>
    <w:basedOn w:val="Heading1"/>
    <w:pPr>
      <w:pageBreakBefore/>
      <w:widowControl/>
      <w:spacing w:after="360" w:before="0" w:line="360" w:lineRule="auto"/>
      <w:ind w:firstLine="0" w:left="0"/>
      <w:jc w:val="center"/>
    </w:pPr>
    <w:rPr>
      <w:rFonts w:ascii="Arial" w:hAnsi="Arial"/>
      <w:b/>
      <w:caps/>
      <w:sz w:val="24"/>
    </w:rPr>
  </w:style>
  <w:style w:customStyle="1" w:styleId="BlockText" w:type="paragraph">
    <w:name w:val="Block Text"/>
    <w:basedOn w:val="Normal"/>
    <w:pPr>
      <w:pageBreakBefore w:val="0"/>
      <w:widowControl/>
      <w:spacing w:after="0" w:before="0" w:line="240" w:lineRule="auto"/>
      <w:ind w:firstLine="0" w:left="2268"/>
      <w:jc w:val="both"/>
    </w:pPr>
    <w:rPr>
      <w:rFonts w:ascii="Arial" w:hAnsi="Arial"/>
      <w:sz w:val="20"/>
    </w:rPr>
  </w:style>
  <w:style w:customStyle="1" w:styleId="ImageCaption" w:type="paragraph">
    <w:name w:val="Image Caption"/>
    <w:basedOn w:val="Caption"/>
    <w:pPr>
      <w:pageBreakBefore w:val="0"/>
      <w:widowControl/>
      <w:spacing w:after="0" w:before="0" w:line="240" w:lineRule="auto"/>
      <w:ind w:firstLine="0" w:left="0"/>
      <w:jc w:val="left"/>
    </w:pPr>
    <w:rPr>
      <w:rFonts w:ascii="Arial" w:hAnsi="Arial"/>
      <w:sz w:val="20"/>
    </w:rPr>
  </w:style>
  <w:style w:customStyle="1" w:styleId="TableCaption" w:type="paragraph">
    <w:name w:val="Table Caption"/>
    <w:basedOn w:val="Normal"/>
    <w:pPr>
      <w:pageBreakBefore w:val="0"/>
      <w:widowControl/>
      <w:spacing w:after="0" w:before="0" w:line="360" w:lineRule="auto"/>
      <w:ind w:firstLine="0" w:left="0"/>
      <w:jc w:val="left"/>
    </w:pPr>
    <w:rPr>
      <w:rFonts w:ascii="Arial" w:hAnsi="Arial"/>
      <w:sz w:val="24"/>
    </w:rPr>
  </w:style>
  <w:style w:customStyle="1" w:styleId="CEFETSourceandLegend" w:type="paragraph">
    <w:name w:val="CEFET Source and Legend"/>
    <w:basedOn w:val="Caption"/>
    <w:pPr>
      <w:pageBreakBefore w:val="0"/>
      <w:widowControl/>
      <w:spacing w:after="0" w:before="0" w:line="240" w:lineRule="auto"/>
      <w:ind w:firstLine="0" w:left="0"/>
      <w:jc w:val="left"/>
    </w:pPr>
    <w:rPr>
      <w:rFonts w:ascii="Arial" w:hAnsi="Arial"/>
      <w:sz w:val="20"/>
    </w:rPr>
  </w:style>
  <w:style w:customStyle="1" w:styleId="FootnoteText" w:type="paragraph">
    <w:name w:val="Footnote Text"/>
    <w:basedOn w:val="Normal"/>
    <w:pPr>
      <w:pageBreakBefore w:val="0"/>
      <w:widowControl/>
      <w:spacing w:after="0" w:before="0" w:line="240" w:lineRule="auto"/>
      <w:ind w:hanging="283" w:left="283"/>
      <w:jc w:val="left"/>
    </w:pPr>
    <w:rPr>
      <w:rFonts w:ascii="Arial" w:hAnsi="Arial"/>
      <w:sz w:val="20"/>
    </w:rPr>
  </w:style>
  <w:style w:customStyle="1" w:styleId="FootnoteReference" w:type="character">
    <w:name w:val="Footnote Reference"/>
    <w:rPr>
      <w:rFonts w:ascii="Arial" w:hAnsi="Arial"/>
      <w:sz w:val="20"/>
    </w:rPr>
  </w:style>
  <w:style w:customStyle="1" w:styleId="Bibliography" w:type="paragraph">
    <w:name w:val="Bibliography"/>
    <w:basedOn w:val="Normal"/>
    <w:pPr>
      <w:pageBreakBefore w:val="0"/>
      <w:widowControl/>
      <w:spacing w:after="240" w:before="0" w:line="240" w:lineRule="auto"/>
      <w:ind w:firstLine="0" w:left="0"/>
      <w:jc w:val="left"/>
    </w:pPr>
    <w:rPr>
      <w:rFonts w:ascii="Arial" w:hAnsi="Arial"/>
      <w:sz w:val="24"/>
    </w:rPr>
  </w:style>
  <w:style w:customStyle="1" w:styleId="References" w:type="paragraph">
    <w:name w:val="References"/>
    <w:basedOn w:val="Bibliography"/>
    <w:pPr>
      <w:pageBreakBefore w:val="0"/>
      <w:widowControl/>
      <w:spacing w:after="240" w:before="0" w:line="240" w:lineRule="auto"/>
      <w:ind w:firstLine="0" w:left="0"/>
      <w:jc w:val="left"/>
    </w:pPr>
    <w:rPr>
      <w:rFonts w:ascii="Arial" w:hAnsi="Arial"/>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header1.xml" Type="http://schemas.openxmlformats.org/officeDocument/2006/relationships/header" /><Relationship Type="http://schemas.openxmlformats.org/officeDocument/2006/relationships/image" Id="rId54" Target="media/rId54.png" /><Relationship Type="http://schemas.openxmlformats.org/officeDocument/2006/relationships/image" Id="rId27" Target="media/rId27.png" /><Relationship Type="http://schemas.openxmlformats.org/officeDocument/2006/relationships/hyperlink" Id="rId30" Target="https://br.tradingview.com/markets/cryptocurrencies/global-charts/" TargetMode="External" /></Relationships>
</file>

<file path=word/_rels/footnotes.xml.rels><?xml version="1.0" encoding="UTF-8"?><Relationships xmlns="http://schemas.openxmlformats.org/package/2006/relationships"><Relationship Type="http://schemas.openxmlformats.org/officeDocument/2006/relationships/hyperlink" Id="rId30" Target="https://br.tradingview.com/markets/cryptocurrencies/global-cha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2026-09-14T18:46:39Z</dcterms:created>
  <dcterms:modified xsi:type="dcterms:W3CDTF">2026-09-14T18:46:39Z</dcterms:modified>
</cp:coreProperties>
</file>

<file path=docProps/custom.xml><?xml version="1.0" encoding="utf-8"?>
<Properties xmlns="http://schemas.openxmlformats.org/officeDocument/2006/custom-properties" xmlns:vt="http://schemas.openxmlformats.org/officeDocument/2006/docPropsVTypes"/>
</file>