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D1FC5" w14:textId="77777777" w:rsidR="00535B14" w:rsidRDefault="00000000">
      <w:pPr>
        <w:spacing w:after="0" w:line="276" w:lineRule="auto"/>
        <w:jc w:val="center"/>
        <w:rPr>
          <w:rFonts w:ascii="Arial" w:eastAsia="Arial" w:hAnsi="Arial" w:cs="Arial"/>
          <w:color w:val="000000"/>
          <w:sz w:val="24"/>
          <w:szCs w:val="24"/>
        </w:rPr>
      </w:pPr>
      <w:bookmarkStart w:id="0" w:name="bookmark=id.osgb67hwvdgq"/>
      <w:bookmarkEnd w:id="0"/>
      <w:r>
        <w:rPr>
          <w:rFonts w:ascii="Arial" w:eastAsia="Arial" w:hAnsi="Arial" w:cs="Arial"/>
          <w:b/>
          <w:bCs/>
          <w:color w:val="000000"/>
          <w:sz w:val="24"/>
          <w:szCs w:val="24"/>
        </w:rPr>
        <w:t>C0ENTRO FEDERAL DE EDUCAÇÃO TECNOLÓGICA DE MINAS GERAIS</w:t>
      </w:r>
    </w:p>
    <w:p w14:paraId="1B0D1FC6" w14:textId="77777777" w:rsidR="00535B14" w:rsidRDefault="00000000">
      <w:pPr>
        <w:spacing w:before="138" w:after="0" w:line="276" w:lineRule="auto"/>
        <w:jc w:val="center"/>
        <w:rPr>
          <w:rFonts w:ascii="Arial" w:eastAsia="Arial" w:hAnsi="Arial" w:cs="Arial"/>
          <w:color w:val="000000"/>
          <w:sz w:val="24"/>
          <w:szCs w:val="24"/>
        </w:rPr>
      </w:pPr>
      <w:r>
        <w:rPr>
          <w:rFonts w:ascii="Arial" w:eastAsia="Arial" w:hAnsi="Arial" w:cs="Arial"/>
          <w:b/>
          <w:bCs/>
          <w:color w:val="000000"/>
          <w:sz w:val="24"/>
          <w:szCs w:val="24"/>
        </w:rPr>
        <w:t>BACHARELADO EM ADMINISTRAÇÃO</w:t>
      </w:r>
    </w:p>
    <w:p w14:paraId="1B0D1FC7" w14:textId="77777777" w:rsidR="00535B14" w:rsidRDefault="00000000">
      <w:pPr>
        <w:spacing w:before="2622" w:after="0" w:line="276" w:lineRule="auto"/>
        <w:jc w:val="center"/>
        <w:rPr>
          <w:rFonts w:ascii="Arial" w:eastAsia="Arial" w:hAnsi="Arial" w:cs="Arial"/>
          <w:color w:val="000000"/>
          <w:sz w:val="24"/>
          <w:szCs w:val="24"/>
        </w:rPr>
      </w:pPr>
      <w:r>
        <w:rPr>
          <w:rFonts w:ascii="Arial" w:eastAsia="Arial" w:hAnsi="Arial" w:cs="Arial"/>
          <w:b/>
          <w:bCs/>
          <w:color w:val="000000"/>
          <w:sz w:val="24"/>
          <w:szCs w:val="24"/>
        </w:rPr>
        <w:t>Gustavo Araujo Alves</w:t>
      </w:r>
    </w:p>
    <w:p w14:paraId="1B0D1FC8" w14:textId="77777777" w:rsidR="00535B14" w:rsidRDefault="00000000">
      <w:pPr>
        <w:spacing w:before="4004" w:after="0" w:line="320" w:lineRule="auto"/>
        <w:jc w:val="center"/>
        <w:rPr>
          <w:rFonts w:ascii="Arial" w:eastAsia="Arial" w:hAnsi="Arial" w:cs="Arial"/>
          <w:sz w:val="28"/>
          <w:szCs w:val="28"/>
        </w:rPr>
      </w:pPr>
      <w:r>
        <w:rPr>
          <w:rFonts w:ascii="Arial" w:eastAsia="Arial" w:hAnsi="Arial" w:cs="Arial"/>
          <w:b/>
          <w:bCs/>
          <w:color w:val="000000"/>
          <w:sz w:val="28"/>
          <w:szCs w:val="28"/>
        </w:rPr>
        <w:t xml:space="preserve">DIVERSIFICAÇÃO DE </w:t>
      </w:r>
      <w:r>
        <w:rPr>
          <w:rFonts w:ascii="Arial" w:eastAsia="Arial" w:hAnsi="Arial" w:cs="Arial"/>
          <w:b/>
          <w:bCs/>
          <w:sz w:val="28"/>
          <w:szCs w:val="28"/>
        </w:rPr>
        <w:t>PORTFÓLIO</w:t>
      </w:r>
      <w:r>
        <w:rPr>
          <w:rFonts w:ascii="Arial" w:eastAsia="Arial" w:hAnsi="Arial" w:cs="Arial"/>
          <w:b/>
          <w:bCs/>
          <w:color w:val="000000"/>
          <w:sz w:val="28"/>
          <w:szCs w:val="28"/>
        </w:rPr>
        <w:t xml:space="preserve"> EM </w:t>
      </w:r>
      <w:r>
        <w:rPr>
          <w:rFonts w:ascii="Arial" w:eastAsia="Arial" w:hAnsi="Arial" w:cs="Arial"/>
          <w:b/>
          <w:bCs/>
          <w:sz w:val="28"/>
          <w:szCs w:val="28"/>
        </w:rPr>
        <w:t>CRIPTO ATIVOS</w:t>
      </w:r>
      <w:r>
        <w:rPr>
          <w:rFonts w:ascii="Arial" w:eastAsia="Arial" w:hAnsi="Arial" w:cs="Arial"/>
          <w:b/>
          <w:bCs/>
          <w:color w:val="000000"/>
          <w:sz w:val="28"/>
          <w:szCs w:val="28"/>
        </w:rPr>
        <w:t xml:space="preserve">: </w:t>
      </w:r>
      <w:r>
        <w:rPr>
          <w:rFonts w:ascii="Arial" w:eastAsia="Arial" w:hAnsi="Arial" w:cs="Arial"/>
          <w:color w:val="000000"/>
          <w:sz w:val="28"/>
          <w:szCs w:val="28"/>
        </w:rPr>
        <w:t xml:space="preserve">Uma Abordagem Híbrida de Otimização Média-Variância e </w:t>
      </w:r>
      <w:r>
        <w:rPr>
          <w:rFonts w:ascii="Arial" w:eastAsia="Arial" w:hAnsi="Arial" w:cs="Arial"/>
          <w:i/>
          <w:iCs/>
          <w:color w:val="000000"/>
          <w:sz w:val="28"/>
          <w:szCs w:val="28"/>
        </w:rPr>
        <w:t>Machine Learning</w:t>
      </w:r>
      <w:r>
        <w:rPr>
          <w:rFonts w:ascii="Arial" w:eastAsia="Arial" w:hAnsi="Arial" w:cs="Arial"/>
          <w:color w:val="000000"/>
          <w:sz w:val="28"/>
          <w:szCs w:val="28"/>
        </w:rPr>
        <w:t>.</w:t>
      </w:r>
    </w:p>
    <w:p w14:paraId="1B0D1FC9" w14:textId="77777777" w:rsidR="00535B14" w:rsidRDefault="00535B14">
      <w:pPr>
        <w:spacing w:before="163" w:after="0" w:line="320" w:lineRule="auto"/>
        <w:rPr>
          <w:rFonts w:ascii="Arial" w:eastAsia="Arial" w:hAnsi="Arial" w:cs="Arial"/>
          <w:color w:val="000000"/>
          <w:sz w:val="28"/>
          <w:szCs w:val="28"/>
        </w:rPr>
      </w:pPr>
    </w:p>
    <w:p w14:paraId="1B0D1FCA" w14:textId="77777777" w:rsidR="00535B14" w:rsidRDefault="00535B14">
      <w:pPr>
        <w:spacing w:before="163" w:after="0" w:line="320" w:lineRule="auto"/>
        <w:rPr>
          <w:rFonts w:ascii="Arial" w:eastAsia="Arial" w:hAnsi="Arial" w:cs="Arial"/>
          <w:color w:val="000000"/>
          <w:sz w:val="28"/>
          <w:szCs w:val="28"/>
        </w:rPr>
      </w:pPr>
    </w:p>
    <w:p w14:paraId="1B0D1FCB" w14:textId="77777777" w:rsidR="00535B14" w:rsidRDefault="00535B14">
      <w:pPr>
        <w:spacing w:before="163" w:after="0" w:line="320" w:lineRule="auto"/>
        <w:rPr>
          <w:rFonts w:ascii="Arial" w:eastAsia="Arial" w:hAnsi="Arial" w:cs="Arial"/>
          <w:color w:val="000000"/>
          <w:sz w:val="28"/>
          <w:szCs w:val="28"/>
        </w:rPr>
      </w:pPr>
    </w:p>
    <w:p w14:paraId="1B0D1FCC" w14:textId="77777777" w:rsidR="00535B14" w:rsidRDefault="00535B14">
      <w:pPr>
        <w:spacing w:before="163" w:after="0" w:line="320" w:lineRule="auto"/>
        <w:rPr>
          <w:rFonts w:ascii="Arial" w:eastAsia="Arial" w:hAnsi="Arial" w:cs="Arial"/>
          <w:color w:val="000000"/>
          <w:sz w:val="28"/>
          <w:szCs w:val="28"/>
        </w:rPr>
      </w:pPr>
    </w:p>
    <w:p w14:paraId="1B0D1FCD" w14:textId="77777777" w:rsidR="00535B14" w:rsidRDefault="00535B14">
      <w:pPr>
        <w:spacing w:before="163" w:after="0" w:line="320" w:lineRule="auto"/>
        <w:rPr>
          <w:rFonts w:ascii="Arial" w:eastAsia="Arial" w:hAnsi="Arial" w:cs="Arial"/>
          <w:color w:val="000000"/>
          <w:sz w:val="28"/>
          <w:szCs w:val="28"/>
        </w:rPr>
      </w:pPr>
    </w:p>
    <w:p w14:paraId="1B0D1FCE" w14:textId="77777777" w:rsidR="00535B14" w:rsidRDefault="00535B14">
      <w:pPr>
        <w:spacing w:before="163" w:after="0" w:line="320" w:lineRule="auto"/>
        <w:rPr>
          <w:rFonts w:ascii="Arial" w:eastAsia="Arial" w:hAnsi="Arial" w:cs="Arial"/>
          <w:color w:val="000000"/>
          <w:sz w:val="28"/>
          <w:szCs w:val="28"/>
        </w:rPr>
      </w:pPr>
    </w:p>
    <w:p w14:paraId="1B0D1FCF" w14:textId="77777777" w:rsidR="00535B14" w:rsidRDefault="00000000">
      <w:pPr>
        <w:spacing w:before="163" w:after="0" w:line="320" w:lineRule="auto"/>
        <w:jc w:val="center"/>
        <w:rPr>
          <w:rFonts w:ascii="Arial" w:eastAsia="Arial" w:hAnsi="Arial" w:cs="Arial"/>
          <w:color w:val="000000"/>
          <w:sz w:val="28"/>
          <w:szCs w:val="28"/>
        </w:rPr>
      </w:pPr>
      <w:r>
        <w:rPr>
          <w:rFonts w:ascii="Arial" w:eastAsia="Arial" w:hAnsi="Arial" w:cs="Arial"/>
          <w:b/>
          <w:bCs/>
          <w:color w:val="000000"/>
          <w:sz w:val="24"/>
          <w:szCs w:val="24"/>
        </w:rPr>
        <w:t>Belo Horizonte</w:t>
      </w:r>
    </w:p>
    <w:p w14:paraId="1B0D1FD0" w14:textId="77777777" w:rsidR="00535B14" w:rsidRDefault="00000000">
      <w:pPr>
        <w:spacing w:before="163" w:after="0" w:line="320" w:lineRule="auto"/>
        <w:jc w:val="center"/>
      </w:pPr>
      <w:r>
        <w:rPr>
          <w:rFonts w:ascii="Arial" w:eastAsia="Arial" w:hAnsi="Arial" w:cs="Arial"/>
          <w:b/>
          <w:bCs/>
          <w:color w:val="000000"/>
          <w:sz w:val="24"/>
          <w:szCs w:val="24"/>
        </w:rPr>
        <w:t>2026</w:t>
      </w:r>
    </w:p>
    <w:p w14:paraId="1B0D1FD1" w14:textId="77777777" w:rsidR="00535B14" w:rsidRDefault="00535B14">
      <w:pPr>
        <w:spacing w:after="0" w:line="276" w:lineRule="auto"/>
        <w:jc w:val="center"/>
        <w:rPr>
          <w:rFonts w:ascii="Arial" w:eastAsia="Arial" w:hAnsi="Arial" w:cs="Arial"/>
          <w:color w:val="000000"/>
          <w:sz w:val="24"/>
          <w:szCs w:val="24"/>
        </w:rPr>
      </w:pPr>
    </w:p>
    <w:p w14:paraId="1B0D1FD2" w14:textId="77777777" w:rsidR="00535B14" w:rsidRDefault="00000000">
      <w:pPr>
        <w:spacing w:after="0" w:line="276" w:lineRule="auto"/>
        <w:jc w:val="center"/>
        <w:rPr>
          <w:rFonts w:ascii="Arial" w:eastAsia="Arial" w:hAnsi="Arial" w:cs="Arial"/>
          <w:color w:val="000000"/>
          <w:sz w:val="24"/>
          <w:szCs w:val="24"/>
        </w:rPr>
      </w:pPr>
      <w:bookmarkStart w:id="1" w:name="bookmark=id.xrg5ny53nms6"/>
      <w:bookmarkEnd w:id="1"/>
      <w:r>
        <w:rPr>
          <w:rFonts w:ascii="Arial" w:eastAsia="Arial" w:hAnsi="Arial" w:cs="Arial"/>
          <w:color w:val="000000"/>
          <w:sz w:val="24"/>
          <w:szCs w:val="24"/>
        </w:rPr>
        <w:lastRenderedPageBreak/>
        <w:t>Gustavo Araujo Alves</w:t>
      </w:r>
    </w:p>
    <w:p w14:paraId="1B0D1FD3" w14:textId="77777777" w:rsidR="00535B14" w:rsidRDefault="00000000">
      <w:pPr>
        <w:spacing w:before="4004" w:after="0" w:line="320" w:lineRule="auto"/>
        <w:jc w:val="center"/>
        <w:rPr>
          <w:rFonts w:ascii="Arial" w:eastAsia="Arial" w:hAnsi="Arial" w:cs="Arial"/>
          <w:color w:val="000000"/>
          <w:sz w:val="28"/>
          <w:szCs w:val="28"/>
        </w:rPr>
      </w:pPr>
      <w:r>
        <w:rPr>
          <w:rFonts w:ascii="Arial" w:eastAsia="Arial" w:hAnsi="Arial" w:cs="Arial"/>
          <w:b/>
          <w:bCs/>
          <w:color w:val="000000"/>
          <w:sz w:val="28"/>
          <w:szCs w:val="28"/>
        </w:rPr>
        <w:t xml:space="preserve">DIVERSIFICAÇÃO DE </w:t>
      </w:r>
      <w:r>
        <w:rPr>
          <w:rFonts w:ascii="Arial" w:eastAsia="Arial" w:hAnsi="Arial" w:cs="Arial"/>
          <w:b/>
          <w:bCs/>
          <w:sz w:val="28"/>
          <w:szCs w:val="28"/>
        </w:rPr>
        <w:t>PORTFÓLIO</w:t>
      </w:r>
      <w:r>
        <w:rPr>
          <w:rFonts w:ascii="Arial" w:eastAsia="Arial" w:hAnsi="Arial" w:cs="Arial"/>
          <w:b/>
          <w:bCs/>
          <w:color w:val="000000"/>
          <w:sz w:val="28"/>
          <w:szCs w:val="28"/>
        </w:rPr>
        <w:t xml:space="preserve"> EM </w:t>
      </w:r>
      <w:r>
        <w:rPr>
          <w:rFonts w:ascii="Arial" w:eastAsia="Arial" w:hAnsi="Arial" w:cs="Arial"/>
          <w:b/>
          <w:bCs/>
          <w:sz w:val="28"/>
          <w:szCs w:val="28"/>
        </w:rPr>
        <w:t>CRIPTO ATIVOS</w:t>
      </w:r>
      <w:r>
        <w:rPr>
          <w:rFonts w:ascii="Arial" w:eastAsia="Arial" w:hAnsi="Arial" w:cs="Arial"/>
          <w:b/>
          <w:bCs/>
          <w:color w:val="000000"/>
          <w:sz w:val="28"/>
          <w:szCs w:val="28"/>
        </w:rPr>
        <w:t xml:space="preserve">: </w:t>
      </w:r>
      <w:r>
        <w:rPr>
          <w:rFonts w:ascii="Arial" w:eastAsia="Arial" w:hAnsi="Arial" w:cs="Arial"/>
          <w:color w:val="000000"/>
          <w:sz w:val="28"/>
          <w:szCs w:val="28"/>
        </w:rPr>
        <w:t>Uma Abordagem Híbrida de Otimização Média-Variância e Machine Learning.</w:t>
      </w:r>
    </w:p>
    <w:p w14:paraId="1B0D1FD4" w14:textId="77777777" w:rsidR="00535B14" w:rsidRDefault="00000000">
      <w:pPr>
        <w:spacing w:before="2415" w:after="0" w:line="276" w:lineRule="auto"/>
        <w:ind w:left="5387"/>
        <w:jc w:val="both"/>
        <w:rPr>
          <w:rFonts w:ascii="Arial" w:eastAsia="Arial" w:hAnsi="Arial" w:cs="Arial"/>
          <w:color w:val="000000"/>
          <w:sz w:val="24"/>
          <w:szCs w:val="24"/>
        </w:rPr>
      </w:pPr>
      <w:r>
        <w:rPr>
          <w:rFonts w:ascii="Arial" w:eastAsia="Arial" w:hAnsi="Arial" w:cs="Arial"/>
          <w:color w:val="000000"/>
          <w:sz w:val="24"/>
          <w:szCs w:val="24"/>
        </w:rPr>
        <w:t>Trabalho apresentado no Curso de Graduação em Administração do Centro Federal de Educação Tecnológica de Minas Gerais como requisito parcial para aprovação na disciplina de Metodologia de Pesquisa.</w:t>
      </w:r>
    </w:p>
    <w:p w14:paraId="1B0D1FD5" w14:textId="77777777" w:rsidR="00535B14" w:rsidRDefault="00000000">
      <w:pPr>
        <w:spacing w:before="414" w:after="0" w:line="276" w:lineRule="auto"/>
        <w:ind w:left="5387"/>
        <w:rPr>
          <w:rFonts w:ascii="Arial" w:eastAsia="Arial" w:hAnsi="Arial" w:cs="Arial"/>
          <w:color w:val="000000"/>
          <w:sz w:val="24"/>
          <w:szCs w:val="24"/>
        </w:rPr>
      </w:pPr>
      <w:r>
        <w:rPr>
          <w:rFonts w:ascii="Arial" w:eastAsia="Arial" w:hAnsi="Arial" w:cs="Arial"/>
          <w:color w:val="000000"/>
          <w:sz w:val="24"/>
          <w:szCs w:val="24"/>
        </w:rPr>
        <w:t>Prof. Felipe Dias Paiva</w:t>
      </w:r>
    </w:p>
    <w:p w14:paraId="1B0D1FD6" w14:textId="77777777" w:rsidR="00535B14" w:rsidRDefault="00000000">
      <w:pPr>
        <w:spacing w:before="1380" w:after="0" w:line="276" w:lineRule="auto"/>
        <w:jc w:val="center"/>
        <w:rPr>
          <w:rFonts w:ascii="Arial" w:eastAsia="Arial" w:hAnsi="Arial" w:cs="Arial"/>
          <w:color w:val="000000"/>
          <w:sz w:val="24"/>
          <w:szCs w:val="24"/>
        </w:rPr>
      </w:pPr>
      <w:r>
        <w:rPr>
          <w:rFonts w:ascii="Arial" w:eastAsia="Arial" w:hAnsi="Arial" w:cs="Arial"/>
          <w:b/>
          <w:bCs/>
          <w:color w:val="000000"/>
          <w:sz w:val="24"/>
          <w:szCs w:val="24"/>
        </w:rPr>
        <w:t>Belo Horizonte</w:t>
      </w:r>
    </w:p>
    <w:p w14:paraId="1B0D1FD7" w14:textId="77777777" w:rsidR="00535B14" w:rsidRDefault="00000000">
      <w:pPr>
        <w:spacing w:before="138" w:after="0" w:line="276" w:lineRule="auto"/>
        <w:jc w:val="center"/>
        <w:rPr>
          <w:rFonts w:ascii="Arial" w:eastAsia="Arial" w:hAnsi="Arial" w:cs="Arial"/>
          <w:b/>
          <w:bCs/>
          <w:color w:val="000000"/>
          <w:sz w:val="24"/>
          <w:szCs w:val="24"/>
        </w:rPr>
      </w:pPr>
      <w:r>
        <w:rPr>
          <w:rFonts w:ascii="Arial" w:eastAsia="Arial" w:hAnsi="Arial" w:cs="Arial"/>
          <w:b/>
          <w:bCs/>
          <w:color w:val="000000"/>
          <w:sz w:val="24"/>
          <w:szCs w:val="24"/>
        </w:rPr>
        <w:t>2026</w:t>
      </w:r>
      <w:r>
        <w:br w:type="page" w:clear="all"/>
      </w:r>
    </w:p>
    <w:p w14:paraId="1B0D1FD8" w14:textId="77777777" w:rsidR="00535B14" w:rsidRDefault="00000000">
      <w:pPr>
        <w:spacing w:after="0" w:line="360" w:lineRule="auto"/>
        <w:jc w:val="center"/>
        <w:rPr>
          <w:rFonts w:ascii="Arial" w:eastAsia="Arial" w:hAnsi="Arial" w:cs="Arial"/>
          <w:b/>
          <w:bCs/>
          <w:sz w:val="24"/>
          <w:szCs w:val="24"/>
        </w:rPr>
      </w:pPr>
      <w:r>
        <w:rPr>
          <w:rFonts w:ascii="Arial" w:eastAsia="Arial" w:hAnsi="Arial" w:cs="Arial"/>
          <w:b/>
          <w:bCs/>
          <w:sz w:val="24"/>
          <w:szCs w:val="24"/>
        </w:rPr>
        <w:lastRenderedPageBreak/>
        <w:t>SUMÁRIO</w:t>
      </w:r>
    </w:p>
    <w:sdt>
      <w:sdtPr>
        <w:id w:val="-2084388618"/>
        <w:docPartObj>
          <w:docPartGallery w:val="Table of Contents"/>
          <w:docPartUnique/>
        </w:docPartObj>
      </w:sdtPr>
      <w:sdtContent>
        <w:p w14:paraId="1B0D1FD9" w14:textId="77777777" w:rsidR="00535B14" w:rsidRDefault="00000000">
          <w:pPr>
            <w:pStyle w:val="Sumrio1"/>
            <w:tabs>
              <w:tab w:val="left" w:pos="567"/>
              <w:tab w:val="right" w:pos="8494"/>
            </w:tabs>
          </w:pPr>
          <w:r>
            <w:fldChar w:fldCharType="begin"/>
          </w:r>
          <w:r>
            <w:instrText xml:space="preserve"> TOC \h \u \z \t "Heading 1,1,Heading 2,2,Heading 3,3,"</w:instrText>
          </w:r>
          <w:r>
            <w:fldChar w:fldCharType="separate"/>
          </w:r>
          <w:hyperlink w:anchor="_Toc1" w:tooltip="#_Toc1" w:history="1">
            <w:r w:rsidR="00535B14">
              <w:rPr>
                <w:rFonts w:ascii="Arial" w:eastAsia="Arial" w:hAnsi="Arial" w:cs="Arial"/>
              </w:rPr>
              <w:t>1.</w:t>
            </w:r>
            <w:r w:rsidR="00535B14">
              <w:tab/>
            </w:r>
            <w:r w:rsidR="00535B14">
              <w:rPr>
                <w:rStyle w:val="Hyperlink"/>
              </w:rPr>
              <w:t xml:space="preserve">INTRODUÇÃO </w:t>
            </w:r>
            <w:r w:rsidR="00535B14">
              <w:tab/>
            </w:r>
            <w:r w:rsidR="00535B14">
              <w:fldChar w:fldCharType="begin"/>
            </w:r>
            <w:r w:rsidR="00535B14">
              <w:instrText>PAGEREF _Toc1 \h</w:instrText>
            </w:r>
            <w:r w:rsidR="00535B14">
              <w:fldChar w:fldCharType="separate"/>
            </w:r>
            <w:r w:rsidR="00535B14">
              <w:t>6</w:t>
            </w:r>
            <w:r w:rsidR="00535B14">
              <w:fldChar w:fldCharType="end"/>
            </w:r>
          </w:hyperlink>
        </w:p>
        <w:p w14:paraId="1B0D1FDA" w14:textId="77777777" w:rsidR="00535B14" w:rsidRDefault="00535B14">
          <w:pPr>
            <w:pStyle w:val="Sumrio1"/>
            <w:tabs>
              <w:tab w:val="left" w:pos="567"/>
              <w:tab w:val="right" w:pos="8494"/>
            </w:tabs>
          </w:pPr>
          <w:hyperlink w:anchor="_Toc2" w:tooltip="#_Toc2" w:history="1">
            <w:r>
              <w:rPr>
                <w:rFonts w:ascii="Arial" w:eastAsia="Arial" w:hAnsi="Arial" w:cs="Arial"/>
              </w:rPr>
              <w:t>2.</w:t>
            </w:r>
            <w:r>
              <w:tab/>
            </w:r>
            <w:r>
              <w:rPr>
                <w:rStyle w:val="Hyperlink"/>
              </w:rPr>
              <w:t>REFERENCIAL TEÓRICO</w:t>
            </w:r>
            <w:r>
              <w:tab/>
            </w:r>
            <w:r>
              <w:fldChar w:fldCharType="begin"/>
            </w:r>
            <w:r>
              <w:instrText>PAGEREF _Toc2 \h</w:instrText>
            </w:r>
            <w:r>
              <w:fldChar w:fldCharType="separate"/>
            </w:r>
            <w:r>
              <w:t>10</w:t>
            </w:r>
            <w:r>
              <w:fldChar w:fldCharType="end"/>
            </w:r>
          </w:hyperlink>
        </w:p>
        <w:p w14:paraId="1B0D1FDB" w14:textId="77777777" w:rsidR="00535B14" w:rsidRDefault="00535B14">
          <w:pPr>
            <w:pStyle w:val="Sumrio2"/>
            <w:tabs>
              <w:tab w:val="left" w:pos="850"/>
              <w:tab w:val="right" w:pos="8494"/>
            </w:tabs>
          </w:pPr>
          <w:hyperlink w:anchor="_Toc3" w:tooltip="#_Toc3" w:history="1">
            <w:r>
              <w:rPr>
                <w:rFonts w:ascii="Arial" w:eastAsia="Arial" w:hAnsi="Arial" w:cs="Arial"/>
              </w:rPr>
              <w:t>2.1</w:t>
            </w:r>
            <w:r>
              <w:tab/>
            </w:r>
            <w:r>
              <w:rPr>
                <w:rStyle w:val="Hyperlink"/>
              </w:rPr>
              <w:t>Tomada de decisão no mercado financeiro</w:t>
            </w:r>
            <w:r>
              <w:tab/>
            </w:r>
            <w:r>
              <w:fldChar w:fldCharType="begin"/>
            </w:r>
            <w:r>
              <w:instrText>PAGEREF _Toc3 \h</w:instrText>
            </w:r>
            <w:r>
              <w:fldChar w:fldCharType="separate"/>
            </w:r>
            <w:r>
              <w:t>10</w:t>
            </w:r>
            <w:r>
              <w:fldChar w:fldCharType="end"/>
            </w:r>
          </w:hyperlink>
        </w:p>
        <w:p w14:paraId="1B0D1FDC" w14:textId="77777777" w:rsidR="00535B14" w:rsidRDefault="00535B14">
          <w:pPr>
            <w:pStyle w:val="Sumrio2"/>
            <w:tabs>
              <w:tab w:val="left" w:pos="850"/>
              <w:tab w:val="right" w:pos="8494"/>
            </w:tabs>
          </w:pPr>
          <w:hyperlink w:anchor="_Toc4" w:tooltip="#_Toc4" w:history="1">
            <w:r>
              <w:rPr>
                <w:rFonts w:ascii="Arial" w:eastAsia="Arial" w:hAnsi="Arial" w:cs="Arial"/>
              </w:rPr>
              <w:t>2.2</w:t>
            </w:r>
            <w:r>
              <w:tab/>
            </w:r>
            <w:r>
              <w:rPr>
                <w:rStyle w:val="Hyperlink"/>
              </w:rPr>
              <w:t>Cripto Ativos</w:t>
            </w:r>
            <w:r>
              <w:tab/>
            </w:r>
            <w:r>
              <w:fldChar w:fldCharType="begin"/>
            </w:r>
            <w:r>
              <w:instrText>PAGEREF _Toc4 \h</w:instrText>
            </w:r>
            <w:r>
              <w:fldChar w:fldCharType="separate"/>
            </w:r>
            <w:r>
              <w:t>14</w:t>
            </w:r>
            <w:r>
              <w:fldChar w:fldCharType="end"/>
            </w:r>
          </w:hyperlink>
        </w:p>
        <w:p w14:paraId="1B0D1FDD" w14:textId="77777777" w:rsidR="00535B14" w:rsidRDefault="00535B14">
          <w:pPr>
            <w:pStyle w:val="Sumrio2"/>
            <w:tabs>
              <w:tab w:val="left" w:pos="850"/>
              <w:tab w:val="right" w:pos="8494"/>
            </w:tabs>
          </w:pPr>
          <w:hyperlink w:anchor="_Toc5" w:tooltip="#_Toc5" w:history="1">
            <w:r>
              <w:rPr>
                <w:rFonts w:ascii="Arial" w:eastAsia="Arial" w:hAnsi="Arial" w:cs="Arial"/>
              </w:rPr>
              <w:t>2.3</w:t>
            </w:r>
            <w:r>
              <w:tab/>
            </w:r>
            <w:r>
              <w:rPr>
                <w:rStyle w:val="Hyperlink"/>
              </w:rPr>
              <w:t>Machine Learning</w:t>
            </w:r>
            <w:r>
              <w:tab/>
            </w:r>
            <w:r>
              <w:fldChar w:fldCharType="begin"/>
            </w:r>
            <w:r>
              <w:instrText>PAGEREF _Toc5 \h</w:instrText>
            </w:r>
            <w:r>
              <w:fldChar w:fldCharType="separate"/>
            </w:r>
            <w:r>
              <w:t>20</w:t>
            </w:r>
            <w:r>
              <w:fldChar w:fldCharType="end"/>
            </w:r>
          </w:hyperlink>
        </w:p>
        <w:p w14:paraId="1B0D1FDE" w14:textId="77777777" w:rsidR="00535B14" w:rsidRDefault="00535B14">
          <w:pPr>
            <w:pStyle w:val="Sumrio2"/>
            <w:tabs>
              <w:tab w:val="left" w:pos="850"/>
              <w:tab w:val="right" w:pos="8494"/>
            </w:tabs>
          </w:pPr>
          <w:hyperlink w:anchor="_Toc6" w:tooltip="#_Toc6" w:history="1">
            <w:r>
              <w:rPr>
                <w:rFonts w:ascii="Arial" w:eastAsia="Arial" w:hAnsi="Arial" w:cs="Arial"/>
              </w:rPr>
              <w:t>2.4</w:t>
            </w:r>
            <w:r>
              <w:tab/>
            </w:r>
            <w:r>
              <w:rPr>
                <w:rStyle w:val="Hyperlink"/>
              </w:rPr>
              <w:t>Teoria Moderna de Portfólio</w:t>
            </w:r>
            <w:r>
              <w:tab/>
            </w:r>
            <w:r>
              <w:fldChar w:fldCharType="begin"/>
            </w:r>
            <w:r>
              <w:instrText>PAGEREF _Toc6 \h</w:instrText>
            </w:r>
            <w:r>
              <w:fldChar w:fldCharType="separate"/>
            </w:r>
            <w:r>
              <w:t>20</w:t>
            </w:r>
            <w:r>
              <w:fldChar w:fldCharType="end"/>
            </w:r>
          </w:hyperlink>
        </w:p>
        <w:p w14:paraId="1B0D1FDF" w14:textId="77777777" w:rsidR="00535B14" w:rsidRDefault="00535B14">
          <w:pPr>
            <w:pStyle w:val="Sumrio2"/>
            <w:tabs>
              <w:tab w:val="left" w:pos="850"/>
              <w:tab w:val="right" w:pos="8494"/>
            </w:tabs>
          </w:pPr>
          <w:hyperlink w:anchor="_Toc7" w:tooltip="#_Toc7" w:history="1">
            <w:r>
              <w:rPr>
                <w:rFonts w:ascii="Arial" w:eastAsia="Arial" w:hAnsi="Arial" w:cs="Arial"/>
              </w:rPr>
              <w:t>2.5</w:t>
            </w:r>
            <w:r>
              <w:tab/>
            </w:r>
            <w:r>
              <w:rPr>
                <w:rStyle w:val="Hyperlink"/>
                <w:lang w:bidi="pt-BR"/>
              </w:rPr>
              <w:t xml:space="preserve"> Estudos Relacionados</w:t>
            </w:r>
            <w:r>
              <w:tab/>
            </w:r>
            <w:r>
              <w:fldChar w:fldCharType="begin"/>
            </w:r>
            <w:r>
              <w:instrText>PAGEREF _Toc7 \h</w:instrText>
            </w:r>
            <w:r>
              <w:fldChar w:fldCharType="separate"/>
            </w:r>
            <w:r>
              <w:t>20</w:t>
            </w:r>
            <w:r>
              <w:fldChar w:fldCharType="end"/>
            </w:r>
          </w:hyperlink>
        </w:p>
        <w:p w14:paraId="1B0D1FE0" w14:textId="77777777" w:rsidR="00535B14" w:rsidRDefault="00535B14">
          <w:pPr>
            <w:pStyle w:val="Sumrio1"/>
            <w:tabs>
              <w:tab w:val="left" w:pos="567"/>
              <w:tab w:val="right" w:pos="8494"/>
            </w:tabs>
          </w:pPr>
          <w:hyperlink w:anchor="_Toc8" w:tooltip="#_Toc8" w:history="1">
            <w:r>
              <w:rPr>
                <w:rFonts w:ascii="Arial" w:eastAsia="Arial" w:hAnsi="Arial" w:cs="Arial"/>
              </w:rPr>
              <w:t>3.</w:t>
            </w:r>
            <w:r>
              <w:tab/>
            </w:r>
            <w:r>
              <w:rPr>
                <w:rStyle w:val="Hyperlink"/>
              </w:rPr>
              <w:t>METODOLOGIA</w:t>
            </w:r>
            <w:r>
              <w:tab/>
            </w:r>
            <w:r>
              <w:fldChar w:fldCharType="begin"/>
            </w:r>
            <w:r>
              <w:instrText>PAGEREF _Toc8 \h</w:instrText>
            </w:r>
            <w:r>
              <w:fldChar w:fldCharType="separate"/>
            </w:r>
            <w:r>
              <w:t>22</w:t>
            </w:r>
            <w:r>
              <w:fldChar w:fldCharType="end"/>
            </w:r>
          </w:hyperlink>
        </w:p>
        <w:p w14:paraId="1B0D1FE1" w14:textId="77777777" w:rsidR="00535B14" w:rsidRDefault="00535B14">
          <w:pPr>
            <w:pStyle w:val="Sumrio1"/>
            <w:tabs>
              <w:tab w:val="left" w:pos="567"/>
              <w:tab w:val="right" w:pos="8494"/>
            </w:tabs>
          </w:pPr>
          <w:hyperlink w:anchor="_Toc9" w:tooltip="#_Toc9" w:history="1">
            <w:r>
              <w:rPr>
                <w:rFonts w:ascii="Arial" w:eastAsia="Arial" w:hAnsi="Arial" w:cs="Arial"/>
              </w:rPr>
              <w:t>4.</w:t>
            </w:r>
            <w:r>
              <w:tab/>
            </w:r>
            <w:r>
              <w:rPr>
                <w:rStyle w:val="Hyperlink"/>
              </w:rPr>
              <w:t>CRONOGRAMA</w:t>
            </w:r>
            <w:r>
              <w:tab/>
            </w:r>
            <w:r>
              <w:fldChar w:fldCharType="begin"/>
            </w:r>
            <w:r>
              <w:instrText>PAGEREF _Toc9 \h</w:instrText>
            </w:r>
            <w:r>
              <w:fldChar w:fldCharType="separate"/>
            </w:r>
            <w:r>
              <w:t>24</w:t>
            </w:r>
            <w:r>
              <w:fldChar w:fldCharType="end"/>
            </w:r>
          </w:hyperlink>
        </w:p>
        <w:p w14:paraId="1B0D1FE2" w14:textId="77777777" w:rsidR="00535B14" w:rsidRDefault="00535B14">
          <w:pPr>
            <w:pStyle w:val="Sumrio1"/>
            <w:tabs>
              <w:tab w:val="right" w:pos="8494"/>
            </w:tabs>
          </w:pPr>
          <w:hyperlink w:anchor="_Toc10" w:tooltip="#_Toc10" w:history="1">
            <w:r>
              <w:rPr>
                <w:rStyle w:val="Hyperlink"/>
              </w:rPr>
              <w:t>Quadro 1 — Cronograma</w:t>
            </w:r>
            <w:r>
              <w:tab/>
            </w:r>
            <w:r>
              <w:fldChar w:fldCharType="begin"/>
            </w:r>
            <w:r>
              <w:instrText>PAGEREF _Toc10 \h</w:instrText>
            </w:r>
            <w:r>
              <w:fldChar w:fldCharType="separate"/>
            </w:r>
            <w:r>
              <w:t>24</w:t>
            </w:r>
            <w:r>
              <w:fldChar w:fldCharType="end"/>
            </w:r>
          </w:hyperlink>
        </w:p>
        <w:p w14:paraId="1B0D1FE3" w14:textId="77777777" w:rsidR="00535B14" w:rsidRDefault="00535B14">
          <w:pPr>
            <w:pStyle w:val="Sumrio1"/>
            <w:tabs>
              <w:tab w:val="right" w:pos="8494"/>
            </w:tabs>
          </w:pPr>
          <w:hyperlink w:anchor="_Toc11" w:tooltip="#_Toc11" w:history="1">
            <w:r>
              <w:rPr>
                <w:rStyle w:val="Hyperlink"/>
              </w:rPr>
              <w:t>REFERÊNCIAS</w:t>
            </w:r>
            <w:r>
              <w:tab/>
            </w:r>
            <w:r>
              <w:fldChar w:fldCharType="begin"/>
            </w:r>
            <w:r>
              <w:instrText>PAGEREF _Toc11 \h</w:instrText>
            </w:r>
            <w:r>
              <w:fldChar w:fldCharType="separate"/>
            </w:r>
            <w:r>
              <w:t>25</w:t>
            </w:r>
            <w:r>
              <w:fldChar w:fldCharType="end"/>
            </w:r>
          </w:hyperlink>
        </w:p>
        <w:p w14:paraId="1B0D1FE4" w14:textId="77777777" w:rsidR="00535B14" w:rsidRDefault="00000000">
          <w:pPr>
            <w:tabs>
              <w:tab w:val="left" w:pos="960"/>
              <w:tab w:val="right" w:pos="8777"/>
            </w:tabs>
            <w:spacing w:after="100" w:line="360" w:lineRule="auto"/>
            <w:rPr>
              <w:rFonts w:ascii="Arial" w:eastAsia="Arial" w:hAnsi="Arial" w:cs="Arial"/>
              <w:b/>
              <w:bCs/>
              <w:sz w:val="24"/>
              <w:szCs w:val="24"/>
            </w:rPr>
          </w:pPr>
          <w:r>
            <w:fldChar w:fldCharType="end"/>
          </w:r>
        </w:p>
      </w:sdtContent>
    </w:sdt>
    <w:p w14:paraId="1B0D1FE5" w14:textId="77777777" w:rsidR="00535B14" w:rsidRDefault="00000000">
      <w:pPr>
        <w:tabs>
          <w:tab w:val="left" w:pos="960"/>
          <w:tab w:val="right" w:pos="8777"/>
        </w:tabs>
        <w:spacing w:after="100" w:line="360" w:lineRule="auto"/>
        <w:rPr>
          <w:rFonts w:ascii="Arial" w:eastAsia="Arial" w:hAnsi="Arial" w:cs="Arial"/>
          <w:sz w:val="24"/>
          <w:szCs w:val="24"/>
        </w:rPr>
      </w:pPr>
      <w:bookmarkStart w:id="2" w:name="_heading=h.8p87al21mofe"/>
      <w:bookmarkEnd w:id="2"/>
      <w:r>
        <w:br w:type="page" w:clear="all"/>
      </w:r>
    </w:p>
    <w:p w14:paraId="1B0D1FE6" w14:textId="77777777" w:rsidR="00535B14" w:rsidRDefault="00000000">
      <w:pPr>
        <w:tabs>
          <w:tab w:val="left" w:pos="0"/>
          <w:tab w:val="right" w:pos="8504"/>
        </w:tabs>
        <w:spacing w:after="100" w:line="360" w:lineRule="auto"/>
        <w:jc w:val="center"/>
        <w:rPr>
          <w:rFonts w:ascii="Arial" w:eastAsia="Arial" w:hAnsi="Arial" w:cs="Arial"/>
          <w:b/>
          <w:bCs/>
          <w:sz w:val="24"/>
          <w:szCs w:val="24"/>
        </w:rPr>
      </w:pPr>
      <w:r>
        <w:rPr>
          <w:rFonts w:ascii="Arial" w:eastAsia="Arial" w:hAnsi="Arial" w:cs="Arial"/>
          <w:b/>
          <w:bCs/>
          <w:sz w:val="24"/>
          <w:szCs w:val="24"/>
        </w:rPr>
        <w:lastRenderedPageBreak/>
        <w:t>LISTA DE FIGURAS</w:t>
      </w:r>
    </w:p>
    <w:p w14:paraId="1B0D1FE7" w14:textId="77777777" w:rsidR="00535B14" w:rsidRDefault="00535B14">
      <w:pPr>
        <w:tabs>
          <w:tab w:val="left" w:pos="0"/>
          <w:tab w:val="right" w:pos="8504"/>
        </w:tabs>
        <w:spacing w:after="100" w:line="360" w:lineRule="auto"/>
        <w:rPr>
          <w:rFonts w:ascii="Arial" w:eastAsia="Arial" w:hAnsi="Arial" w:cs="Arial"/>
          <w:b/>
          <w:bCs/>
          <w:sz w:val="24"/>
          <w:szCs w:val="24"/>
        </w:rPr>
      </w:pPr>
    </w:p>
    <w:p w14:paraId="1B0D1FE8" w14:textId="77777777" w:rsidR="00535B14" w:rsidRDefault="00535B14">
      <w:pPr>
        <w:tabs>
          <w:tab w:val="left" w:pos="0"/>
          <w:tab w:val="right" w:pos="8504"/>
        </w:tabs>
        <w:spacing w:after="100" w:line="360" w:lineRule="auto"/>
        <w:rPr>
          <w:rFonts w:ascii="Arial" w:eastAsia="Arial" w:hAnsi="Arial" w:cs="Arial"/>
          <w:b/>
          <w:bCs/>
          <w:sz w:val="24"/>
          <w:szCs w:val="24"/>
        </w:rPr>
      </w:pPr>
    </w:p>
    <w:p w14:paraId="1B0D1FE9" w14:textId="77777777" w:rsidR="00535B14" w:rsidRDefault="00535B14">
      <w:pPr>
        <w:tabs>
          <w:tab w:val="left" w:pos="0"/>
          <w:tab w:val="right" w:pos="8504"/>
        </w:tabs>
        <w:spacing w:after="100" w:line="360" w:lineRule="auto"/>
        <w:rPr>
          <w:rFonts w:ascii="Arial" w:eastAsia="Arial" w:hAnsi="Arial" w:cs="Arial"/>
          <w:b/>
          <w:bCs/>
          <w:sz w:val="24"/>
          <w:szCs w:val="24"/>
        </w:rPr>
      </w:pPr>
    </w:p>
    <w:p w14:paraId="1B0D1FEA" w14:textId="77777777" w:rsidR="00535B14" w:rsidRDefault="00535B14">
      <w:pPr>
        <w:tabs>
          <w:tab w:val="left" w:pos="0"/>
          <w:tab w:val="right" w:pos="8504"/>
        </w:tabs>
        <w:spacing w:after="100" w:line="360" w:lineRule="auto"/>
        <w:rPr>
          <w:rFonts w:ascii="Arial" w:eastAsia="Arial" w:hAnsi="Arial" w:cs="Arial"/>
          <w:b/>
          <w:bCs/>
          <w:sz w:val="24"/>
          <w:szCs w:val="24"/>
        </w:rPr>
      </w:pPr>
    </w:p>
    <w:p w14:paraId="1B0D1FEB" w14:textId="77777777" w:rsidR="00535B14" w:rsidRDefault="00535B14">
      <w:pPr>
        <w:tabs>
          <w:tab w:val="left" w:pos="0"/>
          <w:tab w:val="right" w:pos="8504"/>
        </w:tabs>
        <w:spacing w:after="100" w:line="360" w:lineRule="auto"/>
        <w:rPr>
          <w:rFonts w:ascii="Arial" w:eastAsia="Arial" w:hAnsi="Arial" w:cs="Arial"/>
          <w:b/>
          <w:bCs/>
          <w:sz w:val="24"/>
          <w:szCs w:val="24"/>
        </w:rPr>
      </w:pPr>
    </w:p>
    <w:p w14:paraId="1B0D1FEC" w14:textId="77777777" w:rsidR="00535B14" w:rsidRDefault="00000000">
      <w:pPr>
        <w:rPr>
          <w:rFonts w:ascii="Arial" w:eastAsia="Arial" w:hAnsi="Arial" w:cs="Arial"/>
          <w:b/>
          <w:bCs/>
          <w:sz w:val="24"/>
          <w:szCs w:val="24"/>
        </w:rPr>
      </w:pPr>
      <w:r>
        <w:br w:type="page" w:clear="all"/>
      </w:r>
    </w:p>
    <w:p w14:paraId="1B0D1FED" w14:textId="77777777" w:rsidR="00535B14" w:rsidRDefault="00000000">
      <w:pPr>
        <w:tabs>
          <w:tab w:val="left" w:pos="0"/>
          <w:tab w:val="right" w:pos="8504"/>
        </w:tabs>
        <w:spacing w:after="100" w:line="360" w:lineRule="auto"/>
        <w:jc w:val="center"/>
        <w:rPr>
          <w:rFonts w:ascii="Arial" w:eastAsia="Arial" w:hAnsi="Arial" w:cs="Arial"/>
          <w:sz w:val="24"/>
          <w:szCs w:val="24"/>
        </w:rPr>
      </w:pPr>
      <w:r>
        <w:rPr>
          <w:rFonts w:ascii="Arial" w:eastAsia="Arial" w:hAnsi="Arial" w:cs="Arial"/>
          <w:b/>
          <w:bCs/>
          <w:sz w:val="24"/>
          <w:szCs w:val="24"/>
        </w:rPr>
        <w:lastRenderedPageBreak/>
        <w:t>LISTA DE QUADROS</w:t>
      </w:r>
    </w:p>
    <w:p w14:paraId="1B0D1FEE" w14:textId="77777777" w:rsidR="00535B14" w:rsidRDefault="00535B14">
      <w:pPr>
        <w:tabs>
          <w:tab w:val="left" w:pos="0"/>
          <w:tab w:val="right" w:pos="8504"/>
        </w:tabs>
        <w:spacing w:after="100" w:line="360" w:lineRule="auto"/>
        <w:jc w:val="center"/>
        <w:rPr>
          <w:rFonts w:ascii="Arial" w:eastAsia="Arial" w:hAnsi="Arial" w:cs="Arial"/>
          <w:b/>
          <w:bCs/>
          <w:sz w:val="24"/>
          <w:szCs w:val="24"/>
        </w:rPr>
      </w:pPr>
    </w:p>
    <w:p w14:paraId="1B0D1FEF" w14:textId="77777777" w:rsidR="00535B14" w:rsidRDefault="00535B14">
      <w:pPr>
        <w:tabs>
          <w:tab w:val="left" w:pos="0"/>
          <w:tab w:val="right" w:pos="8504"/>
        </w:tabs>
        <w:spacing w:after="100" w:line="360" w:lineRule="auto"/>
        <w:jc w:val="center"/>
        <w:rPr>
          <w:rFonts w:ascii="Arial" w:eastAsia="Arial" w:hAnsi="Arial" w:cs="Arial"/>
          <w:b/>
          <w:bCs/>
          <w:sz w:val="24"/>
          <w:szCs w:val="24"/>
        </w:rPr>
      </w:pPr>
    </w:p>
    <w:p w14:paraId="1B0D1FF0" w14:textId="77777777" w:rsidR="00535B14" w:rsidRDefault="00535B14">
      <w:pPr>
        <w:tabs>
          <w:tab w:val="left" w:pos="0"/>
          <w:tab w:val="right" w:pos="8504"/>
        </w:tabs>
        <w:spacing w:after="100" w:line="360" w:lineRule="auto"/>
        <w:jc w:val="center"/>
        <w:rPr>
          <w:rFonts w:ascii="Arial" w:eastAsia="Arial" w:hAnsi="Arial" w:cs="Arial"/>
          <w:b/>
          <w:bCs/>
          <w:sz w:val="24"/>
          <w:szCs w:val="24"/>
        </w:rPr>
      </w:pPr>
    </w:p>
    <w:p w14:paraId="1B0D1FF1" w14:textId="77777777" w:rsidR="00535B14" w:rsidRDefault="00535B14">
      <w:pPr>
        <w:tabs>
          <w:tab w:val="left" w:pos="0"/>
          <w:tab w:val="right" w:pos="8504"/>
        </w:tabs>
        <w:spacing w:after="100" w:line="360" w:lineRule="auto"/>
        <w:jc w:val="center"/>
        <w:rPr>
          <w:rFonts w:ascii="Arial" w:eastAsia="Arial" w:hAnsi="Arial" w:cs="Arial"/>
          <w:b/>
          <w:bCs/>
          <w:sz w:val="24"/>
          <w:szCs w:val="24"/>
        </w:rPr>
      </w:pPr>
    </w:p>
    <w:p w14:paraId="1B0D1FF2" w14:textId="77777777" w:rsidR="00535B14" w:rsidRDefault="00000000">
      <w:pPr>
        <w:tabs>
          <w:tab w:val="left" w:pos="960"/>
          <w:tab w:val="right" w:pos="8777"/>
        </w:tabs>
        <w:spacing w:after="100" w:line="360" w:lineRule="auto"/>
        <w:rPr>
          <w:rFonts w:ascii="Arial" w:eastAsia="Arial" w:hAnsi="Arial" w:cs="Arial"/>
          <w:sz w:val="24"/>
          <w:szCs w:val="24"/>
        </w:rPr>
        <w:sectPr w:rsidR="00535B14">
          <w:headerReference w:type="default" r:id="rId9"/>
          <w:pgSz w:w="11906" w:h="16838"/>
          <w:pgMar w:top="1417" w:right="1701" w:bottom="1417" w:left="1701" w:header="708" w:footer="708" w:gutter="0"/>
          <w:pgNumType w:start="1"/>
          <w:cols w:space="1701"/>
        </w:sectPr>
      </w:pPr>
      <w:r>
        <w:br w:type="page" w:clear="all"/>
      </w:r>
    </w:p>
    <w:p w14:paraId="1B0D1FF3" w14:textId="77777777" w:rsidR="00535B14" w:rsidRDefault="00000000">
      <w:pPr>
        <w:pStyle w:val="Ttulo1"/>
        <w:numPr>
          <w:ilvl w:val="0"/>
          <w:numId w:val="1"/>
        </w:numPr>
      </w:pPr>
      <w:bookmarkStart w:id="3" w:name="_heading=h.9984wnubasqk"/>
      <w:bookmarkStart w:id="4" w:name="_Toc1"/>
      <w:bookmarkEnd w:id="3"/>
      <w:r>
        <w:lastRenderedPageBreak/>
        <w:t xml:space="preserve">INTRODUÇÃO </w:t>
      </w:r>
      <w:bookmarkEnd w:id="4"/>
    </w:p>
    <w:p w14:paraId="1B0D1FF4" w14:textId="77777777" w:rsidR="00535B14" w:rsidRDefault="00000000">
      <w:pPr>
        <w:spacing w:before="280" w:after="280" w:line="360" w:lineRule="auto"/>
        <w:ind w:left="360" w:hanging="360"/>
        <w:jc w:val="both"/>
        <w:rPr>
          <w:rFonts w:ascii="Arial" w:eastAsia="Arial" w:hAnsi="Arial" w:cs="Arial"/>
          <w:b/>
          <w:bCs/>
          <w:sz w:val="24"/>
          <w:szCs w:val="24"/>
        </w:rPr>
      </w:pPr>
      <w:bookmarkStart w:id="5" w:name="_heading=h.5fwd3ohnaiih"/>
      <w:bookmarkEnd w:id="5"/>
      <w:r>
        <w:rPr>
          <w:rFonts w:ascii="Arial" w:eastAsia="Arial" w:hAnsi="Arial" w:cs="Arial"/>
          <w:b/>
          <w:bCs/>
          <w:sz w:val="24"/>
          <w:szCs w:val="24"/>
        </w:rPr>
        <w:t>Contextualização</w:t>
      </w:r>
    </w:p>
    <w:p w14:paraId="1B0D1FF5" w14:textId="77777777" w:rsidR="00535B14" w:rsidRDefault="00000000">
      <w:pPr>
        <w:shd w:val="clear" w:color="auto" w:fill="FFFFFF"/>
        <w:tabs>
          <w:tab w:val="left" w:pos="3686"/>
        </w:tabs>
        <w:spacing w:after="0" w:line="360" w:lineRule="auto"/>
        <w:ind w:firstLine="709"/>
        <w:jc w:val="both"/>
        <w:rPr>
          <w:rFonts w:ascii="Arial" w:eastAsia="Arial" w:hAnsi="Arial" w:cs="Arial"/>
          <w:b/>
          <w:bCs/>
          <w:sz w:val="40"/>
          <w:szCs w:val="40"/>
        </w:rPr>
      </w:pPr>
      <w:r>
        <w:rPr>
          <w:rFonts w:ascii="Arial" w:eastAsia="Arial" w:hAnsi="Arial" w:cs="Arial"/>
          <w:sz w:val="24"/>
          <w:szCs w:val="24"/>
        </w:rPr>
        <w:t xml:space="preserve"> “A administração financeira pode ser vista como uma forma de economia aplicada, que se baseia amplamente em conceitos teóricos econômicos” </w:t>
      </w:r>
      <w:proofErr w:type="spellStart"/>
      <w:r>
        <w:rPr>
          <w:rFonts w:ascii="Arial" w:eastAsia="Arial" w:hAnsi="Arial" w:cs="Arial"/>
          <w:sz w:val="24"/>
          <w:szCs w:val="24"/>
        </w:rPr>
        <w:t>Gitman</w:t>
      </w:r>
      <w:proofErr w:type="spellEnd"/>
      <w:r>
        <w:rPr>
          <w:rFonts w:ascii="Arial" w:eastAsia="Arial" w:hAnsi="Arial" w:cs="Arial"/>
          <w:sz w:val="24"/>
          <w:szCs w:val="24"/>
        </w:rPr>
        <w:t xml:space="preserve"> (2004, p. 4). Com essa citação, se introduz o presente artigo abordando a definição de sua área de estudo, a Administração Financeira. Área que se caracteriza por dinamismo, sempre utilizando de novas tecnologias em busca de maximização de resultados. </w:t>
      </w:r>
    </w:p>
    <w:p w14:paraId="1B0D1FF7" w14:textId="77777777" w:rsidR="00535B14" w:rsidRDefault="00000000">
      <w:pPr>
        <w:shd w:val="clear" w:color="auto" w:fill="FFFFFF"/>
        <w:tabs>
          <w:tab w:val="left" w:pos="3686"/>
        </w:tabs>
        <w:spacing w:after="0" w:line="360" w:lineRule="auto"/>
        <w:ind w:firstLine="709"/>
        <w:jc w:val="both"/>
        <w:rPr>
          <w:rFonts w:ascii="Arial" w:eastAsia="Arial" w:hAnsi="Arial" w:cs="Arial"/>
          <w:sz w:val="24"/>
          <w:szCs w:val="24"/>
        </w:rPr>
      </w:pPr>
      <w:r>
        <w:rPr>
          <w:rFonts w:ascii="Arial" w:eastAsia="Arial" w:hAnsi="Arial" w:cs="Arial"/>
          <w:sz w:val="24"/>
          <w:szCs w:val="24"/>
        </w:rPr>
        <w:t xml:space="preserve">Nesse sentido, Paiva (2014, p.15), diz que a possibilidade de prever preços futuros em ativos financeiros, contraria a teoria financeira dominante, a Hipótese de Mercado Eficiente (HME). Esta, denota ineficácia na previsão de preços do mercado se utilizando de informações passadas. A afirmativa é justificada pelo pressuposto de movimento </w:t>
      </w:r>
      <w:r>
        <w:rPr>
          <w:rFonts w:ascii="Arial" w:eastAsia="Arial" w:hAnsi="Arial" w:cs="Arial"/>
          <w:i/>
          <w:iCs/>
          <w:sz w:val="24"/>
          <w:szCs w:val="24"/>
        </w:rPr>
        <w:t xml:space="preserve">browniano </w:t>
      </w:r>
      <w:r>
        <w:rPr>
          <w:rFonts w:ascii="Arial" w:eastAsia="Arial" w:hAnsi="Arial" w:cs="Arial"/>
          <w:sz w:val="24"/>
          <w:szCs w:val="24"/>
        </w:rPr>
        <w:t>da HME, que é concebido por características randômicas e independentes. Entretanto, ainda segundo Paiva, “[...] na contramão da concepção de mercado eficiente, alguns estudos defendem que o mercado acionário, na verdade, não se firma como aleatório e que as séries financeiras têm memória de longo-prazo. Dessa forma, desde que identificados padrões de comportamento, torna-se factível delinear algum modelo de previsibilidade.”.</w:t>
      </w:r>
    </w:p>
    <w:p w14:paraId="1B0D1FF8" w14:textId="77777777" w:rsidR="00535B14" w:rsidRDefault="00000000">
      <w:pPr>
        <w:shd w:val="clear" w:color="auto" w:fill="FFFFFF"/>
        <w:tabs>
          <w:tab w:val="left" w:pos="3686"/>
        </w:tabs>
        <w:spacing w:after="0" w:line="360" w:lineRule="auto"/>
        <w:ind w:firstLine="709"/>
        <w:jc w:val="both"/>
        <w:rPr>
          <w:rFonts w:ascii="Arial" w:eastAsia="Arial" w:hAnsi="Arial" w:cs="Arial"/>
          <w:b/>
          <w:bCs/>
          <w:sz w:val="40"/>
          <w:szCs w:val="40"/>
        </w:rPr>
      </w:pPr>
      <w:r>
        <w:rPr>
          <w:rFonts w:ascii="Arial" w:eastAsia="Arial" w:hAnsi="Arial" w:cs="Arial"/>
          <w:sz w:val="24"/>
          <w:szCs w:val="24"/>
        </w:rPr>
        <w:t xml:space="preserve">Sendo assim, diversos estudos demonstraram obter sucesso em previsões de preços de ativos, fazendo a utilização de ferramentas de aprendizado de máquina. Em sua definição clássica, Mitchell, T. M. (1997, p.2) define aprendizado de máquina como a capacidade de um programa de computador aprender com experiência E, com respeito a uma determinada classe de tarefas T e em seguida, aferir a partir de uma </w:t>
      </w:r>
      <w:proofErr w:type="spellStart"/>
      <w:r>
        <w:rPr>
          <w:rFonts w:ascii="Arial" w:eastAsia="Arial" w:hAnsi="Arial" w:cs="Arial"/>
          <w:sz w:val="24"/>
          <w:szCs w:val="24"/>
        </w:rPr>
        <w:t>metrica</w:t>
      </w:r>
      <w:proofErr w:type="spellEnd"/>
      <w:r>
        <w:rPr>
          <w:rFonts w:ascii="Arial" w:eastAsia="Arial" w:hAnsi="Arial" w:cs="Arial"/>
          <w:sz w:val="24"/>
          <w:szCs w:val="24"/>
        </w:rPr>
        <w:t xml:space="preserve"> de performance P se seu desempenho em T melhora com experiência E.</w:t>
      </w:r>
    </w:p>
    <w:p w14:paraId="1B0D1FF9" w14:textId="77777777" w:rsidR="00535B14" w:rsidRDefault="00000000">
      <w:pPr>
        <w:shd w:val="clear" w:color="auto" w:fill="FFFFFF"/>
        <w:spacing w:after="0" w:line="360" w:lineRule="auto"/>
        <w:ind w:firstLine="709"/>
        <w:jc w:val="both"/>
        <w:rPr>
          <w:rFonts w:ascii="Arial" w:eastAsia="Arial" w:hAnsi="Arial" w:cs="Arial"/>
          <w:sz w:val="24"/>
          <w:szCs w:val="24"/>
        </w:rPr>
      </w:pPr>
      <w:r>
        <w:rPr>
          <w:rFonts w:ascii="Arial" w:eastAsia="Arial" w:hAnsi="Arial" w:cs="Arial"/>
          <w:sz w:val="24"/>
          <w:szCs w:val="24"/>
        </w:rPr>
        <w:t xml:space="preserve">AQUART, Patrick; KÖPKE, </w:t>
      </w:r>
      <w:proofErr w:type="spellStart"/>
      <w:r>
        <w:rPr>
          <w:rFonts w:ascii="Arial" w:eastAsia="Arial" w:hAnsi="Arial" w:cs="Arial"/>
          <w:sz w:val="24"/>
          <w:szCs w:val="24"/>
        </w:rPr>
        <w:t>Sven</w:t>
      </w:r>
      <w:proofErr w:type="spellEnd"/>
      <w:r>
        <w:rPr>
          <w:rFonts w:ascii="Arial" w:eastAsia="Arial" w:hAnsi="Arial" w:cs="Arial"/>
          <w:sz w:val="24"/>
          <w:szCs w:val="24"/>
        </w:rPr>
        <w:t xml:space="preserve"> e WEINHARDT, </w:t>
      </w:r>
      <w:proofErr w:type="spellStart"/>
      <w:r>
        <w:rPr>
          <w:rFonts w:ascii="Arial" w:eastAsia="Arial" w:hAnsi="Arial" w:cs="Arial"/>
          <w:sz w:val="24"/>
          <w:szCs w:val="24"/>
        </w:rPr>
        <w:t>Christof</w:t>
      </w:r>
      <w:proofErr w:type="spellEnd"/>
      <w:r>
        <w:rPr>
          <w:rFonts w:ascii="Arial" w:eastAsia="Arial" w:hAnsi="Arial" w:cs="Arial"/>
          <w:sz w:val="24"/>
          <w:szCs w:val="24"/>
        </w:rPr>
        <w:t xml:space="preserve"> (2022, p. 331), empregou e analisou vários modelos de Aprendizado de máquina para prever e negociar movimentos das 100 maiores criptomoedas concluiu que todos os modelos utilizados fazem previsões estatisticamente viáveis. </w:t>
      </w:r>
    </w:p>
    <w:p w14:paraId="1B0D1FFA" w14:textId="77777777" w:rsidR="00535B14" w:rsidRDefault="00000000">
      <w:pPr>
        <w:shd w:val="clear" w:color="auto" w:fill="FFFFFF"/>
        <w:spacing w:after="0" w:line="360" w:lineRule="auto"/>
        <w:ind w:firstLine="709"/>
        <w:jc w:val="both"/>
        <w:rPr>
          <w:rFonts w:ascii="Arial" w:eastAsia="Arial" w:hAnsi="Arial" w:cs="Arial"/>
          <w:sz w:val="24"/>
          <w:szCs w:val="24"/>
        </w:rPr>
      </w:pPr>
      <w:r>
        <w:rPr>
          <w:rFonts w:ascii="Arial" w:eastAsia="Arial" w:hAnsi="Arial" w:cs="Arial"/>
          <w:sz w:val="24"/>
          <w:szCs w:val="24"/>
        </w:rPr>
        <w:t xml:space="preserve">Wei, </w:t>
      </w:r>
      <w:proofErr w:type="spellStart"/>
      <w:r>
        <w:rPr>
          <w:rFonts w:ascii="Arial" w:eastAsia="Arial" w:hAnsi="Arial" w:cs="Arial"/>
          <w:sz w:val="24"/>
          <w:szCs w:val="24"/>
        </w:rPr>
        <w:t>Sermpinis</w:t>
      </w:r>
      <w:proofErr w:type="spellEnd"/>
      <w:r>
        <w:rPr>
          <w:rFonts w:ascii="Arial" w:eastAsia="Arial" w:hAnsi="Arial" w:cs="Arial"/>
          <w:sz w:val="24"/>
          <w:szCs w:val="24"/>
        </w:rPr>
        <w:t xml:space="preserve"> e </w:t>
      </w:r>
      <w:proofErr w:type="spellStart"/>
      <w:r>
        <w:rPr>
          <w:rFonts w:ascii="Arial" w:eastAsia="Arial" w:hAnsi="Arial" w:cs="Arial"/>
          <w:sz w:val="24"/>
          <w:szCs w:val="24"/>
        </w:rPr>
        <w:t>Stasinakis</w:t>
      </w:r>
      <w:proofErr w:type="spellEnd"/>
      <w:r>
        <w:rPr>
          <w:rFonts w:ascii="Arial" w:eastAsia="Arial" w:hAnsi="Arial" w:cs="Arial"/>
          <w:sz w:val="24"/>
          <w:szCs w:val="24"/>
        </w:rPr>
        <w:t xml:space="preserve"> (2023, p. 852) descobriram que, ao combinar a previsão de retornos do Bitcoin com uma estratégia de alavancagem híbrida </w:t>
      </w:r>
      <w:r>
        <w:rPr>
          <w:rFonts w:ascii="Arial" w:eastAsia="Arial" w:hAnsi="Arial" w:cs="Arial"/>
          <w:sz w:val="24"/>
          <w:szCs w:val="24"/>
        </w:rPr>
        <w:lastRenderedPageBreak/>
        <w:t>que utiliza volatilidade e sentimento narrativo, que segundo o texto são informações de sentimento extraídas de fontes textuais formais e públicas, como publicações, notícias e artigos de negócios globais, que influenciam o mercado de criptomoedas, em contraste com dados brutos de mídias sociais ou indicadores técnicos. todas as estratégias de alavancagem melhoraram significativamente o desempenho da negociação, sendo que a estratégia híbrida superou as demais.</w:t>
      </w:r>
    </w:p>
    <w:p w14:paraId="1B0D1FFB" w14:textId="77777777" w:rsidR="00535B14" w:rsidRDefault="00000000">
      <w:pPr>
        <w:shd w:val="clear" w:color="auto" w:fill="FFFFFF"/>
        <w:spacing w:after="0" w:line="360" w:lineRule="auto"/>
        <w:ind w:firstLine="709"/>
        <w:jc w:val="both"/>
        <w:rPr>
          <w:rFonts w:ascii="Arial" w:eastAsia="Arial" w:hAnsi="Arial" w:cs="Arial"/>
          <w:sz w:val="24"/>
          <w:szCs w:val="24"/>
        </w:rPr>
      </w:pPr>
      <w:proofErr w:type="spellStart"/>
      <w:r>
        <w:rPr>
          <w:rFonts w:ascii="Arial" w:eastAsia="Arial" w:hAnsi="Arial" w:cs="Arial"/>
          <w:sz w:val="24"/>
          <w:szCs w:val="24"/>
        </w:rPr>
        <w:t>Belcastro</w:t>
      </w:r>
      <w:proofErr w:type="spellEnd"/>
      <w:r>
        <w:rPr>
          <w:rFonts w:ascii="Arial" w:eastAsia="Arial" w:hAnsi="Arial" w:cs="Arial"/>
          <w:sz w:val="24"/>
          <w:szCs w:val="24"/>
        </w:rPr>
        <w:t xml:space="preserve"> et al. (2023) afirma que a partir da previsão de preços de criptomoedas através da integração de dados de mídias sociais e de mercado, alcançou um ganho médio geral de 194% sem taxas de transação e de 117% considerando as taxas.</w:t>
      </w:r>
    </w:p>
    <w:p w14:paraId="1B0D1FFC" w14:textId="77777777" w:rsidR="00535B14" w:rsidRDefault="00000000">
      <w:pPr>
        <w:spacing w:before="280" w:after="280" w:line="360" w:lineRule="auto"/>
        <w:ind w:left="360" w:hanging="360"/>
        <w:jc w:val="both"/>
        <w:rPr>
          <w:rFonts w:ascii="Arial" w:eastAsia="Arial" w:hAnsi="Arial" w:cs="Arial"/>
          <w:b/>
          <w:bCs/>
          <w:sz w:val="24"/>
          <w:szCs w:val="24"/>
        </w:rPr>
      </w:pPr>
      <w:bookmarkStart w:id="6" w:name="_heading=h.gnhy35ieknr2"/>
      <w:bookmarkEnd w:id="6"/>
      <w:r>
        <w:rPr>
          <w:rFonts w:ascii="Arial" w:eastAsia="Arial" w:hAnsi="Arial" w:cs="Arial"/>
          <w:b/>
          <w:bCs/>
          <w:sz w:val="24"/>
          <w:szCs w:val="24"/>
        </w:rPr>
        <w:t>Problema de Pesquisa</w:t>
      </w:r>
    </w:p>
    <w:p w14:paraId="1B0D1FFD" w14:textId="77777777" w:rsidR="00535B14" w:rsidRDefault="00000000">
      <w:pPr>
        <w:spacing w:after="0" w:line="360" w:lineRule="auto"/>
        <w:ind w:firstLine="709"/>
        <w:jc w:val="both"/>
        <w:rPr>
          <w:rFonts w:ascii="Arial" w:eastAsia="Arial" w:hAnsi="Arial" w:cs="Arial"/>
          <w:sz w:val="24"/>
          <w:szCs w:val="24"/>
        </w:rPr>
      </w:pPr>
      <w:r>
        <w:rPr>
          <w:rFonts w:ascii="Arial" w:eastAsia="Arial" w:hAnsi="Arial" w:cs="Arial"/>
          <w:sz w:val="24"/>
          <w:szCs w:val="24"/>
        </w:rPr>
        <w:t>Tendo em vista o cenário citado acima, a presente pesquisa busca responder: Quais as contribuições da aprendizagem de máquina</w:t>
      </w:r>
      <w:r>
        <w:rPr>
          <w:rFonts w:ascii="Arial" w:eastAsia="Arial" w:hAnsi="Arial" w:cs="Arial"/>
          <w:i/>
          <w:iCs/>
          <w:sz w:val="24"/>
          <w:szCs w:val="24"/>
        </w:rPr>
        <w:t xml:space="preserve"> </w:t>
      </w:r>
      <w:r>
        <w:rPr>
          <w:rFonts w:ascii="Arial" w:eastAsia="Arial" w:hAnsi="Arial" w:cs="Arial"/>
          <w:sz w:val="24"/>
          <w:szCs w:val="24"/>
        </w:rPr>
        <w:t>na gestão de carteiras de cripto ativos?</w:t>
      </w:r>
    </w:p>
    <w:p w14:paraId="1B0D1FFE" w14:textId="77777777" w:rsidR="00535B14" w:rsidRDefault="00535B14">
      <w:pPr>
        <w:spacing w:after="0" w:line="360" w:lineRule="auto"/>
        <w:ind w:firstLine="709"/>
        <w:jc w:val="both"/>
        <w:rPr>
          <w:rFonts w:ascii="Arial" w:eastAsia="Arial" w:hAnsi="Arial" w:cs="Arial"/>
          <w:sz w:val="24"/>
          <w:szCs w:val="24"/>
        </w:rPr>
      </w:pPr>
    </w:p>
    <w:p w14:paraId="1B0D1FFF" w14:textId="77777777" w:rsidR="00535B14" w:rsidRDefault="00000000">
      <w:pPr>
        <w:spacing w:after="0" w:line="360" w:lineRule="auto"/>
        <w:ind w:left="360" w:hanging="360"/>
        <w:jc w:val="both"/>
        <w:rPr>
          <w:rFonts w:ascii="Arial" w:eastAsia="Arial" w:hAnsi="Arial" w:cs="Arial"/>
          <w:b/>
          <w:bCs/>
          <w:sz w:val="24"/>
          <w:szCs w:val="24"/>
        </w:rPr>
      </w:pPr>
      <w:bookmarkStart w:id="7" w:name="_heading=h.y85khhdjiw73"/>
      <w:bookmarkEnd w:id="7"/>
      <w:r>
        <w:rPr>
          <w:rFonts w:ascii="Arial" w:eastAsia="Arial" w:hAnsi="Arial" w:cs="Arial"/>
          <w:b/>
          <w:bCs/>
          <w:sz w:val="24"/>
          <w:szCs w:val="24"/>
        </w:rPr>
        <w:t>Objetivos de pesquisa</w:t>
      </w:r>
    </w:p>
    <w:p w14:paraId="1B0D2000" w14:textId="77777777" w:rsidR="00535B14" w:rsidRDefault="00000000">
      <w:pPr>
        <w:spacing w:after="280" w:line="360" w:lineRule="auto"/>
        <w:ind w:left="720" w:hanging="720"/>
        <w:jc w:val="both"/>
        <w:rPr>
          <w:rFonts w:ascii="Arial" w:eastAsia="Arial" w:hAnsi="Arial" w:cs="Arial"/>
          <w:b/>
          <w:bCs/>
          <w:sz w:val="24"/>
          <w:szCs w:val="24"/>
        </w:rPr>
      </w:pPr>
      <w:bookmarkStart w:id="8" w:name="_heading=h.glpiatf1mdkm"/>
      <w:bookmarkEnd w:id="8"/>
      <w:r>
        <w:rPr>
          <w:rFonts w:ascii="Arial" w:eastAsia="Arial" w:hAnsi="Arial" w:cs="Arial"/>
          <w:b/>
          <w:bCs/>
          <w:sz w:val="24"/>
          <w:szCs w:val="24"/>
        </w:rPr>
        <w:t>Objetivo geral</w:t>
      </w:r>
    </w:p>
    <w:p w14:paraId="1B0D2001" w14:textId="77777777" w:rsidR="00535B14" w:rsidRDefault="00000000">
      <w:pPr>
        <w:spacing w:after="0" w:line="360" w:lineRule="auto"/>
        <w:ind w:firstLine="709"/>
        <w:jc w:val="both"/>
        <w:rPr>
          <w:rFonts w:ascii="Arial" w:eastAsia="Arial" w:hAnsi="Arial" w:cs="Arial"/>
          <w:sz w:val="24"/>
          <w:szCs w:val="24"/>
        </w:rPr>
      </w:pPr>
      <w:r>
        <w:rPr>
          <w:rFonts w:ascii="Arial" w:eastAsia="Arial" w:hAnsi="Arial" w:cs="Arial"/>
          <w:sz w:val="24"/>
          <w:szCs w:val="24"/>
        </w:rPr>
        <w:t>Diante de tal pergunta, a pesquisa há de examinar as contribuições do uso de aprendizado de máquina para a gestão de carteiras de criptoativos.</w:t>
      </w:r>
    </w:p>
    <w:p w14:paraId="1B0D2002" w14:textId="77777777" w:rsidR="00535B14" w:rsidRDefault="00000000">
      <w:pPr>
        <w:spacing w:before="280" w:after="280" w:line="360" w:lineRule="auto"/>
        <w:ind w:left="720" w:hanging="720"/>
        <w:jc w:val="both"/>
        <w:rPr>
          <w:rFonts w:ascii="Arial" w:eastAsia="Arial" w:hAnsi="Arial" w:cs="Arial"/>
          <w:b/>
          <w:bCs/>
          <w:sz w:val="24"/>
          <w:szCs w:val="24"/>
        </w:rPr>
      </w:pPr>
      <w:bookmarkStart w:id="9" w:name="_heading=h.am1ir2m91vrb"/>
      <w:bookmarkEnd w:id="9"/>
      <w:r>
        <w:rPr>
          <w:rFonts w:ascii="Arial" w:eastAsia="Arial" w:hAnsi="Arial" w:cs="Arial"/>
          <w:b/>
          <w:bCs/>
          <w:sz w:val="24"/>
          <w:szCs w:val="24"/>
        </w:rPr>
        <w:t>Objetivos específicos</w:t>
      </w:r>
    </w:p>
    <w:p w14:paraId="1B0D2003" w14:textId="77777777" w:rsidR="00535B14" w:rsidRDefault="00000000">
      <w:pPr>
        <w:spacing w:after="0" w:line="360" w:lineRule="auto"/>
        <w:ind w:firstLine="709"/>
        <w:jc w:val="both"/>
        <w:rPr>
          <w:rFonts w:ascii="Arial" w:eastAsia="Arial" w:hAnsi="Arial" w:cs="Arial"/>
          <w:sz w:val="24"/>
          <w:szCs w:val="24"/>
        </w:rPr>
      </w:pPr>
      <w:r>
        <w:rPr>
          <w:rFonts w:ascii="Arial" w:eastAsia="Arial" w:hAnsi="Arial" w:cs="Arial"/>
          <w:sz w:val="24"/>
          <w:szCs w:val="24"/>
        </w:rPr>
        <w:t>Firmando se a esse objetivo, foram traçaram-se os seguintes objetivos específicos para viabilizar a acurácia das determinações da pesquisa:</w:t>
      </w:r>
    </w:p>
    <w:p w14:paraId="1B0D2004" w14:textId="77777777" w:rsidR="00535B14" w:rsidRDefault="00000000">
      <w:pPr>
        <w:numPr>
          <w:ilvl w:val="1"/>
          <w:numId w:val="2"/>
        </w:numPr>
        <w:spacing w:after="0" w:line="360" w:lineRule="auto"/>
        <w:jc w:val="both"/>
        <w:rPr>
          <w:rFonts w:ascii="Arial" w:eastAsia="Arial" w:hAnsi="Arial" w:cs="Arial"/>
          <w:sz w:val="24"/>
          <w:szCs w:val="24"/>
        </w:rPr>
      </w:pPr>
      <w:r>
        <w:rPr>
          <w:rFonts w:ascii="Arial" w:eastAsia="Arial" w:hAnsi="Arial" w:cs="Arial"/>
          <w:sz w:val="24"/>
          <w:szCs w:val="24"/>
        </w:rPr>
        <w:t>Analisar os resultados obtidos a partir do modelo de diversificação de portifólio de Markowitz em conjunto com o aprendizado de máquina.</w:t>
      </w:r>
    </w:p>
    <w:p w14:paraId="1B0D2005" w14:textId="77777777" w:rsidR="00535B14" w:rsidRDefault="00000000">
      <w:pPr>
        <w:numPr>
          <w:ilvl w:val="1"/>
          <w:numId w:val="2"/>
        </w:numPr>
        <w:spacing w:after="0" w:line="360" w:lineRule="auto"/>
        <w:jc w:val="both"/>
        <w:rPr>
          <w:rFonts w:ascii="Arial" w:eastAsia="Arial" w:hAnsi="Arial" w:cs="Arial"/>
          <w:sz w:val="24"/>
          <w:szCs w:val="24"/>
        </w:rPr>
      </w:pPr>
      <w:r>
        <w:rPr>
          <w:rFonts w:ascii="Arial" w:eastAsia="Arial" w:hAnsi="Arial" w:cs="Arial"/>
          <w:sz w:val="24"/>
          <w:szCs w:val="24"/>
        </w:rPr>
        <w:t>Comparar estratégias de investimento tradicionais e as com base em modelos de aprendizado de máquina.</w:t>
      </w:r>
    </w:p>
    <w:p w14:paraId="1B0D2006" w14:textId="77777777" w:rsidR="00535B14" w:rsidRDefault="00000000">
      <w:pPr>
        <w:numPr>
          <w:ilvl w:val="1"/>
          <w:numId w:val="2"/>
        </w:numPr>
        <w:spacing w:after="0" w:line="360" w:lineRule="auto"/>
        <w:jc w:val="both"/>
        <w:rPr>
          <w:rFonts w:ascii="Arial" w:eastAsia="Arial" w:hAnsi="Arial" w:cs="Arial"/>
          <w:sz w:val="24"/>
          <w:szCs w:val="24"/>
        </w:rPr>
      </w:pPr>
      <w:r>
        <w:rPr>
          <w:rFonts w:ascii="Arial" w:eastAsia="Arial" w:hAnsi="Arial" w:cs="Arial"/>
          <w:sz w:val="24"/>
          <w:szCs w:val="24"/>
        </w:rPr>
        <w:t>Avaliar se há consistência entre os resultados apresentados em diferentes pesquisas.</w:t>
      </w:r>
    </w:p>
    <w:p w14:paraId="1B0D2007" w14:textId="77777777" w:rsidR="00535B14" w:rsidRDefault="00000000">
      <w:pPr>
        <w:spacing w:before="280" w:after="280" w:line="360" w:lineRule="auto"/>
        <w:ind w:left="360" w:hanging="360"/>
        <w:jc w:val="both"/>
        <w:rPr>
          <w:rFonts w:ascii="Arial" w:eastAsia="Arial" w:hAnsi="Arial" w:cs="Arial"/>
          <w:b/>
          <w:bCs/>
          <w:sz w:val="24"/>
          <w:szCs w:val="24"/>
        </w:rPr>
      </w:pPr>
      <w:bookmarkStart w:id="10" w:name="_heading=h.svziuy1e4i09"/>
      <w:bookmarkEnd w:id="10"/>
      <w:r>
        <w:rPr>
          <w:rFonts w:ascii="Arial" w:eastAsia="Arial" w:hAnsi="Arial" w:cs="Arial"/>
          <w:b/>
          <w:bCs/>
          <w:sz w:val="24"/>
          <w:szCs w:val="24"/>
        </w:rPr>
        <w:t>Justificativa</w:t>
      </w:r>
    </w:p>
    <w:p w14:paraId="1B0D2008" w14:textId="77777777" w:rsidR="00535B14" w:rsidRDefault="00000000">
      <w:pPr>
        <w:spacing w:after="0" w:line="360" w:lineRule="auto"/>
        <w:ind w:firstLine="709"/>
        <w:jc w:val="both"/>
        <w:rPr>
          <w:rFonts w:ascii="Arial" w:eastAsia="Arial" w:hAnsi="Arial" w:cs="Arial"/>
          <w:sz w:val="24"/>
          <w:szCs w:val="24"/>
        </w:rPr>
      </w:pPr>
      <w:r>
        <w:rPr>
          <w:rFonts w:ascii="Arial" w:eastAsia="Arial" w:hAnsi="Arial" w:cs="Arial"/>
          <w:sz w:val="24"/>
          <w:szCs w:val="24"/>
        </w:rPr>
        <w:lastRenderedPageBreak/>
        <w:t>Em um contexto de ascensão da do termo “inteligência artificial”, é difícil saber factualmente o que pode ser promissor na utilização de novas tecnologias computacionais baseadas em interações não lineares. Segundo MOLNAR, Christoph (2019, p.140), são interações não lineares,</w:t>
      </w:r>
    </w:p>
    <w:p w14:paraId="1B0D2009" w14:textId="77777777" w:rsidR="00535B14" w:rsidRDefault="00535B14">
      <w:pPr>
        <w:spacing w:after="0" w:line="360" w:lineRule="auto"/>
        <w:ind w:firstLine="709"/>
        <w:jc w:val="both"/>
        <w:rPr>
          <w:rFonts w:ascii="Arial" w:eastAsia="Arial" w:hAnsi="Arial" w:cs="Arial"/>
          <w:sz w:val="24"/>
          <w:szCs w:val="24"/>
        </w:rPr>
      </w:pPr>
    </w:p>
    <w:p w14:paraId="1B0D200A" w14:textId="77777777" w:rsidR="00535B14" w:rsidRDefault="00000000">
      <w:pPr>
        <w:spacing w:after="0" w:line="360" w:lineRule="auto"/>
        <w:ind w:left="2268"/>
        <w:jc w:val="both"/>
        <w:rPr>
          <w:rFonts w:ascii="Arial" w:eastAsia="Arial" w:hAnsi="Arial" w:cs="Arial"/>
          <w:color w:val="000000"/>
          <w:sz w:val="20"/>
          <w:szCs w:val="20"/>
        </w:rPr>
      </w:pPr>
      <w:r>
        <w:rPr>
          <w:rFonts w:ascii="Arial" w:eastAsia="Arial" w:hAnsi="Arial" w:cs="Arial"/>
          <w:color w:val="000000"/>
          <w:sz w:val="20"/>
          <w:szCs w:val="20"/>
        </w:rPr>
        <w:t>Quando características interagem entre si em um modelo de previsão, a previsão não pode ser expressa como a soma dos efeitos das características, porque o efeito de uma característica depende do valor da outra característica.</w:t>
      </w:r>
    </w:p>
    <w:p w14:paraId="1B0D200B" w14:textId="77777777" w:rsidR="00535B14" w:rsidRDefault="00535B14">
      <w:pPr>
        <w:spacing w:after="0" w:line="360" w:lineRule="auto"/>
        <w:ind w:firstLine="709"/>
        <w:jc w:val="both"/>
        <w:rPr>
          <w:rFonts w:ascii="Arial" w:eastAsia="Arial" w:hAnsi="Arial" w:cs="Arial"/>
          <w:sz w:val="24"/>
          <w:szCs w:val="24"/>
        </w:rPr>
      </w:pPr>
    </w:p>
    <w:p w14:paraId="1B0D200C" w14:textId="77777777" w:rsidR="00535B14" w:rsidRDefault="00000000">
      <w:pPr>
        <w:shd w:val="clear" w:color="auto" w:fill="FFFFFF"/>
        <w:spacing w:after="0" w:line="360" w:lineRule="auto"/>
        <w:ind w:firstLine="709"/>
        <w:jc w:val="both"/>
        <w:rPr>
          <w:rFonts w:ascii="Arial" w:eastAsia="Arial" w:hAnsi="Arial" w:cs="Arial"/>
          <w:sz w:val="24"/>
          <w:szCs w:val="24"/>
        </w:rPr>
      </w:pPr>
      <w:r>
        <w:rPr>
          <w:rFonts w:ascii="Arial" w:eastAsia="Arial" w:hAnsi="Arial" w:cs="Arial"/>
          <w:sz w:val="24"/>
          <w:szCs w:val="24"/>
        </w:rPr>
        <w:t xml:space="preserve"> Por isso, a presente pesquisa tem por objetivo analisar as contribuições do uso de Aprendizado de Máquina para Gestão carteiras de criptoativos. Tal objetivo se justifica, pois é capaz de servir de base para criação de ferramentas, para análise de viabilidade de investimentos e diversificação de carteira. Sendo assim, se espera contribuir com a tomada de decisão de gestores, tanto bancários quanto de departamentos financeiros, “O machine learning financeiro corresponde a um conjunto de procedimentos para estimar um modelo estatístico e utilizar esse modelo para tomar decisões.” (KELLY; XIU, 2023, p.10). </w:t>
      </w:r>
    </w:p>
    <w:p w14:paraId="1B0D200D" w14:textId="77777777" w:rsidR="00535B14" w:rsidRDefault="00000000">
      <w:pPr>
        <w:shd w:val="clear" w:color="auto" w:fill="FFFFFF"/>
        <w:spacing w:after="0" w:line="360" w:lineRule="auto"/>
        <w:ind w:firstLine="709"/>
        <w:jc w:val="both"/>
        <w:rPr>
          <w:rFonts w:ascii="Arial" w:eastAsia="Arial" w:hAnsi="Arial" w:cs="Arial"/>
          <w:sz w:val="24"/>
          <w:szCs w:val="24"/>
        </w:rPr>
      </w:pPr>
      <w:r>
        <w:rPr>
          <w:rFonts w:ascii="Arial" w:eastAsia="Arial" w:hAnsi="Arial" w:cs="Arial"/>
          <w:sz w:val="24"/>
          <w:szCs w:val="24"/>
        </w:rPr>
        <w:t xml:space="preserve">A pesquisa aprofunda sobre áreas de utilização de aprendizado de máquina, e coloca em pauta um grande debate da economia, a Hipótese de Mercado eficiente (HME). Tal teoria, pressupõe que os resultados do mercado financeiro não permitem ganhos acima do normal, pois, segundo Fama E. F (1970), na HME os preços dos ativos refletem integralmente toda a informação disponível, teoria que passa por recorrentes contestações. Além disso, trabalhos científicos anteriores, já abordavam a necessidade do aprofundamento da pesquisa em Machine learning e suas utilizações, como em </w:t>
      </w:r>
      <w:proofErr w:type="spellStart"/>
      <w:r>
        <w:rPr>
          <w:rFonts w:ascii="Arial" w:eastAsia="Arial" w:hAnsi="Arial" w:cs="Arial"/>
          <w:sz w:val="24"/>
          <w:szCs w:val="24"/>
        </w:rPr>
        <w:t>Sarker</w:t>
      </w:r>
      <w:proofErr w:type="spellEnd"/>
      <w:r>
        <w:rPr>
          <w:rFonts w:ascii="Arial" w:eastAsia="Arial" w:hAnsi="Arial" w:cs="Arial"/>
          <w:sz w:val="24"/>
          <w:szCs w:val="24"/>
        </w:rPr>
        <w:t xml:space="preserve"> (2021) e Clara (2024). Ademais, a pesquisa espera ser benéfica para o contexto social, contribuindo com a criação ferramentas que tragam maior racionalidade e métodos mais robustos para a tomada de decisões do mercado financeiro como um todo. De tal maneira, evitando que haja a formação de bolhas, que segundo </w:t>
      </w:r>
      <w:proofErr w:type="spellStart"/>
      <w:r>
        <w:rPr>
          <w:rFonts w:ascii="Arial" w:eastAsia="Arial" w:hAnsi="Arial" w:cs="Arial"/>
          <w:sz w:val="24"/>
          <w:szCs w:val="24"/>
        </w:rPr>
        <w:t>Sherbina</w:t>
      </w:r>
      <w:proofErr w:type="spellEnd"/>
      <w:r>
        <w:rPr>
          <w:rFonts w:ascii="Arial" w:eastAsia="Arial" w:hAnsi="Arial" w:cs="Arial"/>
          <w:sz w:val="24"/>
          <w:szCs w:val="24"/>
        </w:rPr>
        <w:t xml:space="preserve">, 2013, ocorrem quando preços de ativos sofrem desvios em relação ao valor fundamental dos ativos. A pesquisa espera também que seus achados tenham contribuição para as ODS, em particular a ODS 9 — Indústria, inovação </w:t>
      </w:r>
      <w:r>
        <w:rPr>
          <w:rFonts w:ascii="Arial" w:eastAsia="Arial" w:hAnsi="Arial" w:cs="Arial"/>
          <w:sz w:val="24"/>
          <w:szCs w:val="24"/>
        </w:rPr>
        <w:lastRenderedPageBreak/>
        <w:t>e infraestrutura, a partir do debate sobre novas tecnologias e seu uso de forma responsável no desenvolvimento de infraestruturas de dados.</w:t>
      </w:r>
    </w:p>
    <w:p w14:paraId="1B0D200E" w14:textId="77777777" w:rsidR="00535B14" w:rsidRDefault="00000000">
      <w:pPr>
        <w:rPr>
          <w:rFonts w:ascii="Arial" w:eastAsia="Arial" w:hAnsi="Arial" w:cs="Arial"/>
          <w:sz w:val="24"/>
          <w:szCs w:val="24"/>
        </w:rPr>
      </w:pPr>
      <w:r>
        <w:rPr>
          <w:rFonts w:ascii="Arial" w:eastAsia="Arial" w:hAnsi="Arial" w:cs="Arial"/>
          <w:sz w:val="24"/>
          <w:szCs w:val="24"/>
        </w:rPr>
        <w:br w:type="page" w:clear="all"/>
      </w:r>
    </w:p>
    <w:p w14:paraId="1B0D200F" w14:textId="77777777" w:rsidR="00535B14" w:rsidRDefault="00000000">
      <w:pPr>
        <w:pStyle w:val="Ttulo1"/>
        <w:numPr>
          <w:ilvl w:val="0"/>
          <w:numId w:val="1"/>
        </w:numPr>
      </w:pPr>
      <w:bookmarkStart w:id="11" w:name="_heading=h.6qgqd229uu39"/>
      <w:bookmarkStart w:id="12" w:name="_Toc2"/>
      <w:bookmarkEnd w:id="11"/>
      <w:r>
        <w:lastRenderedPageBreak/>
        <w:t>REFERENCIAL TEÓRICO</w:t>
      </w:r>
      <w:bookmarkEnd w:id="12"/>
    </w:p>
    <w:p w14:paraId="1B0D2010" w14:textId="77777777" w:rsidR="00535B14" w:rsidRDefault="00000000">
      <w:pPr>
        <w:pStyle w:val="Ttulo2"/>
        <w:numPr>
          <w:ilvl w:val="1"/>
          <w:numId w:val="1"/>
        </w:numPr>
      </w:pPr>
      <w:bookmarkStart w:id="13" w:name="_Toc3"/>
      <w:r>
        <w:t>Tomada de decisão no mercado financeiro</w:t>
      </w:r>
      <w:bookmarkEnd w:id="13"/>
    </w:p>
    <w:p w14:paraId="1B0D2011"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Neugebauer (2026) aponta que, especialmente em épocas de incerteza, é fundamental estabelecer uma estratégia para combater fenômenos financeiros adversos, a exemplo da inflação, protegendo assim a renda contra a degradação. Para guiar essa tomada de decisão, os fatores mais comumente analisados pelos indivíduos são o retorno esperado, o risco e a liquidez do investimento. Além do caráter protetivo, Adil, Singh e Ansari (2022) ressaltam que os investidores estão frequentemente dispostos a realizar novos aportes impulsionados pelo desejo de obter melhores retornos financeiros, muito embora seja necessária cautela durante essas operações. Com o acesso facilitado a diversas vias e instrumentos, a utilização desses fundos de forma racional, buscando a maximização do retorno aliada à minimização do risco, constitui o objetivo central na alocação de recursos (PAIVA et al., 2019; ADIL; SINGH; ANSARI, 2022).</w:t>
      </w:r>
    </w:p>
    <w:p w14:paraId="1B0D2012"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 xml:space="preserve">O cenário macroeconômico também exerce um papel decisivo na motivação daqueles que buscam alocar seu capital. Conforme explicam </w:t>
      </w:r>
      <w:proofErr w:type="spellStart"/>
      <w:r>
        <w:rPr>
          <w:rFonts w:ascii="Arial" w:eastAsia="Arial" w:hAnsi="Arial" w:cs="Arial"/>
          <w:sz w:val="24"/>
          <w:szCs w:val="24"/>
        </w:rPr>
        <w:t>Umar</w:t>
      </w:r>
      <w:proofErr w:type="spellEnd"/>
      <w:r>
        <w:rPr>
          <w:rFonts w:ascii="Arial" w:eastAsia="Arial" w:hAnsi="Arial" w:cs="Arial"/>
          <w:sz w:val="24"/>
          <w:szCs w:val="24"/>
        </w:rPr>
        <w:t xml:space="preserve"> et al. (2021), o aumento das incertezas em relação às políticas econômicas ou conflitos políticos torna os investidores pessimistas no que diz respeito ao ambiente internacional. Como consequência dessa instabilidade, as pessoas são compelidas a procurar proteção, direcionando seus recursos para ativos que ofereçam segurança, a fim de compensar as eventuais perdas geradas pela incerteza do mercado (UMAR et al., 2021).</w:t>
      </w:r>
    </w:p>
    <w:p w14:paraId="1B0D2013"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 xml:space="preserve">Apesar de essas motivações buscarem o lucro ou a proteção, as razões pelas quais as pessoas investem esbarram em um debate central sobre a racionalidade e a previsibilidade dos ganhos. A teoria financeira tradicional, fundamentada na Hipótese de Mercado Eficiente (HME), pressupõe que os investidores agem de forma puramente lógica e que os preços refletem integralmente todas as informações disponíveis, o que tornaria impossível a obtenção de retornos anormais consistentes (PAIVA et al., 2019). A literatura mais recente, contudo, tem contestado essa visão, argumentando que os mercados não operam de forma totalmente aleatória ou eficiente, visto que as decisões de investimento são frequentemente influenciadas por fatores </w:t>
      </w:r>
      <w:r>
        <w:rPr>
          <w:rFonts w:ascii="Arial" w:eastAsia="Arial" w:hAnsi="Arial" w:cs="Arial"/>
          <w:sz w:val="24"/>
          <w:szCs w:val="24"/>
        </w:rPr>
        <w:lastRenderedPageBreak/>
        <w:t>psicológicos, vieses emocionais e limitações cognitivas que podem levar a escolhas irracionais (ALMANSOUR; ELKRGHLI; ALMANSOUR, 2023). Desse modo, ao constatar que as séries financeiras possuem memória e padrões de comportamento identificáveis, os indivíduos também investem porque se torna possível delinear modelos de previsibilidade para buscar lucros extraordinários e diversificar portfólios, contrariando as premissas da eficiência de mercado (PAIVA et al., 2019; CHARFEDDINE; BENLAGHA; MAOUCHI, 2020).</w:t>
      </w:r>
    </w:p>
    <w:p w14:paraId="1B0D2014"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 xml:space="preserve">De acordo com as teorias financeiras convencionais, o investimento ocorre sob a premissa de que os indivíduos são agentes racionais, capazes de processar e avaliar toda a informação existente no mercado antes de decidir (ADIL; SINGH; ANSARI, 2022). Paiva et al. (2019) complementam que, nessa visão tradicional, o processo decisório é centralizado na análise do binômio risco e retorno esperado, o que leva o investidor a selecionar combinações de ativos que garantam a menor variância possível para um lucro desejado ou o maior retorno para um nível de risco aceitável. Essa lógica fundamenta a busca pela eficiência estatística na montagem de portfólios, tratando a alocação de recursos como um problema de otimização matemática para que se alcance o melhor equilíbrio entre as opções disponíveis (PAIVA et al., 2019). </w:t>
      </w:r>
    </w:p>
    <w:p w14:paraId="1B0D2015"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 xml:space="preserve">Entretanto, as finanças comportamentais revelam que os investidores frequentemente se distanciam da racionalidade pura, investindo de forma influenciada por estados psicológicos e emocionais que provocam divergências em relação ao comportamento previsto pela teoria clássica (ADIL; SINGH; ANSARI, 2022). Conforme argumentam </w:t>
      </w:r>
      <w:proofErr w:type="spellStart"/>
      <w:r>
        <w:rPr>
          <w:rFonts w:ascii="Arial" w:eastAsia="Arial" w:hAnsi="Arial" w:cs="Arial"/>
          <w:sz w:val="24"/>
          <w:szCs w:val="24"/>
        </w:rPr>
        <w:t>Almansour</w:t>
      </w:r>
      <w:proofErr w:type="spellEnd"/>
      <w:r>
        <w:rPr>
          <w:rFonts w:ascii="Arial" w:eastAsia="Arial" w:hAnsi="Arial" w:cs="Arial"/>
          <w:sz w:val="24"/>
          <w:szCs w:val="24"/>
        </w:rPr>
        <w:t xml:space="preserve">, </w:t>
      </w:r>
      <w:proofErr w:type="spellStart"/>
      <w:r>
        <w:rPr>
          <w:rFonts w:ascii="Arial" w:eastAsia="Arial" w:hAnsi="Arial" w:cs="Arial"/>
          <w:sz w:val="24"/>
          <w:szCs w:val="24"/>
        </w:rPr>
        <w:t>Elkrghli</w:t>
      </w:r>
      <w:proofErr w:type="spellEnd"/>
      <w:r>
        <w:rPr>
          <w:rFonts w:ascii="Arial" w:eastAsia="Arial" w:hAnsi="Arial" w:cs="Arial"/>
          <w:sz w:val="24"/>
          <w:szCs w:val="24"/>
        </w:rPr>
        <w:t xml:space="preserve"> e </w:t>
      </w:r>
      <w:proofErr w:type="spellStart"/>
      <w:r>
        <w:rPr>
          <w:rFonts w:ascii="Arial" w:eastAsia="Arial" w:hAnsi="Arial" w:cs="Arial"/>
          <w:sz w:val="24"/>
          <w:szCs w:val="24"/>
        </w:rPr>
        <w:t>Almansour</w:t>
      </w:r>
      <w:proofErr w:type="spellEnd"/>
      <w:r>
        <w:rPr>
          <w:rFonts w:ascii="Arial" w:eastAsia="Arial" w:hAnsi="Arial" w:cs="Arial"/>
          <w:sz w:val="24"/>
          <w:szCs w:val="24"/>
        </w:rPr>
        <w:t xml:space="preserve"> (2023), o comportamento do mercado é afetado por uma gama de fatores subjetivos, incluindo vieses cognitivos, influências sociais e percepções de risco que mudam dinamicamente conforme o contexto. Essa instabilidade na percepção individual e a tendência de seguir o comportamento de grupos podem induzir a escolhas de investimento de baixa qualidade, resultando em desempenhos de carteira inferiores aos modelos puramente lógicos (ALMANSOUR; ELKRGHLI; ALMANSOUR, 2023; ADIL; SINGH; ANSARI, 2022). </w:t>
      </w:r>
    </w:p>
    <w:p w14:paraId="1B0D2016"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r>
        <w:rPr>
          <w:rFonts w:ascii="Arial" w:eastAsia="Arial" w:hAnsi="Arial" w:cs="Arial"/>
          <w:sz w:val="24"/>
          <w:szCs w:val="24"/>
        </w:rPr>
        <w:t xml:space="preserve">Como resposta à natureza caótica e complexa dos mercados, tem se consolidado uma abordagem de investimento baseada na busca por padrões históricos que possam indicar movimentos futuros de preços (PAIVA et al., 2019). Para Paiva et al. (2019), embora o mercado seja extremamente sensível </w:t>
      </w:r>
      <w:r>
        <w:rPr>
          <w:rFonts w:ascii="Arial" w:eastAsia="Arial" w:hAnsi="Arial" w:cs="Arial"/>
          <w:sz w:val="24"/>
          <w:szCs w:val="24"/>
        </w:rPr>
        <w:lastRenderedPageBreak/>
        <w:t>a fatores externos, o reconhecimento de padrões de comportamento nas séries financeiras permite delinear modelos de previsibilidade mais robustos. Assim, os métodos atuais de investimento evoluem para sistemas que utilizam ferramentas de aprendizado de máquina para classificar ativos com maior potencial de ganho, integrando esses sinais tecnológicos a modelos de diversificação clássicos para definir de forma mais precisa a alocação de capital e mitigar os efeitos da irracionalidade humana (PAIVA et al., 2019).</w:t>
      </w:r>
    </w:p>
    <w:p w14:paraId="1B0D2017"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No contexto da diversificação de carteiras e da busca por retornos ajustados ao risco, a consolidação das criptomoedas representa a emersão de uma nova classe de ativos financeiros. Esse crescimento acelerado tem atraído a atenção de diferentes perfis de investidores interessados em gerar lucros adicionais e explorar novas oportunidades de composição de portfólio (CHARFEDDINE; BENLAGHA; MAOUCHI, 2020). Do ponto de vista estrutural, ativos como o Bitcoin operam como moedas digitais descentralizadas, funcionando de forma independente das instituições financeiras tradicionais e de autoridades governamentais centralizadas (UMAR et al., 2021).</w:t>
      </w:r>
    </w:p>
    <w:p w14:paraId="1B0D2018" w14:textId="06B1208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Essa independência tecnológica é fundamentada na integração de princípios criptográficos e protocolos de red</w:t>
      </w:r>
      <w:r w:rsidR="000449C2">
        <w:rPr>
          <w:rFonts w:ascii="Arial" w:eastAsia="Arial" w:hAnsi="Arial" w:cs="Arial"/>
          <w:sz w:val="24"/>
          <w:szCs w:val="24"/>
        </w:rPr>
        <w:t>e de ponta a ponta</w:t>
      </w:r>
      <w:r>
        <w:rPr>
          <w:rFonts w:ascii="Arial" w:eastAsia="Arial" w:hAnsi="Arial" w:cs="Arial"/>
          <w:sz w:val="24"/>
          <w:szCs w:val="24"/>
        </w:rPr>
        <w:t>, os quais asseguram um mecanismo de pagamento tolerante a falhas e altamente seguro para transações eletrônicas (AHMED, 2020). A inovação técnica por trás dessa dinâmica, viabilizada pela tecnologia blockchain, consiste na substituição da figura do intermediário central pela validação descentralizada, transferindo a garantia de confiança da operação para uma rede de computadores que atuam em consenso (CHARFEDDINE; BENLAGHA; MAOUCHI, 2020). Como resultado, essa estrutura impulsionou as criptomoedas a um status de instrumento de investimento global, absorvendo o escrutínio de gestores, reguladores e formuladores de políticas (AHMED, 2020).</w:t>
      </w:r>
    </w:p>
    <w:p w14:paraId="1B0D2019"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 xml:space="preserve">Apesar de compartilharem essa base tecnológica, o ecossistema de criptoativos apresenta uma heterogeneidade significativa que afeta o comportamento dos investimentos. Enquanto criptomoedas convencionais possuem alta volatilidade e operam sob dinâmicas próprias de precificação, existem moedas projetadas para manter estabilidade, conhecidas como stablecoins (GOODELL; GOUTTE, 2021). Ativos como o </w:t>
      </w:r>
      <w:proofErr w:type="spellStart"/>
      <w:r w:rsidRPr="005E1718">
        <w:rPr>
          <w:rFonts w:ascii="Arial" w:eastAsia="Arial" w:hAnsi="Arial" w:cs="Arial"/>
          <w:i/>
          <w:iCs/>
          <w:sz w:val="24"/>
          <w:szCs w:val="24"/>
        </w:rPr>
        <w:t>Tether</w:t>
      </w:r>
      <w:proofErr w:type="spellEnd"/>
      <w:r>
        <w:rPr>
          <w:rFonts w:ascii="Arial" w:eastAsia="Arial" w:hAnsi="Arial" w:cs="Arial"/>
          <w:sz w:val="24"/>
          <w:szCs w:val="24"/>
        </w:rPr>
        <w:t>, por exemplo, possuem seu valor indexado a moedas fiduciárias, como o dólar norte-</w:t>
      </w:r>
      <w:r>
        <w:rPr>
          <w:rFonts w:ascii="Arial" w:eastAsia="Arial" w:hAnsi="Arial" w:cs="Arial"/>
          <w:sz w:val="24"/>
          <w:szCs w:val="24"/>
        </w:rPr>
        <w:lastRenderedPageBreak/>
        <w:t xml:space="preserve">americano, apresentando características e utilidades inerentemente distintas de ativos como o </w:t>
      </w:r>
      <w:r>
        <w:rPr>
          <w:rFonts w:ascii="Arial" w:eastAsia="Arial" w:hAnsi="Arial" w:cs="Arial"/>
          <w:i/>
          <w:iCs/>
          <w:sz w:val="24"/>
          <w:szCs w:val="24"/>
        </w:rPr>
        <w:t xml:space="preserve">Bitcoin </w:t>
      </w:r>
      <w:r>
        <w:rPr>
          <w:rFonts w:ascii="Arial" w:eastAsia="Arial" w:hAnsi="Arial" w:cs="Arial"/>
          <w:sz w:val="24"/>
          <w:szCs w:val="24"/>
        </w:rPr>
        <w:t>(GOODELL; GOUTTE, 2021). Essa diversidade intrínseca à classe exige que a inclusão de criptomoedas em estratégias de investimento seja analisada por meio de modelos robustos, dado que cada tipo de moeda digital pode exercer um papel diferente na alocação de capital e na exposição ao risco.</w:t>
      </w:r>
    </w:p>
    <w:p w14:paraId="1B0D201A"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A inclusão de criptomoedas em carteiras de investimento é amplamente justificada na literatura pela sua capacidade de proporcionar diversificação. Diversos estudos apontam que ativos digitais, como o Bitcoin, apresentam uma correlação historicamente fraca ou até mesmo são desconectados em relação aos mercados financeiros tradicionais, incluindo índices de ações, metais preciosos e commodities de energia (AHMED, 2020; CHARFEDDINE; BENLAGHA; MAOUCHI, 2020). Essa falta de sincronia ocorre porque as criptomoedas não compartilham necessariamente dos mesmos determinantes de preço que os ativos convencionais, estando menos expostas aos indicadores macroeconômicos clássicos (CHARFEDDINE; BENLAGHA; MAOUCHI, 2020). Desse modo, a alocação de proporções relativamente pequenas de capital nesses ativos pode gerar benefícios significativos para a redução do risco geral do portfólio, configurando uma estratégia eficiente de diversificação (CHARFEDDINE; BENLAGHA; MAOUCHI, 2020).</w:t>
      </w:r>
    </w:p>
    <w:p w14:paraId="1B0D201B"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No que diz respeito ao momento ideal para o investimento, a literatura investiga frequentemente o papel das criptomoedas como um "porto seguro" (</w:t>
      </w:r>
      <w:r w:rsidRPr="005E1718">
        <w:rPr>
          <w:rFonts w:ascii="Arial" w:eastAsia="Arial" w:hAnsi="Arial" w:cs="Arial"/>
          <w:i/>
          <w:iCs/>
          <w:sz w:val="24"/>
          <w:szCs w:val="24"/>
        </w:rPr>
        <w:t xml:space="preserve">safe </w:t>
      </w:r>
      <w:proofErr w:type="spellStart"/>
      <w:r w:rsidRPr="005E1718">
        <w:rPr>
          <w:rFonts w:ascii="Arial" w:eastAsia="Arial" w:hAnsi="Arial" w:cs="Arial"/>
          <w:i/>
          <w:iCs/>
          <w:sz w:val="24"/>
          <w:szCs w:val="24"/>
        </w:rPr>
        <w:t>haven</w:t>
      </w:r>
      <w:proofErr w:type="spellEnd"/>
      <w:r>
        <w:rPr>
          <w:rFonts w:ascii="Arial" w:eastAsia="Arial" w:hAnsi="Arial" w:cs="Arial"/>
          <w:sz w:val="24"/>
          <w:szCs w:val="24"/>
        </w:rPr>
        <w:t xml:space="preserve">) em períodos de elevada instabilidade. </w:t>
      </w:r>
      <w:proofErr w:type="spellStart"/>
      <w:r>
        <w:rPr>
          <w:rFonts w:ascii="Arial" w:eastAsia="Arial" w:hAnsi="Arial" w:cs="Arial"/>
          <w:sz w:val="24"/>
          <w:szCs w:val="24"/>
        </w:rPr>
        <w:t>Umar</w:t>
      </w:r>
      <w:proofErr w:type="spellEnd"/>
      <w:r>
        <w:rPr>
          <w:rFonts w:ascii="Arial" w:eastAsia="Arial" w:hAnsi="Arial" w:cs="Arial"/>
          <w:sz w:val="24"/>
          <w:szCs w:val="24"/>
        </w:rPr>
        <w:t xml:space="preserve"> et al. (2021) observam que, diante de picos de incerteza política e econômica, a demanda por </w:t>
      </w:r>
      <w:r w:rsidRPr="005E1718">
        <w:rPr>
          <w:rFonts w:ascii="Arial" w:eastAsia="Arial" w:hAnsi="Arial" w:cs="Arial"/>
          <w:i/>
          <w:iCs/>
          <w:sz w:val="24"/>
          <w:szCs w:val="24"/>
        </w:rPr>
        <w:t>Bitcoin</w:t>
      </w:r>
      <w:r>
        <w:rPr>
          <w:rFonts w:ascii="Arial" w:eastAsia="Arial" w:hAnsi="Arial" w:cs="Arial"/>
          <w:sz w:val="24"/>
          <w:szCs w:val="24"/>
        </w:rPr>
        <w:t xml:space="preserve"> tende a aumentar, uma vez que os investidores buscam ativos alternativos para compensar as perdas sofridas nas bolsas tradicionais. No entanto, os autores ressaltam que essa característica de proteção não é linear, operando em ciclos. Há períodos de retração em que os ativos digitais sofrem quedas simultâneas aos instrumentos financeiros convencionais, o que exige do investidor a habilidade de identificar o ciclo de mercado correto antes de adotar a criptomoeda como um instrumento de hedge (UMAR et al., 2021).</w:t>
      </w:r>
    </w:p>
    <w:p w14:paraId="1B0D201C"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 xml:space="preserve">A eficácia desse investimento como proteção torna-se ainda mais específica durante crises econômicas extremas, fenômeno que costuma elevar a correlação entre as diferentes classes de ativos. </w:t>
      </w:r>
      <w:proofErr w:type="spellStart"/>
      <w:r>
        <w:rPr>
          <w:rFonts w:ascii="Arial" w:eastAsia="Arial" w:hAnsi="Arial" w:cs="Arial"/>
          <w:sz w:val="24"/>
          <w:szCs w:val="24"/>
        </w:rPr>
        <w:t>Goodell</w:t>
      </w:r>
      <w:proofErr w:type="spellEnd"/>
      <w:r>
        <w:rPr>
          <w:rFonts w:ascii="Arial" w:eastAsia="Arial" w:hAnsi="Arial" w:cs="Arial"/>
          <w:sz w:val="24"/>
          <w:szCs w:val="24"/>
        </w:rPr>
        <w:t xml:space="preserve"> e </w:t>
      </w:r>
      <w:proofErr w:type="spellStart"/>
      <w:r>
        <w:rPr>
          <w:rFonts w:ascii="Arial" w:eastAsia="Arial" w:hAnsi="Arial" w:cs="Arial"/>
          <w:sz w:val="24"/>
          <w:szCs w:val="24"/>
        </w:rPr>
        <w:t>Goutte</w:t>
      </w:r>
      <w:proofErr w:type="spellEnd"/>
      <w:r>
        <w:rPr>
          <w:rFonts w:ascii="Arial" w:eastAsia="Arial" w:hAnsi="Arial" w:cs="Arial"/>
          <w:sz w:val="24"/>
          <w:szCs w:val="24"/>
        </w:rPr>
        <w:t xml:space="preserve"> (2021) </w:t>
      </w:r>
      <w:r>
        <w:rPr>
          <w:rFonts w:ascii="Arial" w:eastAsia="Arial" w:hAnsi="Arial" w:cs="Arial"/>
          <w:sz w:val="24"/>
          <w:szCs w:val="24"/>
        </w:rPr>
        <w:lastRenderedPageBreak/>
        <w:t xml:space="preserve">demonstram que, em choques de grande magnitude como o provocado pela pandemia de COVID-19, criptomoedas convencionais e de alta volatilidade (como </w:t>
      </w:r>
      <w:r w:rsidRPr="00191837">
        <w:rPr>
          <w:rFonts w:ascii="Arial" w:eastAsia="Arial" w:hAnsi="Arial" w:cs="Arial"/>
          <w:i/>
          <w:iCs/>
          <w:sz w:val="24"/>
          <w:szCs w:val="24"/>
        </w:rPr>
        <w:t>Bitcoin</w:t>
      </w:r>
      <w:r>
        <w:rPr>
          <w:rFonts w:ascii="Arial" w:eastAsia="Arial" w:hAnsi="Arial" w:cs="Arial"/>
          <w:sz w:val="24"/>
          <w:szCs w:val="24"/>
        </w:rPr>
        <w:t xml:space="preserve">, </w:t>
      </w:r>
      <w:r w:rsidRPr="00191837">
        <w:rPr>
          <w:rFonts w:ascii="Arial" w:eastAsia="Arial" w:hAnsi="Arial" w:cs="Arial"/>
          <w:i/>
          <w:iCs/>
          <w:sz w:val="24"/>
          <w:szCs w:val="24"/>
        </w:rPr>
        <w:t>Ethereum</w:t>
      </w:r>
      <w:r>
        <w:rPr>
          <w:rFonts w:ascii="Arial" w:eastAsia="Arial" w:hAnsi="Arial" w:cs="Arial"/>
          <w:sz w:val="24"/>
          <w:szCs w:val="24"/>
        </w:rPr>
        <w:t xml:space="preserve"> e </w:t>
      </w:r>
      <w:r w:rsidRPr="00191837">
        <w:rPr>
          <w:rFonts w:ascii="Arial" w:eastAsia="Arial" w:hAnsi="Arial" w:cs="Arial"/>
          <w:i/>
          <w:iCs/>
          <w:sz w:val="24"/>
          <w:szCs w:val="24"/>
        </w:rPr>
        <w:t>Litecoin</w:t>
      </w:r>
      <w:r>
        <w:rPr>
          <w:rFonts w:ascii="Arial" w:eastAsia="Arial" w:hAnsi="Arial" w:cs="Arial"/>
          <w:sz w:val="24"/>
          <w:szCs w:val="24"/>
        </w:rPr>
        <w:t xml:space="preserve">) passam a se mover na mesma direção dos índices de ações, falhando em atuar como diversificadores eficientes. Em contrapartida, as stablecoins, a exemplo do </w:t>
      </w:r>
      <w:proofErr w:type="spellStart"/>
      <w:r w:rsidRPr="00191837">
        <w:rPr>
          <w:rFonts w:ascii="Arial" w:eastAsia="Arial" w:hAnsi="Arial" w:cs="Arial"/>
          <w:i/>
          <w:iCs/>
          <w:sz w:val="24"/>
          <w:szCs w:val="24"/>
        </w:rPr>
        <w:t>Tether</w:t>
      </w:r>
      <w:proofErr w:type="spellEnd"/>
      <w:r>
        <w:rPr>
          <w:rFonts w:ascii="Arial" w:eastAsia="Arial" w:hAnsi="Arial" w:cs="Arial"/>
          <w:sz w:val="24"/>
          <w:szCs w:val="24"/>
        </w:rPr>
        <w:t>, apresentam um comportamento de correlação negativa com as ações durante essas turbulências (GOODELL; GOUTTE, 2021). Portanto, segundo a literatura, o investimento em criptoativos pareados a moedas fiduciárias é recomendado especialmente em cenários de forte retração econômica e restrição de liquidez, atuando como verdadeiros portos seguros e reservas de valor (GOODELL; GOUTTE, 2021).</w:t>
      </w:r>
    </w:p>
    <w:p w14:paraId="1B0D201D" w14:textId="77777777" w:rsidR="00535B14" w:rsidRDefault="00535B14"/>
    <w:p w14:paraId="1B0D201E" w14:textId="77777777" w:rsidR="00535B14" w:rsidRDefault="00000000">
      <w:pPr>
        <w:pStyle w:val="Ttulo2"/>
        <w:numPr>
          <w:ilvl w:val="1"/>
          <w:numId w:val="1"/>
        </w:numPr>
      </w:pPr>
      <w:r>
        <w:t xml:space="preserve"> </w:t>
      </w:r>
      <w:bookmarkStart w:id="14" w:name="_heading=h.tuja74lner4r"/>
      <w:bookmarkStart w:id="15" w:name="_Toc4"/>
      <w:bookmarkEnd w:id="14"/>
      <w:r>
        <w:t>Cripto Ativos</w:t>
      </w:r>
      <w:bookmarkEnd w:id="15"/>
    </w:p>
    <w:p w14:paraId="1B0D201F" w14:textId="77777777" w:rsidR="00535B14" w:rsidRDefault="00000000">
      <w:pPr>
        <w:pBdr>
          <w:top w:val="none" w:sz="4" w:space="0" w:color="000000"/>
          <w:left w:val="none" w:sz="4" w:space="0" w:color="000000"/>
          <w:bottom w:val="none" w:sz="4" w:space="0" w:color="000000"/>
          <w:right w:val="none" w:sz="4" w:space="0" w:color="000000"/>
        </w:pBdr>
        <w:rPr>
          <w:rFonts w:ascii="Arial" w:hAnsi="Arial" w:cs="Arial"/>
          <w:b/>
          <w:bCs/>
          <w:color w:val="000000"/>
          <w:sz w:val="24"/>
          <w:szCs w:val="24"/>
        </w:rPr>
      </w:pPr>
      <w:r>
        <w:rPr>
          <w:rFonts w:ascii="Arial" w:eastAsia="Arial" w:hAnsi="Arial" w:cs="Arial"/>
          <w:b/>
          <w:color w:val="000000"/>
          <w:sz w:val="24"/>
        </w:rPr>
        <w:t>2.2.1 Conceito, origem e funcionamento dos criptoativos</w:t>
      </w:r>
    </w:p>
    <w:p w14:paraId="1B0D2020"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r>
        <w:rPr>
          <w:rFonts w:ascii="Arial" w:eastAsia="Arial" w:hAnsi="Arial" w:cs="Arial"/>
          <w:sz w:val="24"/>
          <w:szCs w:val="24"/>
        </w:rPr>
        <w:t xml:space="preserve"> As criptomoedas são </w:t>
      </w:r>
      <w:proofErr w:type="gramStart"/>
      <w:r>
        <w:rPr>
          <w:rFonts w:ascii="Arial" w:eastAsia="Arial" w:hAnsi="Arial" w:cs="Arial"/>
          <w:sz w:val="24"/>
          <w:szCs w:val="24"/>
        </w:rPr>
        <w:t>ativos</w:t>
      </w:r>
      <w:proofErr w:type="gramEnd"/>
      <w:r>
        <w:rPr>
          <w:rFonts w:ascii="Arial" w:eastAsia="Arial" w:hAnsi="Arial" w:cs="Arial"/>
          <w:sz w:val="24"/>
          <w:szCs w:val="24"/>
        </w:rPr>
        <w:t xml:space="preserve"> digitais concebidos para operar como meios de troca descentralizados, utilizando funções criptográficas para assegurar a propriedade, conduzir transações financeiras e controlar a emissão de novas unidades (DORAN, 2014; BALLIS; DRAKOS, 2020; CHEVALLIER; GUÉGAN; GOUTTE, 2021). O </w:t>
      </w:r>
      <w:r w:rsidRPr="00191837">
        <w:rPr>
          <w:rFonts w:ascii="Arial" w:eastAsia="Arial" w:hAnsi="Arial" w:cs="Arial"/>
          <w:i/>
          <w:iCs/>
          <w:sz w:val="24"/>
          <w:szCs w:val="24"/>
        </w:rPr>
        <w:t>Bitcoin</w:t>
      </w:r>
      <w:r>
        <w:rPr>
          <w:rFonts w:ascii="Arial" w:eastAsia="Arial" w:hAnsi="Arial" w:cs="Arial"/>
          <w:sz w:val="24"/>
          <w:szCs w:val="24"/>
        </w:rPr>
        <w:t xml:space="preserve"> consolidou-se como a primeira criptomoeda descentralizada, baseada fundamentalmente na tecnologia </w:t>
      </w:r>
      <w:r w:rsidRPr="00191837">
        <w:rPr>
          <w:rFonts w:ascii="Arial" w:eastAsia="Arial" w:hAnsi="Arial" w:cs="Arial"/>
          <w:i/>
          <w:iCs/>
          <w:sz w:val="24"/>
          <w:szCs w:val="24"/>
        </w:rPr>
        <w:t>blockchain</w:t>
      </w:r>
      <w:r>
        <w:rPr>
          <w:rFonts w:ascii="Arial" w:eastAsia="Arial" w:hAnsi="Arial" w:cs="Arial"/>
          <w:sz w:val="24"/>
          <w:szCs w:val="24"/>
        </w:rPr>
        <w:t xml:space="preserve"> (FAKHFEKH; JERIBI, 2020), tendo sido idealizado em 2008 sob o pseudônimo Satoshi </w:t>
      </w:r>
      <w:proofErr w:type="spellStart"/>
      <w:r>
        <w:rPr>
          <w:rFonts w:ascii="Arial" w:eastAsia="Arial" w:hAnsi="Arial" w:cs="Arial"/>
          <w:sz w:val="24"/>
          <w:szCs w:val="24"/>
        </w:rPr>
        <w:t>Nakamoto</w:t>
      </w:r>
      <w:proofErr w:type="spellEnd"/>
      <w:r>
        <w:rPr>
          <w:rFonts w:ascii="Arial" w:eastAsia="Arial" w:hAnsi="Arial" w:cs="Arial"/>
          <w:sz w:val="24"/>
          <w:szCs w:val="24"/>
        </w:rPr>
        <w:t xml:space="preserve">, que designa um indivíduo ou grupo anônimo responsável por publicar o documento fundacional do ativo em uma lista de e-mails sobre criptografia (CHARFEDDINE; BENLAGHA; MAOUCHI, 2020). A </w:t>
      </w:r>
      <w:r w:rsidRPr="000449C2">
        <w:rPr>
          <w:rFonts w:ascii="Arial" w:eastAsia="Arial" w:hAnsi="Arial" w:cs="Arial"/>
          <w:i/>
          <w:iCs/>
          <w:sz w:val="24"/>
          <w:szCs w:val="24"/>
        </w:rPr>
        <w:t>blockchain</w:t>
      </w:r>
      <w:r>
        <w:rPr>
          <w:rFonts w:ascii="Arial" w:eastAsia="Arial" w:hAnsi="Arial" w:cs="Arial"/>
          <w:sz w:val="24"/>
          <w:szCs w:val="24"/>
        </w:rPr>
        <w:t xml:space="preserve"> atua como a tecnologia estrutural do sistema, operando como um livro-razão digital público e sem necessidade de permissão, no qual as transações entre os usuários são invariavelmente registradas (SEBASTIÃO; GODINHO, 2021).</w:t>
      </w:r>
    </w:p>
    <w:p w14:paraId="1B0D2021"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r>
        <w:rPr>
          <w:rFonts w:ascii="Arial" w:eastAsia="Arial" w:hAnsi="Arial" w:cs="Arial"/>
          <w:sz w:val="24"/>
          <w:szCs w:val="24"/>
        </w:rPr>
        <w:t>O funcionamento operacional das criptomoedas ocorre por meio de uma arquitetura de pagamentos ponto a ponto (</w:t>
      </w:r>
      <w:proofErr w:type="spellStart"/>
      <w:r w:rsidRPr="000449C2">
        <w:rPr>
          <w:rFonts w:ascii="Arial" w:eastAsia="Arial" w:hAnsi="Arial" w:cs="Arial"/>
          <w:i/>
          <w:iCs/>
          <w:sz w:val="24"/>
          <w:szCs w:val="24"/>
        </w:rPr>
        <w:t>peer-to-peer</w:t>
      </w:r>
      <w:proofErr w:type="spellEnd"/>
      <w:r>
        <w:rPr>
          <w:rFonts w:ascii="Arial" w:eastAsia="Arial" w:hAnsi="Arial" w:cs="Arial"/>
          <w:sz w:val="24"/>
          <w:szCs w:val="24"/>
        </w:rPr>
        <w:t xml:space="preserve">), permitindo que os fluxos financeiros ocorram diretamente entre as partes envolvidas (WANG; MA; WU, 2020). A segurança desse ecossistema é garantida de forma estrita pela criptografia, eliminando a dependência de fatores humanos ou relações de confiança (NARAYANAN et al., 2016). A inovação intrínseca ao </w:t>
      </w:r>
      <w:r w:rsidRPr="00EF3644">
        <w:rPr>
          <w:rFonts w:ascii="Arial" w:eastAsia="Arial" w:hAnsi="Arial" w:cs="Arial"/>
          <w:i/>
          <w:iCs/>
          <w:sz w:val="24"/>
          <w:szCs w:val="24"/>
        </w:rPr>
        <w:t>Bitcoin</w:t>
      </w:r>
      <w:r>
        <w:rPr>
          <w:rFonts w:ascii="Arial" w:eastAsia="Arial" w:hAnsi="Arial" w:cs="Arial"/>
          <w:sz w:val="24"/>
          <w:szCs w:val="24"/>
        </w:rPr>
        <w:t xml:space="preserve"> e à </w:t>
      </w:r>
      <w:r w:rsidRPr="00EF3644">
        <w:rPr>
          <w:rFonts w:ascii="Arial" w:eastAsia="Arial" w:hAnsi="Arial" w:cs="Arial"/>
          <w:i/>
          <w:iCs/>
          <w:sz w:val="24"/>
          <w:szCs w:val="24"/>
        </w:rPr>
        <w:t>blockchain</w:t>
      </w:r>
      <w:r>
        <w:rPr>
          <w:rFonts w:ascii="Arial" w:eastAsia="Arial" w:hAnsi="Arial" w:cs="Arial"/>
          <w:sz w:val="24"/>
          <w:szCs w:val="24"/>
        </w:rPr>
        <w:t xml:space="preserve"> reside na transferência do mecanismo de criação de confiança: de </w:t>
      </w:r>
      <w:r>
        <w:rPr>
          <w:rFonts w:ascii="Arial" w:eastAsia="Arial" w:hAnsi="Arial" w:cs="Arial"/>
          <w:sz w:val="24"/>
          <w:szCs w:val="24"/>
        </w:rPr>
        <w:lastRenderedPageBreak/>
        <w:t>uma terceira parte centralizada para um corpo de consenso coletivo formado por computadores independentes na rede (CHARFEDDINE; BENLAGHA; MAOUCHI, 2020). Consequentemente, a característica definidora primordial das criptomoedas é a exclusão absoluta de instituições financeiras atuando como intermediárias nas operações (HARWICK, 2016; WANG; MA; WU, 2020).</w:t>
      </w:r>
    </w:p>
    <w:p w14:paraId="1B0D2022" w14:textId="77777777" w:rsidR="00535B14" w:rsidRDefault="00535B14">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p>
    <w:p w14:paraId="1B0D2023" w14:textId="77777777" w:rsidR="00535B14" w:rsidRDefault="00000000">
      <w:pPr>
        <w:pBdr>
          <w:top w:val="none" w:sz="4" w:space="0" w:color="000000"/>
          <w:left w:val="none" w:sz="4" w:space="0" w:color="000000"/>
          <w:bottom w:val="none" w:sz="4" w:space="0" w:color="000000"/>
          <w:right w:val="none" w:sz="4" w:space="0" w:color="000000"/>
        </w:pBdr>
        <w:rPr>
          <w:rFonts w:ascii="Arial" w:hAnsi="Arial" w:cs="Arial"/>
          <w:color w:val="000000"/>
          <w:sz w:val="24"/>
          <w:szCs w:val="24"/>
        </w:rPr>
      </w:pPr>
      <w:r>
        <w:rPr>
          <w:rFonts w:ascii="Arial" w:eastAsia="Arial" w:hAnsi="Arial" w:cs="Arial"/>
          <w:b/>
          <w:color w:val="000000"/>
          <w:sz w:val="24"/>
        </w:rPr>
        <w:t>2.2.2 Criptomoedas como ativos financeiros</w:t>
      </w:r>
      <w:r>
        <w:rPr>
          <w:rFonts w:ascii="Arial" w:eastAsia="Arial" w:hAnsi="Arial" w:cs="Arial"/>
          <w:color w:val="000000"/>
          <w:sz w:val="24"/>
        </w:rPr>
        <w:t xml:space="preserve"> </w:t>
      </w:r>
    </w:p>
    <w:p w14:paraId="1B0D2024"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r>
        <w:rPr>
          <w:rFonts w:ascii="Arial" w:eastAsia="Arial" w:hAnsi="Arial" w:cs="Arial"/>
          <w:sz w:val="24"/>
          <w:szCs w:val="24"/>
        </w:rPr>
        <w:t>As criptomoedas têm se consolidado como um novo instrumento financeiro e uma classe de ativos com características singulares, embora ainda persista ceticismo e falta de compreensão sobre a sua verdadeira natureza no mercado (CHARFEDDINE; BENLAGHA; MAOUCHI, 2020; CORBET; LARKIN; LUCEY, 2020). O mercado de Bitcoin, em particular, estabeleceu-se de forma sólida como um mercado global de ativos (PARK; YANG, 2023).</w:t>
      </w:r>
    </w:p>
    <w:p w14:paraId="1B0D2025"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 xml:space="preserve">Apesar de o </w:t>
      </w:r>
      <w:r w:rsidRPr="00123B47">
        <w:rPr>
          <w:rFonts w:ascii="Arial" w:eastAsia="Arial" w:hAnsi="Arial" w:cs="Arial"/>
          <w:i/>
          <w:iCs/>
          <w:sz w:val="24"/>
          <w:szCs w:val="24"/>
        </w:rPr>
        <w:t>Bitcoin</w:t>
      </w:r>
      <w:r>
        <w:rPr>
          <w:rFonts w:ascii="Arial" w:eastAsia="Arial" w:hAnsi="Arial" w:cs="Arial"/>
          <w:sz w:val="24"/>
          <w:szCs w:val="24"/>
        </w:rPr>
        <w:t xml:space="preserve"> carecer de valor intrínseco que lhe permita gerar dividendos ou ser amplamente utilizado como meio de pagamento convencional, a moeda obteve amplo reconhecimento como um ativo de investimento. Sua atratividade financeira fundamenta-se na possibilidade de comercialização a preços superiores, uma dinâmica impulsionada pela escassez restritiva de sua oferta digital (PARK; YANG, 2023). Esse processo de legitimação levou fundos de cobertura e gestores de capital a incorporarem criptomoedas em seus portfólios, estimulando também a comunidade acadêmica a direcionar pesquisas para a negociação desses ativos, com ênfase na aplicação de algoritmos de aprendizado de máquina (SEBASTIÃO; GODINHO, 2021).</w:t>
      </w:r>
    </w:p>
    <w:p w14:paraId="1B0D2026"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r>
        <w:rPr>
          <w:rFonts w:ascii="Arial" w:eastAsia="Arial" w:hAnsi="Arial" w:cs="Arial"/>
          <w:sz w:val="24"/>
          <w:szCs w:val="24"/>
        </w:rPr>
        <w:t xml:space="preserve">Por fim, constata-se uma heterogeneidade estrutural dentro dessa nova classe de ativos. Existem criptoativos, a exemplo do </w:t>
      </w:r>
      <w:proofErr w:type="spellStart"/>
      <w:r w:rsidRPr="00C269A8">
        <w:rPr>
          <w:rFonts w:ascii="Arial" w:eastAsia="Arial" w:hAnsi="Arial" w:cs="Arial"/>
          <w:i/>
          <w:iCs/>
          <w:sz w:val="24"/>
          <w:szCs w:val="24"/>
        </w:rPr>
        <w:t>Tether</w:t>
      </w:r>
      <w:proofErr w:type="spellEnd"/>
      <w:r>
        <w:rPr>
          <w:rFonts w:ascii="Arial" w:eastAsia="Arial" w:hAnsi="Arial" w:cs="Arial"/>
          <w:sz w:val="24"/>
          <w:szCs w:val="24"/>
        </w:rPr>
        <w:t xml:space="preserve">, que diferem inerentemente do </w:t>
      </w:r>
      <w:r w:rsidRPr="00C269A8">
        <w:rPr>
          <w:rFonts w:ascii="Arial" w:eastAsia="Arial" w:hAnsi="Arial" w:cs="Arial"/>
          <w:i/>
          <w:iCs/>
          <w:sz w:val="24"/>
          <w:szCs w:val="24"/>
        </w:rPr>
        <w:t>Bitcoin</w:t>
      </w:r>
      <w:r>
        <w:rPr>
          <w:rFonts w:ascii="Arial" w:eastAsia="Arial" w:hAnsi="Arial" w:cs="Arial"/>
          <w:sz w:val="24"/>
          <w:szCs w:val="24"/>
        </w:rPr>
        <w:t xml:space="preserve"> por possuírem seu valor indexado a moedas fiduciárias, como o dólar norte-americano, o que lhes confere utilidades e características financeiras fundamentalmente distintas no mercado (GOODELL; GOUTTE, 2021).</w:t>
      </w:r>
    </w:p>
    <w:p w14:paraId="1B0D2027" w14:textId="77777777" w:rsidR="00535B14" w:rsidRDefault="00535B14">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p>
    <w:p w14:paraId="1B0D2028" w14:textId="77777777" w:rsidR="00535B14" w:rsidRDefault="00000000">
      <w:pPr>
        <w:pBdr>
          <w:top w:val="none" w:sz="4" w:space="0" w:color="000000"/>
          <w:left w:val="none" w:sz="4" w:space="0" w:color="000000"/>
          <w:bottom w:val="none" w:sz="4" w:space="0" w:color="000000"/>
          <w:right w:val="none" w:sz="4" w:space="0" w:color="000000"/>
        </w:pBdr>
        <w:rPr>
          <w:rFonts w:ascii="Arial" w:hAnsi="Arial" w:cs="Arial"/>
          <w:b/>
          <w:bCs/>
          <w:color w:val="000000"/>
          <w:sz w:val="24"/>
          <w:szCs w:val="24"/>
        </w:rPr>
      </w:pPr>
      <w:r>
        <w:rPr>
          <w:rFonts w:ascii="Arial" w:eastAsia="Arial" w:hAnsi="Arial" w:cs="Arial"/>
          <w:b/>
          <w:color w:val="000000"/>
          <w:sz w:val="24"/>
        </w:rPr>
        <w:t>2.2.3 Características do mercado de criptoativos</w:t>
      </w:r>
    </w:p>
    <w:p w14:paraId="1B0D2029"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r>
        <w:rPr>
          <w:rFonts w:ascii="Times New Roman" w:eastAsia="Times New Roman" w:hAnsi="Times New Roman" w:cs="Times New Roman"/>
          <w:color w:val="000000"/>
          <w:sz w:val="24"/>
        </w:rPr>
        <w:t xml:space="preserve"> </w:t>
      </w:r>
      <w:r>
        <w:rPr>
          <w:rFonts w:ascii="Arial" w:eastAsia="Arial" w:hAnsi="Arial" w:cs="Arial"/>
          <w:sz w:val="24"/>
          <w:szCs w:val="24"/>
        </w:rPr>
        <w:t xml:space="preserve">O mercado de criptomoedas, atualmente um dos maiores mercados não regulamentados do mundo (SEBASTIÃO; GODINHO, 2021), é estruturalmente </w:t>
      </w:r>
      <w:r>
        <w:rPr>
          <w:rFonts w:ascii="Arial" w:eastAsia="Arial" w:hAnsi="Arial" w:cs="Arial"/>
          <w:sz w:val="24"/>
          <w:szCs w:val="24"/>
        </w:rPr>
        <w:lastRenderedPageBreak/>
        <w:t xml:space="preserve">caracterizado por sua extrema volatilidade. Os preços do Bitcoin e de outros ativos digitais apresentam oscilações substanciais não apenas em horizontes de longo prazo, mas também em bases diárias (BAUR; HOANG, 2021). Quando comparadas a classes de ativos convencionais, como ações, títulos de dívida, ouro e moedas fiduciárias, as cotações do </w:t>
      </w:r>
      <w:r w:rsidRPr="00C269A8">
        <w:rPr>
          <w:rFonts w:ascii="Arial" w:eastAsia="Arial" w:hAnsi="Arial" w:cs="Arial"/>
          <w:i/>
          <w:iCs/>
          <w:sz w:val="24"/>
          <w:szCs w:val="24"/>
        </w:rPr>
        <w:t>Bitcoin</w:t>
      </w:r>
      <w:r>
        <w:rPr>
          <w:rFonts w:ascii="Arial" w:eastAsia="Arial" w:hAnsi="Arial" w:cs="Arial"/>
          <w:sz w:val="24"/>
          <w:szCs w:val="24"/>
        </w:rPr>
        <w:t xml:space="preserve"> chegam a ser dezenas de vezes mais voláteis e exibem uma sensibilidade aguda a eventos de mercado e a anúncios regulatórios (FAKHFEKH; JERIBI, 2020; PARK; YANG, 2023).</w:t>
      </w:r>
    </w:p>
    <w:p w14:paraId="1B0D202A"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r>
        <w:rPr>
          <w:rFonts w:ascii="Arial" w:eastAsia="Arial" w:hAnsi="Arial" w:cs="Arial"/>
          <w:sz w:val="24"/>
          <w:szCs w:val="24"/>
        </w:rPr>
        <w:t>A natureza de alta volatilidade desse mercado impõe dificuldades práticas para investidores que buscam a obtenção de retornos estáveis ou a manutenção de valor no tempo (WANG; MA; WU, 2020). O ambiente de negociação é marcado por uma dinâmica de alto risco e altas recompensas, evidenciando padrões recorrentes de retornos atípicos e quedas frequentes de preços (PARK; YANG, 2023). O risco inerente aos criptoativos é exacerbado pela falta de recursos legais disponíveis para a proteção dos investidores em casos de fraude ou falhas operacionais (CHARFEDDINE; BENLAGHA; MAOUCHI, 2020). Ademais, a literatura financeira destaca a ocorrência do comportamento de manada (</w:t>
      </w:r>
      <w:proofErr w:type="spellStart"/>
      <w:r w:rsidRPr="0058220B">
        <w:rPr>
          <w:rFonts w:ascii="Arial" w:eastAsia="Arial" w:hAnsi="Arial" w:cs="Arial"/>
          <w:i/>
          <w:iCs/>
          <w:sz w:val="24"/>
          <w:szCs w:val="24"/>
        </w:rPr>
        <w:t>herding</w:t>
      </w:r>
      <w:proofErr w:type="spellEnd"/>
      <w:r w:rsidRPr="0058220B">
        <w:rPr>
          <w:rFonts w:ascii="Arial" w:eastAsia="Arial" w:hAnsi="Arial" w:cs="Arial"/>
          <w:i/>
          <w:iCs/>
          <w:sz w:val="24"/>
          <w:szCs w:val="24"/>
        </w:rPr>
        <w:t xml:space="preserve"> </w:t>
      </w:r>
      <w:proofErr w:type="spellStart"/>
      <w:r w:rsidRPr="0058220B">
        <w:rPr>
          <w:rFonts w:ascii="Arial" w:eastAsia="Arial" w:hAnsi="Arial" w:cs="Arial"/>
          <w:i/>
          <w:iCs/>
          <w:sz w:val="24"/>
          <w:szCs w:val="24"/>
        </w:rPr>
        <w:t>behavior</w:t>
      </w:r>
      <w:proofErr w:type="spellEnd"/>
      <w:r>
        <w:rPr>
          <w:rFonts w:ascii="Arial" w:eastAsia="Arial" w:hAnsi="Arial" w:cs="Arial"/>
          <w:sz w:val="24"/>
          <w:szCs w:val="24"/>
        </w:rPr>
        <w:t>) como um fenômeno investigado e característico das dinâmicas de atuação dos participantes nesse mercado (BALLIS; DRAKOS, 2020).</w:t>
      </w:r>
    </w:p>
    <w:p w14:paraId="1B0D202B" w14:textId="77777777" w:rsidR="00535B14" w:rsidRDefault="00535B14">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p>
    <w:p w14:paraId="1B0D202C" w14:textId="77777777" w:rsidR="00535B14" w:rsidRDefault="00000000">
      <w:pPr>
        <w:pBdr>
          <w:top w:val="none" w:sz="4" w:space="0" w:color="000000"/>
          <w:left w:val="none" w:sz="4" w:space="0" w:color="000000"/>
          <w:bottom w:val="none" w:sz="4" w:space="0" w:color="000000"/>
          <w:right w:val="none" w:sz="4" w:space="0" w:color="000000"/>
        </w:pBdr>
        <w:rPr>
          <w:rFonts w:ascii="Arial" w:hAnsi="Arial" w:cs="Arial"/>
          <w:color w:val="000000"/>
          <w:sz w:val="24"/>
          <w:szCs w:val="24"/>
        </w:rPr>
      </w:pPr>
      <w:r>
        <w:rPr>
          <w:rFonts w:ascii="Arial" w:eastAsia="Arial" w:hAnsi="Arial" w:cs="Arial"/>
          <w:b/>
          <w:color w:val="000000"/>
          <w:sz w:val="24"/>
        </w:rPr>
        <w:t>2.2.4 Criptoativos, diversificação e correlação com mercados tradicionais</w:t>
      </w:r>
    </w:p>
    <w:p w14:paraId="1B0D202D"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r>
        <w:rPr>
          <w:rFonts w:ascii="Times New Roman" w:eastAsia="Times New Roman" w:hAnsi="Times New Roman" w:cs="Times New Roman"/>
          <w:color w:val="000000"/>
          <w:sz w:val="24"/>
        </w:rPr>
        <w:t xml:space="preserve"> </w:t>
      </w:r>
      <w:r>
        <w:rPr>
          <w:rFonts w:ascii="Arial" w:eastAsia="Arial" w:hAnsi="Arial" w:cs="Arial"/>
          <w:sz w:val="24"/>
          <w:szCs w:val="24"/>
        </w:rPr>
        <w:t>A inclusão de criptomoedas em portfólios de investimento possui amplo respaldo na literatura acadêmica devido ao seu potencial intrínseco de proporcionar diversificação (CHARFEDDINE; BENLAGHA; MAOUCHI, 2020). Essa capacidade fundamenta-se na constatação de que a correlação cruzada entre os ativos digitais e os ativos financeiros convencionais é fraca, embora apresente variações ao longo do tempo (CHARFEDDINE; BENLAGHA; MAOUCHI, 2020). O Bitcoin, de forma específica, demonstra estar segmentado em relação aos mercados financeiros tradicionais e de commodities, exibindo maior reatividade ao fluxo de informações gerado por outras criptomoedas, o que, consequentemente, afeta a precisão de suas previsões (CHEVALLIER; GUÉGAN; GOUTTE, 2021).</w:t>
      </w:r>
    </w:p>
    <w:p w14:paraId="1B0D202E"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 xml:space="preserve">Internamente ao mercado digital, os retornos das diferentes criptomoedas apresentam alta correlação entre si, além de exibirem elevada exposição a riscos </w:t>
      </w:r>
      <w:r>
        <w:rPr>
          <w:rFonts w:ascii="Arial" w:eastAsia="Arial" w:hAnsi="Arial" w:cs="Arial"/>
          <w:sz w:val="24"/>
          <w:szCs w:val="24"/>
        </w:rPr>
        <w:lastRenderedPageBreak/>
        <w:t>de cauda (FAKHFEKH; JERIBI, 2020). Não obstante, a estruturação de carteiras diversificadas contendo múltiplas criptomoedas possibilita a mitigação desses riscos, gerando desempenhos superiores — mensurados pelo índice de Sharpe e retornos equivalentes de certeza — quando comparados à detenção de um ativo digital isolado (BRAUNEIS; MESTEL, 2019).</w:t>
      </w:r>
    </w:p>
    <w:p w14:paraId="1B0D202F"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hAnsi="Arial" w:cs="Arial"/>
          <w:sz w:val="24"/>
          <w:szCs w:val="24"/>
        </w:rPr>
      </w:pPr>
      <w:r>
        <w:rPr>
          <w:rFonts w:ascii="Arial" w:eastAsia="Arial" w:hAnsi="Arial" w:cs="Arial"/>
          <w:sz w:val="24"/>
          <w:szCs w:val="24"/>
        </w:rPr>
        <w:t>No que tange à proteção em cenários adversos, a utilidade desses ativos possui limitações. Em condições normais de mercado, as stablecoins operam fundamentalmente como diversificadores eficazes, assumindo a função de porto seguro (</w:t>
      </w:r>
      <w:r w:rsidRPr="0058220B">
        <w:rPr>
          <w:rFonts w:ascii="Arial" w:eastAsia="Arial" w:hAnsi="Arial" w:cs="Arial"/>
          <w:i/>
          <w:iCs/>
          <w:sz w:val="24"/>
          <w:szCs w:val="24"/>
        </w:rPr>
        <w:t xml:space="preserve">safe </w:t>
      </w:r>
      <w:proofErr w:type="spellStart"/>
      <w:r w:rsidRPr="0058220B">
        <w:rPr>
          <w:rFonts w:ascii="Arial" w:eastAsia="Arial" w:hAnsi="Arial" w:cs="Arial"/>
          <w:i/>
          <w:iCs/>
          <w:sz w:val="24"/>
          <w:szCs w:val="24"/>
        </w:rPr>
        <w:t>haven</w:t>
      </w:r>
      <w:proofErr w:type="spellEnd"/>
      <w:r>
        <w:rPr>
          <w:rFonts w:ascii="Arial" w:eastAsia="Arial" w:hAnsi="Arial" w:cs="Arial"/>
          <w:sz w:val="24"/>
          <w:szCs w:val="24"/>
        </w:rPr>
        <w:t>) apenas sob circunstâncias muito específicas (WANG; MA; WU, 2020). Em períodos de severa ruptura econômica e financeira, as evidências indicam que os criptoativos perdem sua capacidade de atuar como instrumentos de proteção (</w:t>
      </w:r>
      <w:r w:rsidRPr="0058220B">
        <w:rPr>
          <w:rFonts w:ascii="Arial" w:eastAsia="Arial" w:hAnsi="Arial" w:cs="Arial"/>
          <w:i/>
          <w:iCs/>
          <w:sz w:val="24"/>
          <w:szCs w:val="24"/>
        </w:rPr>
        <w:t>hedge</w:t>
      </w:r>
      <w:r>
        <w:rPr>
          <w:rFonts w:ascii="Arial" w:eastAsia="Arial" w:hAnsi="Arial" w:cs="Arial"/>
          <w:sz w:val="24"/>
          <w:szCs w:val="24"/>
        </w:rPr>
        <w:t>) ou portos seguros, podendo funcionar como amplificadores do contágio financeiro sistêmico (CORBET; LARKIN; LUCEY, 2020).</w:t>
      </w:r>
    </w:p>
    <w:p w14:paraId="1B0D2030" w14:textId="77777777" w:rsidR="00535B14" w:rsidRDefault="00535B14">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hAnsi="Arial" w:cs="Arial"/>
          <w:sz w:val="24"/>
          <w:szCs w:val="24"/>
        </w:rPr>
      </w:pPr>
    </w:p>
    <w:p w14:paraId="1B0D2031" w14:textId="77777777" w:rsidR="00535B14" w:rsidRDefault="00000000">
      <w:pPr>
        <w:pBdr>
          <w:top w:val="none" w:sz="4" w:space="0" w:color="000000"/>
          <w:left w:val="none" w:sz="4" w:space="0" w:color="000000"/>
          <w:bottom w:val="none" w:sz="4" w:space="0" w:color="000000"/>
          <w:right w:val="none" w:sz="4" w:space="0" w:color="000000"/>
        </w:pBdr>
        <w:rPr>
          <w:rFonts w:ascii="Arial" w:hAnsi="Arial" w:cs="Arial"/>
          <w:b/>
          <w:bCs/>
          <w:color w:val="000000"/>
          <w:sz w:val="24"/>
          <w:szCs w:val="24"/>
        </w:rPr>
      </w:pPr>
      <w:r>
        <w:rPr>
          <w:rFonts w:ascii="Arial" w:eastAsia="Arial" w:hAnsi="Arial" w:cs="Arial"/>
          <w:b/>
          <w:color w:val="000000"/>
          <w:sz w:val="24"/>
        </w:rPr>
        <w:t>2.2.5 Previsibilidade e eficiência no mercado de criptomoedas</w:t>
      </w:r>
    </w:p>
    <w:p w14:paraId="1B0D2032"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hAnsi="Arial" w:cs="Arial"/>
          <w:sz w:val="24"/>
          <w:szCs w:val="24"/>
        </w:rPr>
      </w:pPr>
      <w:r>
        <w:rPr>
          <w:rFonts w:ascii="Arial" w:eastAsia="Arial" w:hAnsi="Arial" w:cs="Arial"/>
          <w:color w:val="000000"/>
          <w:sz w:val="24"/>
        </w:rPr>
        <w:t xml:space="preserve"> </w:t>
      </w:r>
      <w:r>
        <w:rPr>
          <w:rFonts w:ascii="Arial" w:eastAsia="Arial" w:hAnsi="Arial" w:cs="Arial"/>
          <w:sz w:val="24"/>
          <w:szCs w:val="24"/>
        </w:rPr>
        <w:t>A literatura especializada destaca que os retornos do Bitcoin não se adequam à Hipótese de Mercado Eficiente (HME), indicando que as variações de preços não são eventos independentes, mas sim passíveis de previsão (FAKHFEKH; JERIBI, 2020). Essa ineficiência manifesta-se de forma heterogênea e decorre, em grande parte, da ausência de regulamentações estruturais quando comparada aos ativos financeiros convencionais (PARK; YANG, 2023). Tais falhas geram uma volatilidade turbulenta, evidenciando que o mercado não opera de modo puramente aleatório e que técnicas preditivas isoladas podem ser insuficientes para lidar com essa dinâmica (PARK; YANG, 2023).</w:t>
      </w:r>
    </w:p>
    <w:p w14:paraId="1B0D2033"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 xml:space="preserve">A persistência de ineficiências invalida a premissa de eficiência plena, viabilizando a identificação de padrões para a extração de lucros. Diante dessas oportunidades, observou-se nos últimos anos um aumento expressivo no interesse pelo uso de técnicas de aprendizado de máquina (machine learning) para prever o comportamento das criptomoedas (SEBASTIÃO; GODINHO, 2021). Essa tecnologia consolidou-se como um instrumento eficaz para o desenvolvimento de estratégias de negociação, pois possui a capacidade de </w:t>
      </w:r>
      <w:r>
        <w:rPr>
          <w:rFonts w:ascii="Arial" w:eastAsia="Arial" w:hAnsi="Arial" w:cs="Arial"/>
          <w:sz w:val="24"/>
          <w:szCs w:val="24"/>
        </w:rPr>
        <w:lastRenderedPageBreak/>
        <w:t>inferir relações nos dados que são, frequentemente, imperceptíveis à observação humana direta (FANG et al., 2022).</w:t>
      </w:r>
    </w:p>
    <w:p w14:paraId="1B0D2034"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 xml:space="preserve">O uso de modelos de aprendizado de máquina proporciona níveis elevados de precisão, melhorando a previsibilidade dos retornos e superando o desempenho de abordagens concorrentes tradicionais, como os modelos de médias móveis exponenciais e médias móveis integradas autorregressivas (SEBASTIÃO; GODINHO, 2021). Uma vantagem crucial dessa tecnologia em relação aos modelos econométricos clássicos é que o aprendizado de máquina não exige que os dados sejam estacionários para garantir a obtenção de soluções válidas. Dado que a </w:t>
      </w:r>
      <w:proofErr w:type="spellStart"/>
      <w:r>
        <w:rPr>
          <w:rFonts w:ascii="Arial" w:eastAsia="Arial" w:hAnsi="Arial" w:cs="Arial"/>
          <w:sz w:val="24"/>
          <w:szCs w:val="24"/>
        </w:rPr>
        <w:t>estacionariedade</w:t>
      </w:r>
      <w:proofErr w:type="spellEnd"/>
      <w:r>
        <w:rPr>
          <w:rFonts w:ascii="Arial" w:eastAsia="Arial" w:hAnsi="Arial" w:cs="Arial"/>
          <w:sz w:val="24"/>
          <w:szCs w:val="24"/>
        </w:rPr>
        <w:t xml:space="preserve"> é uma premissa restritiva e essencial da econometria, mas irrelevante para a inteligência artificial, as técnicas de machine learning despontam como uma via metodológica altamente promissora para o setor (CHEVALLIER; GUÉGAN; GOUTTE, 2021).</w:t>
      </w:r>
    </w:p>
    <w:p w14:paraId="1B0D2035"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hAnsi="Arial" w:cs="Arial"/>
          <w:sz w:val="24"/>
          <w:szCs w:val="24"/>
        </w:rPr>
      </w:pPr>
      <w:r>
        <w:rPr>
          <w:rFonts w:ascii="Arial" w:eastAsia="Arial" w:hAnsi="Arial" w:cs="Arial"/>
          <w:sz w:val="24"/>
          <w:szCs w:val="24"/>
        </w:rPr>
        <w:t>Contudo, a aplicação desses algoritmos esbarra em desafios relacionados à sua explicabilidade. Mesmo apresentando alta acurácia na otimização de portfólios, as ferramentas de aprendizado de máquina operam frequentemente como "caixas pretas", fornecendo previsões precisas sem que as razões lógicas subjacentes à decisão sejam claras para o investidor (BABAEI; GIUDICI; RAFFINETTI, 2022). As criptomoedas continuam sendo um ativo complexo para a modelagem matemática, mantendo o debate sobre a precisão e os limites dos métodos de previsão de seus preços ainda em aberto na literatura (CHEVALLIER; GUÉGAN; GOUTTE, 2021).</w:t>
      </w:r>
    </w:p>
    <w:p w14:paraId="1B0D2036" w14:textId="77777777" w:rsidR="00535B14" w:rsidRDefault="00535B14">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hAnsi="Arial" w:cs="Arial"/>
          <w:sz w:val="24"/>
          <w:szCs w:val="24"/>
        </w:rPr>
      </w:pPr>
    </w:p>
    <w:p w14:paraId="1B0D2037" w14:textId="77777777" w:rsidR="00535B14" w:rsidRDefault="00000000">
      <w:pPr>
        <w:pBdr>
          <w:top w:val="none" w:sz="4" w:space="0" w:color="000000"/>
          <w:left w:val="none" w:sz="4" w:space="0" w:color="000000"/>
          <w:bottom w:val="none" w:sz="4" w:space="0" w:color="000000"/>
          <w:right w:val="none" w:sz="4" w:space="0" w:color="000000"/>
        </w:pBdr>
        <w:rPr>
          <w:rFonts w:ascii="Arial" w:hAnsi="Arial" w:cs="Arial"/>
          <w:b/>
          <w:bCs/>
          <w:color w:val="000000"/>
          <w:sz w:val="24"/>
          <w:szCs w:val="24"/>
        </w:rPr>
      </w:pPr>
      <w:r>
        <w:rPr>
          <w:rFonts w:ascii="Arial" w:eastAsia="Arial" w:hAnsi="Arial" w:cs="Arial"/>
          <w:b/>
          <w:color w:val="000000"/>
          <w:sz w:val="24"/>
        </w:rPr>
        <w:t>2.2.6 Limitações e desafios do investimento em criptoativos</w:t>
      </w:r>
    </w:p>
    <w:p w14:paraId="1B0D2038"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r>
        <w:rPr>
          <w:rFonts w:ascii="Arial" w:eastAsia="Arial" w:hAnsi="Arial" w:cs="Arial"/>
          <w:color w:val="000000"/>
          <w:sz w:val="24"/>
        </w:rPr>
        <w:t xml:space="preserve"> </w:t>
      </w:r>
      <w:r>
        <w:rPr>
          <w:rFonts w:ascii="Arial" w:eastAsia="Arial" w:hAnsi="Arial" w:cs="Arial"/>
          <w:sz w:val="24"/>
          <w:szCs w:val="24"/>
        </w:rPr>
        <w:t xml:space="preserve">A alta volatilidade intrínseca às criptomoedas impõe dificuldades substanciais para a obtenção de retornos estáveis e a preservação de valor no mercado (WANG; MA; WU, 2020). Em decorrência dessas oscilações extremas e da falta de regulamentações, os investidores enfrentam obstáculos diretos para estabelecer estratégias preditivas eficazes, visto que ineficiências heterogêneas causam turbulências que técnicas de previsão isoladas não conseguem superar (PARK; YANG, 2023). As decisões financeiras nesse ambiente são frequentemente embasadas em informações limitadas, motivadas por perspectivas de lucros de curto prazo e sujeitas a resultados altamente incertos (FANG et al., 2022). Adicionalmente, </w:t>
      </w:r>
      <w:proofErr w:type="spellStart"/>
      <w:r>
        <w:rPr>
          <w:rFonts w:ascii="Arial" w:eastAsia="Arial" w:hAnsi="Arial" w:cs="Arial"/>
          <w:sz w:val="24"/>
          <w:szCs w:val="24"/>
        </w:rPr>
        <w:t>Corbet</w:t>
      </w:r>
      <w:proofErr w:type="spellEnd"/>
      <w:r>
        <w:rPr>
          <w:rFonts w:ascii="Arial" w:eastAsia="Arial" w:hAnsi="Arial" w:cs="Arial"/>
          <w:sz w:val="24"/>
          <w:szCs w:val="24"/>
        </w:rPr>
        <w:t xml:space="preserve">, </w:t>
      </w:r>
      <w:proofErr w:type="spellStart"/>
      <w:r>
        <w:rPr>
          <w:rFonts w:ascii="Arial" w:eastAsia="Arial" w:hAnsi="Arial" w:cs="Arial"/>
          <w:sz w:val="24"/>
          <w:szCs w:val="24"/>
        </w:rPr>
        <w:t>Larkin</w:t>
      </w:r>
      <w:proofErr w:type="spellEnd"/>
      <w:r>
        <w:rPr>
          <w:rFonts w:ascii="Arial" w:eastAsia="Arial" w:hAnsi="Arial" w:cs="Arial"/>
          <w:sz w:val="24"/>
          <w:szCs w:val="24"/>
        </w:rPr>
        <w:t xml:space="preserve"> e </w:t>
      </w:r>
      <w:proofErr w:type="spellStart"/>
      <w:r>
        <w:rPr>
          <w:rFonts w:ascii="Arial" w:eastAsia="Arial" w:hAnsi="Arial" w:cs="Arial"/>
          <w:sz w:val="24"/>
          <w:szCs w:val="24"/>
        </w:rPr>
        <w:t>Lucey</w:t>
      </w:r>
      <w:proofErr w:type="spellEnd"/>
      <w:r>
        <w:rPr>
          <w:rFonts w:ascii="Arial" w:eastAsia="Arial" w:hAnsi="Arial" w:cs="Arial"/>
          <w:sz w:val="24"/>
          <w:szCs w:val="24"/>
        </w:rPr>
        <w:t xml:space="preserve"> (2020) indicam que, </w:t>
      </w:r>
      <w:r>
        <w:rPr>
          <w:rFonts w:ascii="Arial" w:eastAsia="Arial" w:hAnsi="Arial" w:cs="Arial"/>
          <w:sz w:val="24"/>
          <w:szCs w:val="24"/>
        </w:rPr>
        <w:lastRenderedPageBreak/>
        <w:t>em períodos de grave ruptura econômica e financeira, esses ativos falham em atuar como instrumentos de proteção (hedge) ou portos seguros, funcionando, na verdade, como amplificadores de contágio sistêmico.</w:t>
      </w:r>
    </w:p>
    <w:p w14:paraId="1B0D2039"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A escassez de regulamentação, quando comparada à de outros ativos financeiros, é um dos fatores centrais para a ocorrência do comportamento de manada e de ineficiências no mercado (PARK; YANG, 2023). Por operarem sem a supervisão de governos ou bancos centrais, esses ativos geram preocupações quanto aos potenciais impactos negativos na estabilidade do sistema monetário e financeiro global (CHARFEDDINE; BENLAGHA; MAOUCHI, 2020). Consequentemente, o mercado apresenta riscos severos, não oferecendo recursos ou garantias legais aos investidores em situações de fraude ou falhas operacionais (CHARFEDDINE; BENLAGHA; MAOUCHI, 2020).</w:t>
      </w:r>
    </w:p>
    <w:p w14:paraId="1B0D203A" w14:textId="77777777" w:rsidR="00535B14" w:rsidRDefault="00000000">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Cs w:val="24"/>
        </w:rPr>
      </w:pPr>
      <w:r>
        <w:rPr>
          <w:rFonts w:ascii="Arial" w:eastAsia="Arial" w:hAnsi="Arial" w:cs="Arial"/>
          <w:sz w:val="24"/>
          <w:szCs w:val="24"/>
        </w:rPr>
        <w:t>Sob a perspectiva tecnológica, a infraestrutura das criptomoedas enfrenta severas limitações de escalabilidade. Fang et al. (2022) destacam que o volume e a velocidade das transações nessas redes ainda não conseguem competir com a negociação de moedas tradicionais, o que já ocasionou acúmulos e atrasos operacionais de múltiplos dias em plataformas de negociação.</w:t>
      </w:r>
    </w:p>
    <w:p w14:paraId="1B0D2042" w14:textId="13853566" w:rsidR="00535B14" w:rsidRDefault="00000000" w:rsidP="00427C1B">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r>
        <w:rPr>
          <w:rFonts w:ascii="Arial" w:eastAsia="Arial" w:hAnsi="Arial" w:cs="Arial"/>
          <w:sz w:val="24"/>
          <w:szCs w:val="24"/>
        </w:rPr>
        <w:t>No âmbito comportamental, a literatura aponta que os investidores do setor principal de criptomoedas frequentemente agem de forma irracional, mimetizando as decisões de terceiros sem qualquer referência às suas próprias convicções (BALLIS; DRAKOS, 2020). Esse comportamento de manada faz com que os ativos se movam em conjunto, gerando dinâmicas e tendências que não refletem, necessariamente, os seus verdadeiros fundamentos econômicos subjacentes (BALLIS; DRAKOS, 2020).</w:t>
      </w:r>
    </w:p>
    <w:p w14:paraId="56568EF1" w14:textId="77777777" w:rsidR="00427C1B" w:rsidRPr="00427C1B" w:rsidRDefault="00427C1B" w:rsidP="00427C1B">
      <w:pPr>
        <w:pBdr>
          <w:top w:val="none" w:sz="4" w:space="0" w:color="000000"/>
          <w:left w:val="none" w:sz="4" w:space="0" w:color="000000"/>
          <w:bottom w:val="none" w:sz="4" w:space="0" w:color="000000"/>
          <w:right w:val="none" w:sz="4" w:space="0" w:color="000000"/>
        </w:pBdr>
        <w:shd w:val="clear" w:color="auto" w:fill="FFFFFF"/>
        <w:spacing w:after="0" w:line="360" w:lineRule="auto"/>
        <w:ind w:firstLine="709"/>
        <w:jc w:val="both"/>
        <w:rPr>
          <w:rFonts w:ascii="Arial" w:eastAsia="Arial" w:hAnsi="Arial" w:cs="Arial"/>
          <w:sz w:val="24"/>
          <w:szCs w:val="24"/>
        </w:rPr>
      </w:pPr>
    </w:p>
    <w:p w14:paraId="1B0D2043" w14:textId="77777777" w:rsidR="00535B14" w:rsidRPr="00771C71" w:rsidRDefault="00000000" w:rsidP="00771C71">
      <w:pPr>
        <w:pStyle w:val="Ttulo2"/>
        <w:numPr>
          <w:ilvl w:val="1"/>
          <w:numId w:val="1"/>
        </w:numPr>
        <w:rPr>
          <w:i/>
          <w:iCs/>
        </w:rPr>
      </w:pPr>
      <w:bookmarkStart w:id="16" w:name="_heading=h.1adxa5lzl99"/>
      <w:bookmarkStart w:id="17" w:name="_Toc5"/>
      <w:bookmarkEnd w:id="16"/>
      <w:r w:rsidRPr="00771C71">
        <w:rPr>
          <w:i/>
          <w:iCs/>
        </w:rPr>
        <w:t>Machine Learning</w:t>
      </w:r>
      <w:bookmarkEnd w:id="17"/>
    </w:p>
    <w:p w14:paraId="1B0D2044" w14:textId="77777777" w:rsidR="00535B14" w:rsidRPr="00771C71" w:rsidRDefault="00000000" w:rsidP="00771C71">
      <w:pPr>
        <w:pStyle w:val="Ttulo3"/>
        <w:pBdr>
          <w:top w:val="none" w:sz="4" w:space="0" w:color="000000"/>
          <w:left w:val="none" w:sz="4" w:space="0" w:color="000000"/>
          <w:bottom w:val="none" w:sz="4" w:space="0" w:color="000000"/>
          <w:right w:val="none" w:sz="4" w:space="0" w:color="000000"/>
        </w:pBdr>
        <w:spacing w:before="0" w:line="360" w:lineRule="auto"/>
        <w:rPr>
          <w:rFonts w:ascii="Arial" w:hAnsi="Arial" w:cs="Arial"/>
          <w:sz w:val="24"/>
          <w:szCs w:val="24"/>
        </w:rPr>
      </w:pPr>
      <w:r w:rsidRPr="00771C71">
        <w:rPr>
          <w:rFonts w:ascii="Arial" w:eastAsia="Arial" w:hAnsi="Arial" w:cs="Arial"/>
          <w:color w:val="000000"/>
          <w:sz w:val="24"/>
          <w:szCs w:val="24"/>
        </w:rPr>
        <w:t xml:space="preserve">2.3.1 Fundamentos do </w:t>
      </w:r>
      <w:r w:rsidRPr="00771C71">
        <w:rPr>
          <w:rFonts w:ascii="Arial" w:eastAsia="Arial" w:hAnsi="Arial" w:cs="Arial"/>
          <w:i/>
          <w:iCs/>
          <w:color w:val="000000"/>
          <w:sz w:val="24"/>
          <w:szCs w:val="24"/>
        </w:rPr>
        <w:t>Machine Learning</w:t>
      </w:r>
    </w:p>
    <w:p w14:paraId="1B0D2045" w14:textId="77777777" w:rsidR="00535B14" w:rsidRPr="00771C71" w:rsidRDefault="00000000" w:rsidP="00F42D8D">
      <w:pPr>
        <w:pStyle w:val="CORPO-CEFETABNT"/>
      </w:pPr>
      <w:r w:rsidRPr="00771C71">
        <w:t>O Aprendizado de Máquina (</w:t>
      </w:r>
      <w:r w:rsidRPr="00771C71">
        <w:rPr>
          <w:i/>
        </w:rPr>
        <w:t>Machine Learning</w:t>
      </w:r>
      <w:r w:rsidRPr="00771C71">
        <w:t xml:space="preserve"> - ML) compreende uma subárea da inteligência artificial que se destaca por sua capacidade de prever eventos futuros com base na análise de dados históricos (HAMAYEL; OWDA, 2021). O princípio fundamental dessa tecnologia reside na aptidão dos algoritmos para extrair conhecimento e aprender representações internas diretamente a partir de dados brutos (séries temporais, por exemplo), eliminando </w:t>
      </w:r>
      <w:r w:rsidRPr="00771C71">
        <w:lastRenderedPageBreak/>
        <w:t xml:space="preserve">a necessidade de conhecimento especializado do domínio para a filtragem manual de características de entrada (LIVIERIS et al., 2020). </w:t>
      </w:r>
    </w:p>
    <w:p w14:paraId="1B0D2046" w14:textId="77777777" w:rsidR="00535B14" w:rsidRPr="00771C71" w:rsidRDefault="00000000" w:rsidP="00F42D8D">
      <w:pPr>
        <w:pStyle w:val="CORPO-CEFETABNT"/>
      </w:pPr>
      <w:r w:rsidRPr="00771C71">
        <w:t xml:space="preserve">A evolução dessas técnicas ocorreu em grande parte como resposta às limitações dos métodos estatísticos e econométricos tradicionais, que conseguiam lidar apenas com problemas lineares e frequentemente enfrentavam dificuldades com a </w:t>
      </w:r>
      <w:proofErr w:type="spellStart"/>
      <w:r w:rsidRPr="00771C71">
        <w:t>multicolinearidade</w:t>
      </w:r>
      <w:proofErr w:type="spellEnd"/>
      <w:r w:rsidRPr="00771C71">
        <w:t xml:space="preserve"> de múltiplas variáveis. Com o avanço tecnológico, modelos de ML como Redes Neurais Artificiais (</w:t>
      </w:r>
      <w:proofErr w:type="spellStart"/>
      <w:r w:rsidRPr="00771C71">
        <w:t>ANNs</w:t>
      </w:r>
      <w:proofErr w:type="spellEnd"/>
      <w:r w:rsidRPr="00771C71">
        <w:t>), Máquinas de Vetores de Suporte (SVM) e Florestas Aleatórias (</w:t>
      </w:r>
      <w:r w:rsidRPr="00771C71">
        <w:rPr>
          <w:i/>
          <w:iCs/>
        </w:rPr>
        <w:t>Random Forest</w:t>
      </w:r>
      <w:r w:rsidRPr="00771C71">
        <w:t xml:space="preserve">) passaram a ser adotados justamente por conseguirem analisar e processar relações não lineares altamente complexas entre diversos fatores (PARK; YANG, 2023). Esse amadurecimento permitiu que os algoritmos entregassem previsões que não apenas se igualam à realidade, mas que aumentam substancialmente a precisão dos resultados em comparação com modelos anteriores (HAMAYEL; OWDA, 2021). </w:t>
      </w:r>
    </w:p>
    <w:p w14:paraId="1B0D2047" w14:textId="29388F00" w:rsidR="00535B14" w:rsidRPr="00771C71" w:rsidRDefault="00000000" w:rsidP="00F42D8D">
      <w:pPr>
        <w:pStyle w:val="CORPO-CEFETABNT"/>
      </w:pPr>
      <w:r w:rsidRPr="00771C71">
        <w:t xml:space="preserve">Atualmente, a relevância do </w:t>
      </w:r>
      <w:r w:rsidRPr="00771C71">
        <w:rPr>
          <w:i/>
        </w:rPr>
        <w:t>Machine Learning</w:t>
      </w:r>
      <w:r w:rsidRPr="00771C71">
        <w:t xml:space="preserve"> é evidenciada pela sua aplicação bem-sucedida em inúmeras áreas de pesquisa de sistemas complexos. Conforme destacam </w:t>
      </w:r>
      <w:proofErr w:type="spellStart"/>
      <w:r w:rsidRPr="00771C71">
        <w:t>Derbentsev</w:t>
      </w:r>
      <w:proofErr w:type="spellEnd"/>
      <w:r w:rsidRPr="00771C71">
        <w:t xml:space="preserve"> et al. (2021), algoritmos de ML têm demonstrado eficácia significativa em campos variados, como biomedicina, </w:t>
      </w:r>
      <w:proofErr w:type="spellStart"/>
      <w:r w:rsidRPr="00771C71">
        <w:t>neurorobótica</w:t>
      </w:r>
      <w:proofErr w:type="spellEnd"/>
      <w:r w:rsidRPr="00771C71">
        <w:t>, análise de imagem e voz, e reconhecimento de padrões, o que motivou sua recente e forte aplicação na análise de séries temporais financeiras. Nesse contexto contemporâneo, estratégias modernas como o aprendizado profundo (</w:t>
      </w:r>
      <w:proofErr w:type="spellStart"/>
      <w:r w:rsidRPr="00771C71">
        <w:rPr>
          <w:i/>
        </w:rPr>
        <w:t>deep</w:t>
      </w:r>
      <w:proofErr w:type="spellEnd"/>
      <w:r w:rsidRPr="00771C71">
        <w:rPr>
          <w:i/>
        </w:rPr>
        <w:t xml:space="preserve"> learning</w:t>
      </w:r>
      <w:r w:rsidRPr="00771C71">
        <w:t>) e o aprendizado combinado (</w:t>
      </w:r>
      <w:r w:rsidRPr="00771C71">
        <w:rPr>
          <w:i/>
        </w:rPr>
        <w:t>ensemble learning</w:t>
      </w:r>
      <w:r w:rsidRPr="00771C71">
        <w:t xml:space="preserve">) alcançam níveis de precisão de ponta, pois são capazes de </w:t>
      </w:r>
      <w:r w:rsidR="00427C1B" w:rsidRPr="00771C71">
        <w:t>criar</w:t>
      </w:r>
      <w:r w:rsidRPr="00771C71">
        <w:t xml:space="preserve"> características valiosas enquanto filtram eficientemente o ruído dos dados de entrada (LIVIERIS et al., 2020). </w:t>
      </w:r>
    </w:p>
    <w:p w14:paraId="1B0D2048" w14:textId="77777777" w:rsidR="00535B14" w:rsidRPr="00771C71" w:rsidRDefault="00000000" w:rsidP="00771C71">
      <w:pPr>
        <w:pStyle w:val="Ttulo3"/>
        <w:pBdr>
          <w:top w:val="none" w:sz="4" w:space="0" w:color="000000"/>
          <w:left w:val="none" w:sz="4" w:space="0" w:color="000000"/>
          <w:bottom w:val="none" w:sz="4" w:space="0" w:color="000000"/>
          <w:right w:val="none" w:sz="4" w:space="0" w:color="000000"/>
        </w:pBdr>
        <w:spacing w:before="0" w:line="360" w:lineRule="auto"/>
        <w:rPr>
          <w:rFonts w:ascii="Arial" w:hAnsi="Arial" w:cs="Arial"/>
          <w:sz w:val="24"/>
          <w:szCs w:val="24"/>
        </w:rPr>
      </w:pPr>
      <w:r w:rsidRPr="00771C71">
        <w:rPr>
          <w:rFonts w:ascii="Arial" w:eastAsia="Arial" w:hAnsi="Arial" w:cs="Arial"/>
          <w:color w:val="000000"/>
          <w:sz w:val="24"/>
          <w:szCs w:val="24"/>
        </w:rPr>
        <w:t>2.3.2 Aprendizado supervisionado e modelos ensemble</w:t>
      </w:r>
    </w:p>
    <w:p w14:paraId="1B0D2049" w14:textId="77777777" w:rsidR="00535B14" w:rsidRPr="00771C71" w:rsidRDefault="00000000" w:rsidP="00F42D8D">
      <w:pPr>
        <w:pStyle w:val="CORPO-CEFETABNT"/>
      </w:pPr>
      <w:r w:rsidRPr="00771C71">
        <w:t xml:space="preserve">No aprendizado de máquina supervisionado, os problemas são frequentemente categorizados em tarefas de regressão e classificação, dependendo do objetivo específico da previsão a ser realizada (PARK; YANG, 2023). Em aplicações financeiras, a regressão é comumente utilizada para estimar o valor exato de um ativo no futuro, enquanto a classificação é aplicada para prever a direção do movimento dos preços, como identificar se a cotação vai subir ou descer no período seguinte (LIVIERIS et al., 2020; DERBENTSEV </w:t>
      </w:r>
      <w:r w:rsidRPr="00771C71">
        <w:lastRenderedPageBreak/>
        <w:t xml:space="preserve">et al., 2021). Para garantir a robustez na construção e validação dessas ferramentas em séries temporais, os dados costumam ser divididos em subconjuntos distintos: um conjunto de treinamento, utilizado para ajustar e estimar os parâmetros; um conjunto de validação, para selecionar o modelo mais adequado; e um conjunto de teste, que avalia o desempenho final e a capacidade do modelo de generalizar informações em dados não vistos anteriormente (SEBASTIÃO; GODINHO, 2021; DERBENTSEV et al., 2021). </w:t>
      </w:r>
    </w:p>
    <w:p w14:paraId="1B0D204A" w14:textId="79D64890" w:rsidR="00535B14" w:rsidRPr="00771C71" w:rsidRDefault="00000000" w:rsidP="00F42D8D">
      <w:pPr>
        <w:pStyle w:val="CORPO-CEFETABNT"/>
      </w:pPr>
      <w:r w:rsidRPr="00771C71">
        <w:t>Diante da complexidade natural das tarefas de regressão e classificação, ocorre com frequência que modelos individuais de aprendizado de máquina não consigam fornecer, de maneira isolada, a precisão e a qualidade preditiva desejadas (DERBENTSEV et al., 2021). Como uma solução sofisticada para esse desafio, o aprendizado combinado (</w:t>
      </w:r>
      <w:r w:rsidRPr="00771C71">
        <w:rPr>
          <w:i/>
        </w:rPr>
        <w:t>ensemble learning</w:t>
      </w:r>
      <w:r w:rsidRPr="00771C71">
        <w:t>) propõe a integração de múltiplos modelos para reduzir a alta variância dos preditores individuais e minimizar o erro de generalização (LIVIERIS et al., 2020). O princípio fundamental dessa estratégia consiste em agregar as previsões de diversos algoritmos considerados "fracos" ou de baixo viés, fazendo com que os erros específicos de cada modelo sejam compensados mutuamente durante o processo de previsão, o que invariavelmente resulta em uma performance global superior (DERBENTSEV et al., 2021; PARK; YANG, 2023).</w:t>
      </w:r>
    </w:p>
    <w:p w14:paraId="1B0D204B" w14:textId="77777777" w:rsidR="00535B14" w:rsidRPr="00771C71" w:rsidRDefault="00000000" w:rsidP="00F42D8D">
      <w:pPr>
        <w:pStyle w:val="CORPO-CEFETABNT"/>
      </w:pPr>
      <w:r w:rsidRPr="00771C71">
        <w:t xml:space="preserve">Dentro dessa arquitetura de múltiplos modelos, destacam-se duas abordagens principais: o </w:t>
      </w:r>
      <w:proofErr w:type="spellStart"/>
      <w:r w:rsidRPr="00771C71">
        <w:rPr>
          <w:i/>
        </w:rPr>
        <w:t>bagging</w:t>
      </w:r>
      <w:proofErr w:type="spellEnd"/>
      <w:r w:rsidRPr="00771C71">
        <w:t xml:space="preserve"> e o </w:t>
      </w:r>
      <w:proofErr w:type="spellStart"/>
      <w:r w:rsidRPr="00771C71">
        <w:rPr>
          <w:i/>
        </w:rPr>
        <w:t>boosting</w:t>
      </w:r>
      <w:proofErr w:type="spellEnd"/>
      <w:r w:rsidRPr="00771C71">
        <w:t xml:space="preserve"> (PARK; YANG, 2023). Enquanto no </w:t>
      </w:r>
      <w:proofErr w:type="spellStart"/>
      <w:r w:rsidRPr="00771C71">
        <w:rPr>
          <w:i/>
        </w:rPr>
        <w:t>bagging</w:t>
      </w:r>
      <w:proofErr w:type="spellEnd"/>
      <w:r w:rsidRPr="00771C71">
        <w:t xml:space="preserve"> os modelos básicos aprendem de forma </w:t>
      </w:r>
      <w:r w:rsidRPr="00427C1B">
        <w:rPr>
          <w:b/>
          <w:bCs/>
        </w:rPr>
        <w:t>independente</w:t>
      </w:r>
      <w:r w:rsidRPr="00771C71">
        <w:t xml:space="preserve"> e paralela, compensando os resultados por meio de uma média ou votação simples, o </w:t>
      </w:r>
      <w:proofErr w:type="spellStart"/>
      <w:r w:rsidRPr="00771C71">
        <w:rPr>
          <w:i/>
        </w:rPr>
        <w:t>boosting</w:t>
      </w:r>
      <w:proofErr w:type="spellEnd"/>
      <w:r w:rsidRPr="00771C71">
        <w:t xml:space="preserve"> opera por meio de uma construção sequencial e adaptativa, onde cada modelo atual é desenvolvido com base nos resultados do modelo anterior (DERBENTSEV et al., 2021; PARK; YANG, 2023). Consequentemente, o método de </w:t>
      </w:r>
      <w:proofErr w:type="spellStart"/>
      <w:r w:rsidRPr="00771C71">
        <w:rPr>
          <w:i/>
        </w:rPr>
        <w:t>boosting</w:t>
      </w:r>
      <w:proofErr w:type="spellEnd"/>
      <w:r w:rsidRPr="00771C71">
        <w:t xml:space="preserve"> se utiliza de uma votação ponderada em vez de simples, focando seu esforço computacional em corrigir as falhas sucessivas dos classificadores prévios, o que lhe confere um grande potencial para extrair padrões não lineares complexos dos dados (DERBENTSEV et al., 2021). </w:t>
      </w:r>
    </w:p>
    <w:p w14:paraId="1B0D204C" w14:textId="77777777" w:rsidR="00535B14" w:rsidRPr="00771C71" w:rsidRDefault="00000000" w:rsidP="00771C71">
      <w:pPr>
        <w:pStyle w:val="Ttulo3"/>
        <w:pBdr>
          <w:top w:val="none" w:sz="4" w:space="0" w:color="000000"/>
          <w:left w:val="none" w:sz="4" w:space="0" w:color="000000"/>
          <w:bottom w:val="none" w:sz="4" w:space="0" w:color="000000"/>
          <w:right w:val="none" w:sz="4" w:space="0" w:color="000000"/>
        </w:pBdr>
        <w:spacing w:before="0" w:line="360" w:lineRule="auto"/>
        <w:rPr>
          <w:rFonts w:ascii="Arial" w:hAnsi="Arial" w:cs="Arial"/>
          <w:sz w:val="24"/>
          <w:szCs w:val="24"/>
        </w:rPr>
      </w:pPr>
      <w:r w:rsidRPr="00771C71">
        <w:rPr>
          <w:rFonts w:ascii="Arial" w:eastAsia="Arial" w:hAnsi="Arial" w:cs="Arial"/>
          <w:color w:val="000000"/>
          <w:sz w:val="24"/>
          <w:szCs w:val="24"/>
        </w:rPr>
        <w:t xml:space="preserve">2.3.3 </w:t>
      </w:r>
      <w:proofErr w:type="spellStart"/>
      <w:r w:rsidRPr="00771C71">
        <w:rPr>
          <w:rFonts w:ascii="Arial" w:eastAsia="Arial" w:hAnsi="Arial" w:cs="Arial"/>
          <w:color w:val="000000"/>
          <w:sz w:val="24"/>
          <w:szCs w:val="24"/>
        </w:rPr>
        <w:t>AdaBoost</w:t>
      </w:r>
      <w:proofErr w:type="spellEnd"/>
      <w:r w:rsidRPr="00771C71">
        <w:rPr>
          <w:rFonts w:ascii="Arial" w:eastAsia="Arial" w:hAnsi="Arial" w:cs="Arial"/>
          <w:color w:val="000000"/>
          <w:sz w:val="24"/>
          <w:szCs w:val="24"/>
        </w:rPr>
        <w:t>: funcionamento e características</w:t>
      </w:r>
    </w:p>
    <w:p w14:paraId="1B0D204D" w14:textId="77777777" w:rsidR="00535B14" w:rsidRPr="00771C71" w:rsidRDefault="00000000" w:rsidP="00F42D8D">
      <w:pPr>
        <w:pStyle w:val="CORPO-CEFETABNT"/>
      </w:pPr>
      <w:r w:rsidRPr="00771C71">
        <w:t xml:space="preserve">O algoritmo </w:t>
      </w:r>
      <w:proofErr w:type="spellStart"/>
      <w:r w:rsidRPr="008C1EE9">
        <w:rPr>
          <w:i/>
          <w:iCs/>
        </w:rPr>
        <w:t>AdaBoost</w:t>
      </w:r>
      <w:proofErr w:type="spellEnd"/>
      <w:r w:rsidRPr="00771C71">
        <w:t xml:space="preserve">, cujo nome deriva de </w:t>
      </w:r>
      <w:proofErr w:type="spellStart"/>
      <w:r w:rsidRPr="00771C71">
        <w:rPr>
          <w:i/>
        </w:rPr>
        <w:t>Adaptive</w:t>
      </w:r>
      <w:proofErr w:type="spellEnd"/>
      <w:r w:rsidRPr="00771C71">
        <w:rPr>
          <w:i/>
        </w:rPr>
        <w:t xml:space="preserve"> </w:t>
      </w:r>
      <w:proofErr w:type="spellStart"/>
      <w:r w:rsidRPr="00771C71">
        <w:rPr>
          <w:i/>
        </w:rPr>
        <w:t>Boosting</w:t>
      </w:r>
      <w:proofErr w:type="spellEnd"/>
      <w:r w:rsidRPr="00771C71">
        <w:t xml:space="preserve">, fundamenta-se na premissa de reduzir o viés do modelo ao combinar diferentes </w:t>
      </w:r>
      <w:r w:rsidRPr="00771C71">
        <w:lastRenderedPageBreak/>
        <w:t xml:space="preserve">técnicas de aprendizado de máquina em um único sistema de previsão robusto (BUSARI; LIM, 2021). O conceito central dessa abordagem reside na utilização de modelos considerados "fracos", que realizam o aprendizado de maneira sequencial e adaptativa (PARK; YANG, 2023). Na prática, esses classificadores fracos costumam ser árvores de decisão rasas, as quais, apesar de possuírem baixa precisão individualmente, são computacionalmente eficientes e fáceis de projetar (DERBENTSEV et al., 2021). </w:t>
      </w:r>
    </w:p>
    <w:p w14:paraId="1B0D204E" w14:textId="77777777" w:rsidR="00535B14" w:rsidRPr="00771C71" w:rsidRDefault="00000000" w:rsidP="00F42D8D">
      <w:pPr>
        <w:pStyle w:val="CORPO-CEFETABNT"/>
      </w:pPr>
      <w:r w:rsidRPr="00771C71">
        <w:t xml:space="preserve">No funcionamento interno do algoritmo, as observações do conjunto de treinamento são ponderadas de forma que cada novo classificador seja treinado levando em conta o sucesso ou fracasso dos modelos anteriores (BUSARI; LIM, 2021). Após cada etapa de treinamento, os pesos dos dados são redistribuídos: as amostras que foram classificadas incorretamente recebem um peso maior, garantindo que os próximos aprendizes concentrem seus esforços nos casos mais difíceis (BUSARI; LIM, 2021). Intuitivamente, quanto maior o erro cometido por um modelo prévio em um dado específico, maior será a importância atribuída a esse dado na rodada seguinte para tentar corrigir a falha de previsão (PARK; YANG, 2023). </w:t>
      </w:r>
    </w:p>
    <w:p w14:paraId="1B0D204F" w14:textId="5F22B0FF" w:rsidR="00535B14" w:rsidRPr="00771C71" w:rsidRDefault="00000000" w:rsidP="00F42D8D">
      <w:pPr>
        <w:pStyle w:val="CORPO-CEFETABNT"/>
      </w:pPr>
      <w:r w:rsidRPr="00771C71">
        <w:t xml:space="preserve">A decisão final do </w:t>
      </w:r>
      <w:proofErr w:type="spellStart"/>
      <w:r w:rsidRPr="00771C71">
        <w:rPr>
          <w:i/>
          <w:iCs/>
        </w:rPr>
        <w:t>AdaBoost</w:t>
      </w:r>
      <w:proofErr w:type="spellEnd"/>
      <w:r w:rsidRPr="00771C71">
        <w:t xml:space="preserve"> é construída por meio da soma ponderada das saídas de todos os submodelos criados durante as iterações (PARK; YANG, 2023). Esse processo de integração leva em conta a confiança ou credibilidade de cada modelo: quanto maior for a acurácia de um submodelo específico, maior será o peso da sua resposta no </w:t>
      </w:r>
      <w:r w:rsidR="002D7035" w:rsidRPr="00771C71">
        <w:t>resultado</w:t>
      </w:r>
      <w:r w:rsidRPr="00771C71">
        <w:t xml:space="preserve"> (PARK; YANG, 2023). Essa arquitetura de soma de classificadores gera um modelo global fortalecido, que aumenta consideravelmente a força preditiva do sistema e entrega resultados com precisão superior (BUSARI; LIM, 2021). </w:t>
      </w:r>
    </w:p>
    <w:p w14:paraId="1B0D2050" w14:textId="701622A1" w:rsidR="00535B14" w:rsidRPr="00771C71" w:rsidRDefault="00000000" w:rsidP="00F42D8D">
      <w:pPr>
        <w:pStyle w:val="CORPO-CEFETABNT"/>
      </w:pPr>
      <w:r w:rsidRPr="00771C71">
        <w:t xml:space="preserve">Dentre as principais vantagens do </w:t>
      </w:r>
      <w:proofErr w:type="spellStart"/>
      <w:r w:rsidRPr="00771C71">
        <w:rPr>
          <w:i/>
          <w:iCs/>
        </w:rPr>
        <w:t>AdaBoost</w:t>
      </w:r>
      <w:proofErr w:type="spellEnd"/>
      <w:r w:rsidRPr="00771C71">
        <w:t xml:space="preserve">, destacam-se a sua alta escalabilidade devido à mecânica simples, a exigência de poucos parâmetros de ajuste e a sua eficácia comprovada na minimização do </w:t>
      </w:r>
      <w:r w:rsidR="002D7035" w:rsidRPr="00771C71">
        <w:t>sobre ajuste</w:t>
      </w:r>
      <w:r w:rsidRPr="00771C71">
        <w:t xml:space="preserve"> (</w:t>
      </w:r>
      <w:proofErr w:type="spellStart"/>
      <w:r w:rsidRPr="00771C71">
        <w:rPr>
          <w:i/>
        </w:rPr>
        <w:t>overfitting</w:t>
      </w:r>
      <w:proofErr w:type="spellEnd"/>
      <w:r w:rsidRPr="00771C71">
        <w:t>) (PARK; YANG, 2023). Embora o algoritmo consiga reduzir tanto a variância quanto o viés das previsões, ele possui limitações importantes (DERBENTSEV et al., 2021). Conforme apontam Park e Yang (2023), o uso de uma função de perda exponencial pode induzir a erros quando a base de dados possui muito ruído, pois o algoritmo tende a superestimar a importância de valores atípicos (</w:t>
      </w:r>
      <w:r w:rsidRPr="00771C71">
        <w:rPr>
          <w:i/>
        </w:rPr>
        <w:t>outliers</w:t>
      </w:r>
      <w:r w:rsidRPr="00771C71">
        <w:t xml:space="preserve">), prejudicando a performance final. </w:t>
      </w:r>
    </w:p>
    <w:p w14:paraId="1B0D2051" w14:textId="77777777" w:rsidR="00535B14" w:rsidRPr="00771C71" w:rsidRDefault="00000000" w:rsidP="00771C71">
      <w:pPr>
        <w:pStyle w:val="Ttulo3"/>
        <w:pBdr>
          <w:top w:val="none" w:sz="4" w:space="0" w:color="000000"/>
          <w:left w:val="none" w:sz="4" w:space="0" w:color="000000"/>
          <w:bottom w:val="none" w:sz="4" w:space="0" w:color="000000"/>
          <w:right w:val="none" w:sz="4" w:space="0" w:color="000000"/>
        </w:pBdr>
        <w:spacing w:before="0" w:line="360" w:lineRule="auto"/>
        <w:rPr>
          <w:rFonts w:ascii="Arial" w:hAnsi="Arial" w:cs="Arial"/>
          <w:sz w:val="24"/>
          <w:szCs w:val="24"/>
        </w:rPr>
      </w:pPr>
      <w:r w:rsidRPr="00771C71">
        <w:rPr>
          <w:rFonts w:ascii="Arial" w:eastAsia="Arial" w:hAnsi="Arial" w:cs="Arial"/>
          <w:color w:val="000000"/>
          <w:sz w:val="24"/>
          <w:szCs w:val="24"/>
        </w:rPr>
        <w:lastRenderedPageBreak/>
        <w:t>2.3.4 Aplicações de Machine Learning em finanças e criptoativos</w:t>
      </w:r>
    </w:p>
    <w:p w14:paraId="1B0D2052" w14:textId="77777777" w:rsidR="00535B14" w:rsidRPr="00771C71" w:rsidRDefault="00000000" w:rsidP="00F42D8D">
      <w:pPr>
        <w:pStyle w:val="CORPO-CEFETABNT"/>
      </w:pPr>
      <w:r w:rsidRPr="00771C71">
        <w:t xml:space="preserve">O mercado de criptoativos, caracterizado por sua natureza dinâmica e alta complexidade, tornou-se um campo de interesse para a aplicação de algoritmos de aprendizado de máquina (HAMAYEL; OWDA, 2021). De acordo com </w:t>
      </w:r>
      <w:proofErr w:type="spellStart"/>
      <w:r w:rsidRPr="00771C71">
        <w:t>Derbentsev</w:t>
      </w:r>
      <w:proofErr w:type="spellEnd"/>
      <w:r w:rsidRPr="00771C71">
        <w:t xml:space="preserve"> et al. (2021), esses algoritmos apresentam um desempenho superior aos modelos tradicionais de séries temporais na previsão de taxas de câmbio e preços de fechamento diários das moedas digitais mais capitalizadas. Nesse contexto, </w:t>
      </w:r>
      <w:proofErr w:type="spellStart"/>
      <w:r w:rsidRPr="00771C71">
        <w:t>Livieris</w:t>
      </w:r>
      <w:proofErr w:type="spellEnd"/>
      <w:r w:rsidRPr="00771C71">
        <w:t xml:space="preserve"> et al. (2020) ressaltam que o desenvolvimento de modelos preditivos inteligentes é considerado uma necessidade fundamental para a tomada de decisão estratégica e para a otimização de portfólios em um ambiente financeiro globalizado. </w:t>
      </w:r>
    </w:p>
    <w:p w14:paraId="1B0D2053" w14:textId="77777777" w:rsidR="00535B14" w:rsidRPr="00771C71" w:rsidRDefault="00000000" w:rsidP="00F42D8D">
      <w:pPr>
        <w:pStyle w:val="CORPO-CEFETABNT"/>
      </w:pPr>
      <w:r w:rsidRPr="00771C71">
        <w:t xml:space="preserve">Um dos maiores desafios enfrentados pelos investidores nesse setor é a volatilidade extrema, que chega a ser significativamente superior à observada em mercados convencionais de ações ou ouro (PARK; YANG, 2023). </w:t>
      </w:r>
      <w:proofErr w:type="spellStart"/>
      <w:r w:rsidRPr="00771C71">
        <w:t>Livieris</w:t>
      </w:r>
      <w:proofErr w:type="spellEnd"/>
      <w:r w:rsidRPr="00771C71">
        <w:t xml:space="preserve"> et al. (2020) explicam que o mercado de criptomoedas é marcado por fortes flutuações de preços ao longo do tempo, o que exige ferramentas capazes de lidar com dados não estacionários para garantir soluções válidas. Além disso, a presença de eventos anômalos e extremos reforça a importância de técnicas robustas de aprendizado profundo para identificar padrões ocultos e mitigar riscos em períodos de incerteza (SEBASTIÃO; GODINHO, 2021; DERBENTSEV et al., 2021). </w:t>
      </w:r>
    </w:p>
    <w:p w14:paraId="65172405" w14:textId="77777777" w:rsidR="00485120" w:rsidRPr="00771C71" w:rsidRDefault="00000000" w:rsidP="00F42D8D">
      <w:pPr>
        <w:pStyle w:val="CORPO-CEFETABNT"/>
        <w:rPr>
          <w:color w:val="EE0000"/>
        </w:rPr>
      </w:pPr>
      <w:r w:rsidRPr="00771C71">
        <w:t xml:space="preserve">No âmbito das operações de </w:t>
      </w:r>
      <w:r w:rsidRPr="00771C71">
        <w:rPr>
          <w:i/>
        </w:rPr>
        <w:t>trading</w:t>
      </w:r>
      <w:r w:rsidRPr="00771C71">
        <w:t>, a previsão precisa dos movimentos de preços permite que investidores financeiros reduzam seus riscos ao estabelecer políticas de investimento mais adequadas (LIVIERIS et al., 2020). Modelos baseados em aprendizado de máquina auxiliam na identificação de momentos ideais para a compra e venda de ativos, integrando informações históricas de preços com indicadores técnicos, como médias móveis (HAMAYEL; OWDA, 2021; DERBENTSEV et al., 2021). Conforme demonstram Sebastião e Godinho (2021), a utilização de conjuntos de modelos (</w:t>
      </w:r>
      <w:r w:rsidRPr="00771C71">
        <w:rPr>
          <w:i/>
        </w:rPr>
        <w:t>ensembles</w:t>
      </w:r>
      <w:r w:rsidRPr="00771C71">
        <w:t xml:space="preserve">) pode gerar estratégias de negociação lucrativas mesmo sob condições adversas de mercado, superando estratégias passivas tradicionais. </w:t>
      </w:r>
    </w:p>
    <w:p w14:paraId="1B0D2055" w14:textId="25E1DE3A" w:rsidR="00535B14" w:rsidRPr="00771C71" w:rsidRDefault="00000000" w:rsidP="00F42D8D">
      <w:pPr>
        <w:pStyle w:val="CORPO-CEFETABNT"/>
        <w:rPr>
          <w:color w:val="EE0000"/>
        </w:rPr>
      </w:pPr>
      <w:r w:rsidRPr="00771C71">
        <w:rPr>
          <w:color w:val="EE0000"/>
        </w:rPr>
        <w:t xml:space="preserve">Fatores comportamentais e externos também desempenham um papel crucial na formação de preços dos ativos digitais. Park e Yang (2023) destacam </w:t>
      </w:r>
      <w:r w:rsidRPr="00771C71">
        <w:rPr>
          <w:color w:val="EE0000"/>
        </w:rPr>
        <w:lastRenderedPageBreak/>
        <w:t xml:space="preserve">a ocorrência frequente de comportamentos de manada e ineficiências de mercado, que podem causar turbulências prolongadas devido a quebras estruturais. Diante disso, </w:t>
      </w:r>
      <w:proofErr w:type="spellStart"/>
      <w:r w:rsidRPr="00771C71">
        <w:rPr>
          <w:color w:val="EE0000"/>
        </w:rPr>
        <w:t>Hamayel</w:t>
      </w:r>
      <w:proofErr w:type="spellEnd"/>
      <w:r w:rsidRPr="00771C71">
        <w:rPr>
          <w:color w:val="EE0000"/>
        </w:rPr>
        <w:t xml:space="preserve"> e </w:t>
      </w:r>
      <w:proofErr w:type="spellStart"/>
      <w:r w:rsidRPr="00771C71">
        <w:rPr>
          <w:color w:val="EE0000"/>
        </w:rPr>
        <w:t>Owda</w:t>
      </w:r>
      <w:proofErr w:type="spellEnd"/>
      <w:r w:rsidRPr="00771C71">
        <w:rPr>
          <w:color w:val="EE0000"/>
        </w:rPr>
        <w:t xml:space="preserve"> (2021) apontam que a análise de sentimento extraída de mídias sociais e plataformas de </w:t>
      </w:r>
      <w:proofErr w:type="spellStart"/>
      <w:r w:rsidRPr="00771C71">
        <w:rPr>
          <w:i/>
          <w:iCs/>
          <w:color w:val="EE0000"/>
        </w:rPr>
        <w:t>microblogs</w:t>
      </w:r>
      <w:proofErr w:type="spellEnd"/>
      <w:r w:rsidRPr="00771C71">
        <w:rPr>
          <w:color w:val="EE0000"/>
        </w:rPr>
        <w:t xml:space="preserve"> constitui um fator relevante que pode influenciar diretamente o volume de negociação e a volatilidade do mercado de criptomoedas. </w:t>
      </w:r>
    </w:p>
    <w:p w14:paraId="1B0D2057" w14:textId="017E35C5" w:rsidR="00535B14" w:rsidRPr="00771C71" w:rsidRDefault="00000000" w:rsidP="00F42D8D">
      <w:pPr>
        <w:pStyle w:val="CORPO-CEFETABNT"/>
      </w:pPr>
      <w:r w:rsidRPr="00771C71">
        <w:t>Por fim, a alocação de criptoativos e o uso de consultores automatizados (</w:t>
      </w:r>
      <w:proofErr w:type="spellStart"/>
      <w:r w:rsidRPr="00771C71">
        <w:rPr>
          <w:i/>
        </w:rPr>
        <w:t>robot</w:t>
      </w:r>
      <w:proofErr w:type="spellEnd"/>
      <w:r w:rsidRPr="00771C71">
        <w:rPr>
          <w:i/>
        </w:rPr>
        <w:t xml:space="preserve"> </w:t>
      </w:r>
      <w:proofErr w:type="spellStart"/>
      <w:r w:rsidRPr="00771C71">
        <w:rPr>
          <w:i/>
        </w:rPr>
        <w:t>advisors</w:t>
      </w:r>
      <w:proofErr w:type="spellEnd"/>
      <w:r w:rsidRPr="00771C71">
        <w:t>) têm se expandido para tornar os mercados mais transparentes e reduzir custos operacionais (BABAEI et al., 2022). Entretanto, embora os modelos de aprendizado de máquina apresentem alta acurácia na otimização de carteiras, eles costumam operar como "caixas-pretas", o que dificulta a compreensão das razões lógicas por trás das decisões de alocação (BABAEI et al., 2022). Para superar essa barreira, Park e Yang (2023) propõem sistemas de negociação inteligentes que integram conhecimentos econômicos sobre turbulência de mercado para maximizar recompensas e emitir alertas sobre investimentos de alto risco.</w:t>
      </w:r>
    </w:p>
    <w:p w14:paraId="5596532C" w14:textId="31C750ED" w:rsidR="00F66FCA" w:rsidRPr="00771C71" w:rsidRDefault="00000000" w:rsidP="00771C71">
      <w:pPr>
        <w:pStyle w:val="Ttulo2"/>
        <w:numPr>
          <w:ilvl w:val="1"/>
          <w:numId w:val="1"/>
        </w:numPr>
      </w:pPr>
      <w:bookmarkStart w:id="18" w:name="_Toc6"/>
      <w:r w:rsidRPr="00771C71">
        <w:t>Teoria Moderna de Portfólio</w:t>
      </w:r>
      <w:bookmarkEnd w:id="18"/>
    </w:p>
    <w:p w14:paraId="28B054B5" w14:textId="77777777" w:rsidR="00F66FCA" w:rsidRPr="00771C71" w:rsidRDefault="00F66FCA" w:rsidP="00771C71">
      <w:pPr>
        <w:spacing w:line="360" w:lineRule="auto"/>
        <w:rPr>
          <w:rFonts w:ascii="Arial" w:hAnsi="Arial" w:cs="Arial"/>
          <w:sz w:val="24"/>
          <w:szCs w:val="24"/>
        </w:rPr>
      </w:pPr>
      <w:r w:rsidRPr="00771C71">
        <w:rPr>
          <w:rFonts w:ascii="Arial" w:hAnsi="Arial" w:cs="Arial"/>
          <w:b/>
          <w:bCs/>
          <w:sz w:val="24"/>
          <w:szCs w:val="24"/>
        </w:rPr>
        <w:t>2.4.1 Fundamentos da teoria moderna de portfólio</w:t>
      </w:r>
    </w:p>
    <w:p w14:paraId="0FAE77AD" w14:textId="77777777" w:rsidR="00F66FCA" w:rsidRPr="00771C71" w:rsidRDefault="00F66FCA" w:rsidP="00F42D8D">
      <w:pPr>
        <w:pStyle w:val="CORPO-CEFETABNT"/>
      </w:pPr>
      <w:r w:rsidRPr="00771C71">
        <w:t>A gestão de portfólio caracteriza-se como um processo analítico voltado à seleção e alocação de um grupo de ativos financeiros, no qual a distribuição dos investimentos é ajustada continuamente com o objetivo de otimizar o retorno esperado e a tolerância ao risco (CHAWEEWANCHON; CHAYSIRI, 2022). O alicerce dessa prática reside no modelo de média-variância (MV) proposto originalmente em 1952, que é considerado a base da teoria de portfólio e permanece como uma referência amplamente reconhecida na gestão de investimentos (CHAWEEWANCHON; CHAYSIRI, 2022).</w:t>
      </w:r>
    </w:p>
    <w:p w14:paraId="3331EC1C" w14:textId="77777777" w:rsidR="00F66FCA" w:rsidRPr="00771C71" w:rsidRDefault="00F66FCA" w:rsidP="00F42D8D">
      <w:pPr>
        <w:pStyle w:val="CORPO-CEFETABNT"/>
      </w:pPr>
      <w:r w:rsidRPr="00771C71">
        <w:t>O trabalho seminal de Markowitz (1952) é apontado como o marco inicial da teoria financeira moderna, introduzindo uma solução matemática para gerenciar o dilema entre a busca pelo maior retorno possível e a redução do risco associado ao investimento (PAIVA et al., 2019). De acordo com Paiva et al. (2019), a formulação desse modelo fundamenta-se na estruturação de carteiras de investimento que buscam maximizar as expectativas de ganho ao mesmo tempo em que mitigam a exposição ao risco.</w:t>
      </w:r>
    </w:p>
    <w:p w14:paraId="193310CC" w14:textId="77777777" w:rsidR="000541CC" w:rsidRDefault="000541CC" w:rsidP="000541CC">
      <w:pPr>
        <w:pStyle w:val="CORPO-CEFETABNT"/>
      </w:pPr>
      <w:r w:rsidRPr="000541CC">
        <w:lastRenderedPageBreak/>
        <w:t xml:space="preserve">Sob o ponto de vista comportamental e de mercado, </w:t>
      </w:r>
      <w:proofErr w:type="spellStart"/>
      <w:r w:rsidRPr="000541CC">
        <w:t>Jeleskovic</w:t>
      </w:r>
      <w:proofErr w:type="spellEnd"/>
      <w:r w:rsidRPr="000541CC">
        <w:t xml:space="preserve"> et al. (2024) destacam que a Teoria Moderna de Portfólio parte da premissa de que os investidores são racionais e avessos ao risco, buscando composições de carteira que otimizem a relação entre retorno esperado e risco. Nesse contexto, o modelo média-variância de Markowitz avalia os ativos não de forma isolada, mas conforme sua contribuição para o risco e o retorno da carteira, considerando especialmente variância, covariância e diversificação.</w:t>
      </w:r>
    </w:p>
    <w:p w14:paraId="5F37C587" w14:textId="77777777" w:rsidR="000541CC" w:rsidRPr="000541CC" w:rsidRDefault="000541CC" w:rsidP="000541CC">
      <w:pPr>
        <w:pStyle w:val="CORPO-CEFETABNT"/>
      </w:pPr>
    </w:p>
    <w:p w14:paraId="1D753DBF" w14:textId="77777777" w:rsidR="00F66FCA" w:rsidRPr="00771C71" w:rsidRDefault="00F66FCA" w:rsidP="00771C71">
      <w:pPr>
        <w:spacing w:line="360" w:lineRule="auto"/>
        <w:rPr>
          <w:rFonts w:ascii="Arial" w:hAnsi="Arial" w:cs="Arial"/>
          <w:sz w:val="24"/>
          <w:szCs w:val="24"/>
        </w:rPr>
      </w:pPr>
      <w:r w:rsidRPr="00771C71">
        <w:rPr>
          <w:rFonts w:ascii="Arial" w:hAnsi="Arial" w:cs="Arial"/>
          <w:b/>
          <w:bCs/>
          <w:sz w:val="24"/>
          <w:szCs w:val="24"/>
        </w:rPr>
        <w:t>2.4.2 Modelo média-variância de Markowitz</w:t>
      </w:r>
    </w:p>
    <w:p w14:paraId="35CE8B00" w14:textId="77777777" w:rsidR="00F66FCA" w:rsidRPr="00771C71" w:rsidRDefault="00F66FCA" w:rsidP="00F42D8D">
      <w:pPr>
        <w:pStyle w:val="CORPO-CEFETABNT"/>
      </w:pPr>
      <w:r w:rsidRPr="00771C71">
        <w:t xml:space="preserve">O modelo de média-variância (MV) fundamenta-se na utilização da média e da variância, extraídas de preços históricos, para mensurar o retorno esperado e o risco de uma carteira (CHAWEEWANCHON; CHAYSIRI, 2022). </w:t>
      </w:r>
      <w:proofErr w:type="spellStart"/>
      <w:r w:rsidRPr="00771C71">
        <w:t>Bakry</w:t>
      </w:r>
      <w:proofErr w:type="spellEnd"/>
      <w:r w:rsidRPr="00771C71">
        <w:t xml:space="preserve"> et al. (2021) apontam que essa abordagem estabelece uma estrutura de otimização baseada em objetivos conflitantes, buscando maximizar o retorno enquanto se minimiza a variância, que atua como a métrica representativa do risco.</w:t>
      </w:r>
    </w:p>
    <w:p w14:paraId="4FB744D5" w14:textId="77777777" w:rsidR="00F66FCA" w:rsidRPr="00771C71" w:rsidRDefault="00F66FCA" w:rsidP="00F42D8D">
      <w:pPr>
        <w:pStyle w:val="CORPO-CEFETABNT"/>
      </w:pPr>
      <w:r w:rsidRPr="00771C71">
        <w:t>Dentro dessas premissas conceituais, o risco é definido pela flutuação dos retornos em relação à sua média aritmética (JELESKOVIC et al., 2024). Consequentemente, o processo de seleção de ativos por parte do investidor deve priorizar opções que entreguem a menor variância para um nível de retorno específico ou, de forma inversa, o maior retorno esperado para um limite de risco previamente estabelecido (PAIVA et al., 2019).</w:t>
      </w:r>
    </w:p>
    <w:p w14:paraId="7AA8EAA2" w14:textId="77777777" w:rsidR="00F66FCA" w:rsidRPr="00771C71" w:rsidRDefault="00F66FCA" w:rsidP="00771C71">
      <w:pPr>
        <w:spacing w:line="360" w:lineRule="auto"/>
        <w:rPr>
          <w:rFonts w:ascii="Arial" w:hAnsi="Arial" w:cs="Arial"/>
          <w:sz w:val="24"/>
          <w:szCs w:val="24"/>
        </w:rPr>
      </w:pPr>
      <w:r w:rsidRPr="00771C71">
        <w:rPr>
          <w:rFonts w:ascii="Arial" w:hAnsi="Arial" w:cs="Arial"/>
          <w:b/>
          <w:bCs/>
          <w:sz w:val="24"/>
          <w:szCs w:val="24"/>
        </w:rPr>
        <w:t>2.4.3 Diversificação e fronteira eficiente</w:t>
      </w:r>
    </w:p>
    <w:p w14:paraId="3D3E4BAD" w14:textId="77777777" w:rsidR="00F66FCA" w:rsidRPr="00771C71" w:rsidRDefault="00F66FCA" w:rsidP="00F42D8D">
      <w:pPr>
        <w:pStyle w:val="CORPO-CEFETABNT"/>
      </w:pPr>
      <w:r w:rsidRPr="00771C71">
        <w:t>O propósito central da diversificação de portfólios consiste em estruturar uma combinação de ativos que apresentem correlação nula ou moderada entre si, com a finalidade de maximizar os retornos ajustados ao risco do investimento (BAKRY et al., 2021). A diversificação atua não apenas como um mecanismo de mitigação da exposição ao risco, mas também como um impulsionador para a obtenção de rentabilidade superior (JELESKOVIC et al., 2024). Essa estratégia demonstra eficácia empírica mesmo quando incorpora classes de ativos caracterizadas por elevada volatilidade na composição da carteira (BAKRY et al., 2021).</w:t>
      </w:r>
    </w:p>
    <w:p w14:paraId="19EA0B62" w14:textId="77777777" w:rsidR="00F66FCA" w:rsidRPr="00771C71" w:rsidRDefault="00F66FCA" w:rsidP="00F42D8D">
      <w:pPr>
        <w:pStyle w:val="CORPO-CEFETABNT"/>
      </w:pPr>
      <w:r w:rsidRPr="00771C71">
        <w:t xml:space="preserve">Sob a ótica do modelo de média-variância (MV), a formulação matemática configura-se como um problema de otimização multiobjetivo, cujo resultado é um </w:t>
      </w:r>
      <w:r w:rsidRPr="00771C71">
        <w:lastRenderedPageBreak/>
        <w:t>conjunto de soluções ótimas denominado fronteira eficiente de investimentos (PAIVA et al., 2019). Essa fronteira delimita a carteira de ativos capaz de alcançar o patamar máximo de retorno esperado para um dado limite mínimo de risco estabelecido, indicando as estratégias de alocação mais eficientes para qualquer nível de retorno desejado pelo investidor (PAIVA et al., 2019).</w:t>
      </w:r>
    </w:p>
    <w:p w14:paraId="42C378C8" w14:textId="77777777" w:rsidR="00F66FCA" w:rsidRPr="00771C71" w:rsidRDefault="00F66FCA" w:rsidP="00771C71">
      <w:pPr>
        <w:spacing w:line="360" w:lineRule="auto"/>
        <w:rPr>
          <w:rFonts w:ascii="Arial" w:hAnsi="Arial" w:cs="Arial"/>
          <w:sz w:val="24"/>
          <w:szCs w:val="24"/>
        </w:rPr>
      </w:pPr>
      <w:r w:rsidRPr="00771C71">
        <w:rPr>
          <w:rFonts w:ascii="Arial" w:hAnsi="Arial" w:cs="Arial"/>
          <w:b/>
          <w:bCs/>
          <w:sz w:val="24"/>
          <w:szCs w:val="24"/>
        </w:rPr>
        <w:t>2.4.4 Otimização de carteiras e restrições práticas</w:t>
      </w:r>
    </w:p>
    <w:p w14:paraId="5FFD63C0" w14:textId="77777777" w:rsidR="00F66FCA" w:rsidRPr="00771C71" w:rsidRDefault="00F66FCA" w:rsidP="00F42D8D">
      <w:pPr>
        <w:pStyle w:val="CORPO-CEFETABNT"/>
      </w:pPr>
      <w:r w:rsidRPr="00771C71">
        <w:t>A otimização de carteiras é a técnica voltada à extração do benefício máximo derivado da alocação de recursos financeiros, respeitando estritamente o perfil de risco-retorno do investidor (JELESKOVIC et al., 2024). O procedimento requer o ajuste percentual do peso de cada ativo visando, em termos estatísticos, a minimização da variância ou desvio padrão e a maximização da média dos retornos (JELESKOVIC et al., 2024). Profissionais de investimento exploram o potencial de diferentes ativos por meio de simulações e da aplicação de cenários de restrição sobre os pesos de alocação (BAKRY et al., 2021).</w:t>
      </w:r>
    </w:p>
    <w:p w14:paraId="16E8A773" w14:textId="77777777" w:rsidR="00F66FCA" w:rsidRDefault="00F66FCA" w:rsidP="00F42D8D">
      <w:pPr>
        <w:pStyle w:val="CORPO-CEFETABNT"/>
      </w:pPr>
      <w:r w:rsidRPr="00771C71">
        <w:t>Do ponto de vista empírico, a determinação da ponderação ideal frequentemente utiliza a maximização do Índice de Sharpe como objetivo principal, método que origina o que a literatura técnica denomina como carteira de tangência (JELESKOVIC et al., 2024). As modelagens aplicam restrições orçamentárias unitárias, permitindo o posicionamento do investidor em ativos arbitrários dentro dos limites impostos pelo cenário (BAKRY et al., 2021). Contudo, a aplicação dessa técnica em múltiplos ativos de alto risco pode gerar carteiras ótimas compostas por uma grande quantidade de frações diminutas (pesos de pequena escala), impondo barreiras práticas para a implementação da estratégia, especialmente no caso de investidores individuais (CHAWEEWANCHON; CHAYSIRI, 2022).</w:t>
      </w:r>
    </w:p>
    <w:p w14:paraId="10F63989" w14:textId="77777777" w:rsidR="00D54017" w:rsidRPr="00771C71" w:rsidRDefault="00D54017" w:rsidP="00F42D8D">
      <w:pPr>
        <w:pStyle w:val="CORPO-CEFETABNT"/>
      </w:pPr>
    </w:p>
    <w:p w14:paraId="766CB36D" w14:textId="77777777" w:rsidR="00F66FCA" w:rsidRPr="00771C71" w:rsidRDefault="00F66FCA" w:rsidP="00771C71">
      <w:pPr>
        <w:spacing w:line="360" w:lineRule="auto"/>
        <w:rPr>
          <w:rFonts w:ascii="Arial" w:hAnsi="Arial" w:cs="Arial"/>
          <w:sz w:val="24"/>
          <w:szCs w:val="24"/>
        </w:rPr>
      </w:pPr>
      <w:r w:rsidRPr="00771C71">
        <w:rPr>
          <w:rFonts w:ascii="Arial" w:hAnsi="Arial" w:cs="Arial"/>
          <w:b/>
          <w:bCs/>
          <w:sz w:val="24"/>
          <w:szCs w:val="24"/>
        </w:rPr>
        <w:t>2.4.5 Limitações do modelo média-variância</w:t>
      </w:r>
    </w:p>
    <w:p w14:paraId="432C55D5" w14:textId="77777777" w:rsidR="00F66FCA" w:rsidRPr="00771C71" w:rsidRDefault="00F66FCA" w:rsidP="00F42D8D">
      <w:pPr>
        <w:pStyle w:val="CORPO-CEFETABNT"/>
      </w:pPr>
      <w:r w:rsidRPr="00771C71">
        <w:t xml:space="preserve">A arquitetura teórica de seleção ótima proposta por Markowitz apresenta limitações fundamentais por não considerar que a distribuição histórica dos retornos financeiros pode divergir do modelo gaussiano (JELESKOVIC et al., 2024). A literatura financeira moderna rejeita amplamente a suposição de normalidade, apontando evidências empíricas de que as séries históricas são </w:t>
      </w:r>
      <w:r w:rsidRPr="00771C71">
        <w:lastRenderedPageBreak/>
        <w:t xml:space="preserve">frequentemente marcadas por </w:t>
      </w:r>
      <w:proofErr w:type="spellStart"/>
      <w:r w:rsidRPr="00771C71">
        <w:t>leptocurtose</w:t>
      </w:r>
      <w:proofErr w:type="spellEnd"/>
      <w:r w:rsidRPr="00771C71">
        <w:t xml:space="preserve"> e assimetria, fato que provoca subestimação e quantificação incorreta do risco (JELESKOVIC et al., 2024). Consequentemente, utilizar exclusivamente a variância histórica como métrica de risco constitui uma abordagem genérica e imprecisa para ativos específicos (JELESKOVIC et al., 2024).</w:t>
      </w:r>
    </w:p>
    <w:p w14:paraId="16E5A253" w14:textId="6ECD179A" w:rsidR="00F66FCA" w:rsidRPr="00771C71" w:rsidRDefault="00F66FCA" w:rsidP="00F42D8D">
      <w:pPr>
        <w:pStyle w:val="CORPO-CEFETABNT"/>
      </w:pPr>
      <w:r w:rsidRPr="00771C71">
        <w:t xml:space="preserve">Outra falha estrutural reside no uso da correlação linear de Pearson para medir a associação entre os ativos, visto que tal ferramenta ignora dependências não lineares e oculta a verdadeira dinâmica de interação dos componentes da carteira (JELESKOVIC et al., 2024). Além disso, a forte dependência de dados passados restringe as opções do portfólio aos dados inseridos e possui baixa capacidade de predição do desempenho futuro (CHAWEEWANCHON; CHAYSIRI, 2022; JELESKOVIC et al., 2024). A lógica de otimização também pode restringir drasticamente o número de ativos selecionados, contrariando o princípio da diversificação e gerando alterações bruscas na composição da carteira ao longo do tempo (JELESKOVIC et al., 2024). Por fim, mesmo ao fornecer a fronteira eficiente, </w:t>
      </w:r>
      <w:proofErr w:type="gramStart"/>
      <w:r w:rsidR="00F42D8D">
        <w:t>o</w:t>
      </w:r>
      <w:r w:rsidR="00F42D8D" w:rsidRPr="00771C71">
        <w:t xml:space="preserve"> modelo falha</w:t>
      </w:r>
      <w:proofErr w:type="gramEnd"/>
      <w:r w:rsidRPr="00771C71">
        <w:t xml:space="preserve"> em apontar de forma objetiva qual ponto exato de investimento deve ser adotado (PAIVA et al., 2019).</w:t>
      </w:r>
    </w:p>
    <w:p w14:paraId="02910ABF" w14:textId="77777777" w:rsidR="00F66FCA" w:rsidRPr="00771C71" w:rsidRDefault="00F66FCA" w:rsidP="00F42D8D">
      <w:pPr>
        <w:pStyle w:val="CORPO-CEFETABNT"/>
        <w:ind w:firstLine="0"/>
      </w:pPr>
      <w:r w:rsidRPr="00771C71">
        <w:rPr>
          <w:b/>
          <w:bCs/>
        </w:rPr>
        <w:t>2.4.6 Aplicação da média-variância em criptoativos</w:t>
      </w:r>
    </w:p>
    <w:p w14:paraId="1155E488" w14:textId="77777777" w:rsidR="00F66FCA" w:rsidRPr="00771C71" w:rsidRDefault="00F66FCA" w:rsidP="00F42D8D">
      <w:pPr>
        <w:pStyle w:val="CORPO-CEFETABNT"/>
      </w:pPr>
      <w:r w:rsidRPr="00771C71">
        <w:t xml:space="preserve">A integração crescente das criptomoedas na alocação de capital impõe a verificação sobre os reais benefícios de otimização que esses ativos conferem às carteiras (JELESKOVIC et al., 2024). A característica de descorrelação do Bitcoin em relação aos ativos financeiros convencionais sinaliza uma vantagem potencial de diversificação quando adicionado a portfólios previamente diversificados (BAKRY et al., 2021). Estudos reportam que a inserção de Bitcoin, mesmo em proporções marginais, produz resultados na relação média-variância superiores aos de carteiras compostas estritamente por ativos tradicionais (BAKRY et al., 2021). A criptomoeda demonstra capacidade de gerar retornos ajustados ao risco em carteiras mistas de ações e títulos corporativos, apresentando propriedades de proteção (safe </w:t>
      </w:r>
      <w:proofErr w:type="spellStart"/>
      <w:r w:rsidRPr="00771C71">
        <w:t>haven</w:t>
      </w:r>
      <w:proofErr w:type="spellEnd"/>
      <w:r w:rsidRPr="00771C71">
        <w:t>) superiores às do ouro e de outras commodities (BAKRY et al., 2021).</w:t>
      </w:r>
    </w:p>
    <w:p w14:paraId="149D07AF" w14:textId="6E3D82A4" w:rsidR="00F66FCA" w:rsidRPr="00771C71" w:rsidRDefault="00F66FCA" w:rsidP="00F42D8D">
      <w:pPr>
        <w:pStyle w:val="CORPO-CEFETABNT"/>
      </w:pPr>
      <w:r w:rsidRPr="00771C71">
        <w:t xml:space="preserve">O uso da abordagem de Markowitz para analisar mercados de criptoativos sobrepõe-se à aplicação do </w:t>
      </w:r>
      <w:proofErr w:type="spellStart"/>
      <w:r w:rsidRPr="00771C71">
        <w:t>Value</w:t>
      </w:r>
      <w:proofErr w:type="spellEnd"/>
      <w:r w:rsidRPr="00771C71">
        <w:t>-</w:t>
      </w:r>
      <w:proofErr w:type="spellStart"/>
      <w:r w:rsidRPr="00771C71">
        <w:t>at-Risk</w:t>
      </w:r>
      <w:proofErr w:type="spellEnd"/>
      <w:r w:rsidRPr="00771C71">
        <w:t xml:space="preserve"> Condicional (</w:t>
      </w:r>
      <w:proofErr w:type="spellStart"/>
      <w:r w:rsidRPr="00771C71">
        <w:t>CVaR</w:t>
      </w:r>
      <w:proofErr w:type="spellEnd"/>
      <w:r w:rsidRPr="00771C71">
        <w:t xml:space="preserve">) e do </w:t>
      </w:r>
      <w:proofErr w:type="spellStart"/>
      <w:r w:rsidRPr="00771C71">
        <w:t>Expected</w:t>
      </w:r>
      <w:proofErr w:type="spellEnd"/>
      <w:r w:rsidRPr="00771C71">
        <w:t xml:space="preserve"> </w:t>
      </w:r>
      <w:proofErr w:type="spellStart"/>
      <w:r w:rsidRPr="00771C71">
        <w:t>Shortfall</w:t>
      </w:r>
      <w:proofErr w:type="spellEnd"/>
      <w:r w:rsidRPr="00771C71">
        <w:t xml:space="preserve">, justificado pela sensibilidade excessiva desses últimos modelos a eventos extremos assistemáticos comuns ao setor cripto (JELESKOVIC et al., </w:t>
      </w:r>
      <w:r w:rsidRPr="00771C71">
        <w:lastRenderedPageBreak/>
        <w:t xml:space="preserve">2024). Análises evidenciam que portfólios híbridos, compostos por ativos convencionais e criptomoedas, exibem um Índice de Sharpe superior em avaliações </w:t>
      </w:r>
      <w:proofErr w:type="spellStart"/>
      <w:r w:rsidRPr="00771C71">
        <w:t>ex-post</w:t>
      </w:r>
      <w:proofErr w:type="spellEnd"/>
      <w:r w:rsidRPr="00771C71">
        <w:t xml:space="preserve"> e comportamentos mais estáveis em projeções </w:t>
      </w:r>
      <w:proofErr w:type="spellStart"/>
      <w:r w:rsidRPr="00771C71">
        <w:t>ex-ante</w:t>
      </w:r>
      <w:proofErr w:type="spellEnd"/>
      <w:r w:rsidRPr="00771C71">
        <w:t xml:space="preserve"> (JELESKOVIC et al., 2024). Além das melhorias de desempenho estatístico, a alocação em criptoativos funciona como uma camada de proteção adicional para o investidor frente aos riscos atrelados a políticas monetárias que afetam o mercado de moedas fiduciárias tradicionais (JELESKOVIC et al., 2024).</w:t>
      </w:r>
    </w:p>
    <w:p w14:paraId="1FD1D0E6" w14:textId="77777777" w:rsidR="00F66FCA" w:rsidRPr="00771C71" w:rsidRDefault="00F66FCA" w:rsidP="00771C71">
      <w:pPr>
        <w:spacing w:line="360" w:lineRule="auto"/>
        <w:rPr>
          <w:rFonts w:ascii="Arial" w:hAnsi="Arial" w:cs="Arial"/>
          <w:sz w:val="24"/>
          <w:szCs w:val="24"/>
        </w:rPr>
      </w:pPr>
    </w:p>
    <w:p w14:paraId="5E2351F4" w14:textId="3A1B018A" w:rsidR="00FD1206" w:rsidRPr="00771C71" w:rsidRDefault="00000000" w:rsidP="00771C71">
      <w:pPr>
        <w:pStyle w:val="Ttulo2"/>
        <w:numPr>
          <w:ilvl w:val="1"/>
          <w:numId w:val="1"/>
        </w:numPr>
      </w:pPr>
      <w:bookmarkStart w:id="19" w:name="_Toc7"/>
      <w:r w:rsidRPr="00771C71">
        <w:rPr>
          <w:lang w:bidi="pt-BR"/>
        </w:rPr>
        <w:t xml:space="preserve"> Estudos Relacionados</w:t>
      </w:r>
      <w:bookmarkEnd w:id="19"/>
    </w:p>
    <w:p w14:paraId="0C0BF767" w14:textId="77777777" w:rsidR="00FD1206" w:rsidRPr="00771C71" w:rsidRDefault="00FD1206" w:rsidP="00771C71">
      <w:pPr>
        <w:pStyle w:val="Ttulo3"/>
        <w:spacing w:line="360" w:lineRule="auto"/>
        <w:rPr>
          <w:rFonts w:ascii="Arial" w:hAnsi="Arial" w:cs="Arial"/>
          <w:sz w:val="24"/>
          <w:szCs w:val="24"/>
        </w:rPr>
      </w:pPr>
      <w:r w:rsidRPr="00771C71">
        <w:rPr>
          <w:rFonts w:ascii="Arial" w:hAnsi="Arial" w:cs="Arial"/>
          <w:sz w:val="24"/>
          <w:szCs w:val="24"/>
        </w:rPr>
        <w:t xml:space="preserve">2.5.1 Estudos sobre </w:t>
      </w:r>
      <w:r w:rsidRPr="00771C71">
        <w:rPr>
          <w:rStyle w:val="nfase"/>
          <w:rFonts w:ascii="Arial" w:hAnsi="Arial" w:cs="Arial"/>
          <w:sz w:val="24"/>
          <w:szCs w:val="24"/>
        </w:rPr>
        <w:t>machine learning</w:t>
      </w:r>
      <w:r w:rsidRPr="00771C71">
        <w:rPr>
          <w:rFonts w:ascii="Arial" w:hAnsi="Arial" w:cs="Arial"/>
          <w:sz w:val="24"/>
          <w:szCs w:val="24"/>
        </w:rPr>
        <w:t xml:space="preserve"> aplicado à otimização de portfólios</w:t>
      </w:r>
    </w:p>
    <w:p w14:paraId="421EE443" w14:textId="77777777" w:rsidR="00FD1206" w:rsidRPr="00771C71" w:rsidRDefault="00FD1206" w:rsidP="00771C71">
      <w:pPr>
        <w:pStyle w:val="CORPO-CEFETABNT"/>
      </w:pPr>
      <w:r w:rsidRPr="00771C71">
        <w:t xml:space="preserve">Os estudos analisados sobre otimização de portfólios mostram que modelos preditivos vêm sendo combinados com métodos tradicionais de alocação de recursos. Em geral, essa combinação ocorre em duas etapas: primeiro, algoritmos de </w:t>
      </w:r>
      <w:r w:rsidRPr="00771C71">
        <w:rPr>
          <w:rStyle w:val="nfase"/>
          <w:szCs w:val="24"/>
        </w:rPr>
        <w:t>machine learning</w:t>
      </w:r>
      <w:r w:rsidRPr="00771C71">
        <w:t xml:space="preserve"> ou </w:t>
      </w:r>
      <w:proofErr w:type="spellStart"/>
      <w:r w:rsidRPr="00771C71">
        <w:rPr>
          <w:rStyle w:val="nfase"/>
          <w:szCs w:val="24"/>
        </w:rPr>
        <w:t>deep</w:t>
      </w:r>
      <w:proofErr w:type="spellEnd"/>
      <w:r w:rsidRPr="00771C71">
        <w:rPr>
          <w:rStyle w:val="nfase"/>
          <w:szCs w:val="24"/>
        </w:rPr>
        <w:t xml:space="preserve"> learning</w:t>
      </w:r>
      <w:r w:rsidRPr="00771C71">
        <w:t xml:space="preserve"> são usados para prever preços, retornos ou movimentos futuros dos ativos; depois, essas previsões são incorporadas a modelos de seleção e otimização de carteiras, especialmente ao modelo média-variância de Markowitz (CHEN et al., 2021; MA; HAN; WANG, 2021; WANG et al., 2020). Embora esses estudos tratem principalmente de ações e índices, sua lógica metodológica se aproxima do tema deste anteprojeto, pois combina previsão algorítmica e diversificação de portfólios.</w:t>
      </w:r>
    </w:p>
    <w:p w14:paraId="3627C0DF" w14:textId="77777777" w:rsidR="00FD1206" w:rsidRPr="00771C71" w:rsidRDefault="00FD1206" w:rsidP="00771C71">
      <w:pPr>
        <w:pStyle w:val="CORPO-CEFETABNT"/>
      </w:pPr>
      <w:r w:rsidRPr="00771C71">
        <w:t xml:space="preserve">A previsão aparece como uma etapa importante porque fornece informações para a montagem posterior da carteira. Chen et al. (2021) combinam previsão de preços por </w:t>
      </w:r>
      <w:r w:rsidRPr="00771C71">
        <w:rPr>
          <w:rStyle w:val="nfase"/>
          <w:szCs w:val="24"/>
        </w:rPr>
        <w:t>machine learning</w:t>
      </w:r>
      <w:r w:rsidRPr="00771C71">
        <w:t xml:space="preserve"> com a definição dos pesos da carteira pelo modelo média-variância. </w:t>
      </w:r>
      <w:proofErr w:type="spellStart"/>
      <w:r w:rsidRPr="00771C71">
        <w:t>Ma</w:t>
      </w:r>
      <w:proofErr w:type="spellEnd"/>
      <w:r w:rsidRPr="00771C71">
        <w:t xml:space="preserve">, Han e Wang (2021) também relacionam previsões de retorno à otimização de portfólios, destacando que modelos de </w:t>
      </w:r>
      <w:r w:rsidRPr="00771C71">
        <w:rPr>
          <w:rStyle w:val="nfase"/>
          <w:szCs w:val="24"/>
        </w:rPr>
        <w:t>machine learning</w:t>
      </w:r>
      <w:r w:rsidRPr="00771C71">
        <w:t xml:space="preserve"> e </w:t>
      </w:r>
      <w:proofErr w:type="spellStart"/>
      <w:r w:rsidRPr="00771C71">
        <w:rPr>
          <w:rStyle w:val="nfase"/>
          <w:szCs w:val="24"/>
        </w:rPr>
        <w:t>deep</w:t>
      </w:r>
      <w:proofErr w:type="spellEnd"/>
      <w:r w:rsidRPr="00771C71">
        <w:rPr>
          <w:rStyle w:val="nfase"/>
          <w:szCs w:val="24"/>
        </w:rPr>
        <w:t xml:space="preserve"> learning</w:t>
      </w:r>
      <w:r w:rsidRPr="00771C71">
        <w:t xml:space="preserve"> podem apresentar desempenho preditivo mais favorável do que modelos tradicionais de séries temporais. De forma semelhante, Wang et al. (2020) utilizam LSTM para capturar dependências de longo prazo nos retornos dos ativos e, em seguida, formar carteiras otimizadas pelo critério média-variância.</w:t>
      </w:r>
    </w:p>
    <w:p w14:paraId="2E1EFF62" w14:textId="77777777" w:rsidR="00FD1206" w:rsidRPr="00771C71" w:rsidRDefault="00FD1206" w:rsidP="00771C71">
      <w:pPr>
        <w:pStyle w:val="CORPO-CEFETABNT"/>
        <w:rPr>
          <w:szCs w:val="24"/>
        </w:rPr>
      </w:pPr>
      <w:r w:rsidRPr="00771C71">
        <w:rPr>
          <w:szCs w:val="24"/>
        </w:rPr>
        <w:lastRenderedPageBreak/>
        <w:t xml:space="preserve">Além da previsão, os estudos destacam a pré-seleção de ativos antes da alocação final. Chen et al. (2021) selecionam ativos com maior potencial de retorno a partir dos preços previstos, enquanto </w:t>
      </w:r>
      <w:proofErr w:type="spellStart"/>
      <w:r w:rsidRPr="00771C71">
        <w:rPr>
          <w:szCs w:val="24"/>
        </w:rPr>
        <w:t>Ma</w:t>
      </w:r>
      <w:proofErr w:type="spellEnd"/>
      <w:r w:rsidRPr="00771C71">
        <w:rPr>
          <w:szCs w:val="24"/>
        </w:rPr>
        <w:t>, Han e Wang (2021) utilizam modelos preditivos para filtrar ativos antes de aplicar os modelos média-variância e ômega. Wang et al. (2020) também enfatizam a seleção inicial dos ativos que irão compor a carteira. Assim, a pré-seleção por algoritmos funciona como uma etapa intermediária entre a previsão e a otimização, direcionando a alocação para ativos com maior potencial estimado (CHEN et al., 2021; MA; HAN; WANG, 2021; WANG et al., 2020).</w:t>
      </w:r>
    </w:p>
    <w:p w14:paraId="76381A4E" w14:textId="77777777" w:rsidR="00FD1206" w:rsidRPr="00771C71" w:rsidRDefault="00FD1206" w:rsidP="00771C71">
      <w:pPr>
        <w:pStyle w:val="CORPO-CEFETABNT"/>
        <w:rPr>
          <w:szCs w:val="24"/>
        </w:rPr>
      </w:pPr>
      <w:r w:rsidRPr="00771C71">
        <w:rPr>
          <w:szCs w:val="24"/>
        </w:rPr>
        <w:t xml:space="preserve">Quanto ao desempenho, os estudos sugerem que a combinação entre previsão e otimização pode gerar resultados mais favoráveis do que estratégias sem etapa preditiva. Chen et al. (2021), em estudo aplicado à Bolsa de Xangai, reportam </w:t>
      </w:r>
      <w:proofErr w:type="gramStart"/>
      <w:r w:rsidRPr="00771C71">
        <w:rPr>
          <w:szCs w:val="24"/>
        </w:rPr>
        <w:t>melhores</w:t>
      </w:r>
      <w:proofErr w:type="gramEnd"/>
      <w:r w:rsidRPr="00771C71">
        <w:rPr>
          <w:szCs w:val="24"/>
        </w:rPr>
        <w:t xml:space="preserve"> resultados em retorno e risco quando comparados a métodos tradicionais sem previsão e a diferentes </w:t>
      </w:r>
      <w:r w:rsidRPr="00771C71">
        <w:rPr>
          <w:rStyle w:val="nfase"/>
          <w:szCs w:val="24"/>
        </w:rPr>
        <w:t>benchmarks</w:t>
      </w:r>
      <w:r w:rsidRPr="00771C71">
        <w:rPr>
          <w:szCs w:val="24"/>
        </w:rPr>
        <w:t xml:space="preserve">. </w:t>
      </w:r>
      <w:proofErr w:type="spellStart"/>
      <w:r w:rsidRPr="00771C71">
        <w:rPr>
          <w:szCs w:val="24"/>
        </w:rPr>
        <w:t>Ma</w:t>
      </w:r>
      <w:proofErr w:type="spellEnd"/>
      <w:r w:rsidRPr="00771C71">
        <w:rPr>
          <w:szCs w:val="24"/>
        </w:rPr>
        <w:t>, Han e Wang (2021) identificam desempenho mais favorável nos modelos média-variância e ômega quando combinados com previsões de Random Forest. Wang et al. (2020), por sua vez, indicam que a estratégia LSTM + MV apresentou melhorias em retorno cumulativo e retorno ajustado ao risco na maior parte dos períodos analisados.</w:t>
      </w:r>
    </w:p>
    <w:p w14:paraId="61561C05" w14:textId="77777777" w:rsidR="00FD1206" w:rsidRPr="00771C71" w:rsidRDefault="00FD1206" w:rsidP="00771C71">
      <w:pPr>
        <w:pStyle w:val="CORPO-CEFETABNT"/>
        <w:rPr>
          <w:szCs w:val="24"/>
        </w:rPr>
      </w:pPr>
      <w:proofErr w:type="spellStart"/>
      <w:r w:rsidRPr="00771C71">
        <w:rPr>
          <w:szCs w:val="24"/>
        </w:rPr>
        <w:t>Padhi</w:t>
      </w:r>
      <w:proofErr w:type="spellEnd"/>
      <w:r w:rsidRPr="00771C71">
        <w:rPr>
          <w:szCs w:val="24"/>
        </w:rPr>
        <w:t xml:space="preserve"> et al. (2022) também tratam dessa integração ao combinar seleção de portfólio e aprendizado de máquina. Nesse estudo, a abordagem média-variância é usada para reduzir o risco por meio da construção de uma carteira ótima, enquanto técnicas de aprendizado online são aplicadas para prever movimentos futuros de preços. A partir do material disponível, Paiva et al. (2019) também podem ser associados a esse eixo, pois tratam de uma abordagem de fusão entre </w:t>
      </w:r>
      <w:r w:rsidRPr="00771C71">
        <w:rPr>
          <w:rStyle w:val="nfase"/>
          <w:szCs w:val="24"/>
        </w:rPr>
        <w:t>machine learning</w:t>
      </w:r>
      <w:r w:rsidRPr="00771C71">
        <w:rPr>
          <w:szCs w:val="24"/>
        </w:rPr>
        <w:t xml:space="preserve"> e seleção de portfólio para tomada de decisão em negociações financeiras. Contudo, os dados fornecidos não apresentam detalhes suficientes sobre seus métodos e resultados para uma comparação mais aprofundada.</w:t>
      </w:r>
    </w:p>
    <w:p w14:paraId="3F7DC50E" w14:textId="77777777" w:rsidR="00FD1206" w:rsidRPr="00771C71" w:rsidRDefault="00FD1206" w:rsidP="00771C71">
      <w:pPr>
        <w:pStyle w:val="CORPO-CEFETABNT"/>
        <w:rPr>
          <w:szCs w:val="24"/>
        </w:rPr>
      </w:pPr>
      <w:r w:rsidRPr="00771C71">
        <w:rPr>
          <w:szCs w:val="24"/>
        </w:rPr>
        <w:t xml:space="preserve">De modo geral, os estudos analisados indicam que o </w:t>
      </w:r>
      <w:r w:rsidRPr="00771C71">
        <w:rPr>
          <w:rStyle w:val="nfase"/>
          <w:szCs w:val="24"/>
        </w:rPr>
        <w:t>machine learning</w:t>
      </w:r>
      <w:r w:rsidRPr="00771C71">
        <w:rPr>
          <w:szCs w:val="24"/>
        </w:rPr>
        <w:t xml:space="preserve"> tem sido usado na otimização de portfólios principalmente para prever retornos ou preços, selecionar ativos promissores e buscar melhor desempenho após a alocação matemática (CHEN et al., 2021; MA; HAN; WANG, 2021; WANG et al., 2020; PADHI et al., 2022; PAIVA et al., 2019). Ainda assim, os resultados devem ser analisados com cautela, pois o material disponível aponta limitações como </w:t>
      </w:r>
      <w:r w:rsidRPr="00771C71">
        <w:rPr>
          <w:szCs w:val="24"/>
        </w:rPr>
        <w:lastRenderedPageBreak/>
        <w:t xml:space="preserve">elevada rotatividade das carteiras, custos de transação capazes de reduzir parte dos lucros, concentração dos testes em mercados específicos e uso predominante da variância como métrica de risco, com menor atenção a medidas como </w:t>
      </w:r>
      <w:proofErr w:type="spellStart"/>
      <w:r w:rsidRPr="00771C71">
        <w:rPr>
          <w:szCs w:val="24"/>
        </w:rPr>
        <w:t>VaR</w:t>
      </w:r>
      <w:proofErr w:type="spellEnd"/>
      <w:r w:rsidRPr="00771C71">
        <w:rPr>
          <w:szCs w:val="24"/>
        </w:rPr>
        <w:t xml:space="preserve"> e </w:t>
      </w:r>
      <w:proofErr w:type="spellStart"/>
      <w:r w:rsidRPr="00771C71">
        <w:rPr>
          <w:szCs w:val="24"/>
        </w:rPr>
        <w:t>CVaR</w:t>
      </w:r>
      <w:proofErr w:type="spellEnd"/>
      <w:r w:rsidRPr="00771C71">
        <w:rPr>
          <w:szCs w:val="24"/>
        </w:rPr>
        <w:t xml:space="preserve"> (CHEN et al., 2021; MA; HAN; WANG, 2021; WANG et al., 2020; PADHI et al., 2022).</w:t>
      </w:r>
    </w:p>
    <w:p w14:paraId="56FD90BD" w14:textId="77777777" w:rsidR="00FD1206" w:rsidRPr="00771C71" w:rsidRDefault="00FD1206" w:rsidP="00771C71">
      <w:pPr>
        <w:pStyle w:val="Ttulo3"/>
        <w:spacing w:line="360" w:lineRule="auto"/>
        <w:rPr>
          <w:rFonts w:ascii="Arial" w:hAnsi="Arial" w:cs="Arial"/>
          <w:sz w:val="24"/>
          <w:szCs w:val="24"/>
        </w:rPr>
      </w:pPr>
      <w:r w:rsidRPr="00771C71">
        <w:rPr>
          <w:rFonts w:ascii="Arial" w:hAnsi="Arial" w:cs="Arial"/>
          <w:sz w:val="24"/>
          <w:szCs w:val="24"/>
        </w:rPr>
        <w:t>2.5.2 Estudos sobre média-variância e Markowitz em criptoativos</w:t>
      </w:r>
    </w:p>
    <w:p w14:paraId="58A676A7" w14:textId="77777777" w:rsidR="00FD1206" w:rsidRPr="00771C71" w:rsidRDefault="00FD1206" w:rsidP="00771C71">
      <w:pPr>
        <w:pStyle w:val="CORPO-CEFETABNT"/>
      </w:pPr>
      <w:r w:rsidRPr="00771C71">
        <w:t>Enquanto os estudos anteriores mostram o uso de previsões algorítmicas na otimização de carteiras, a literatura sobre criptoativos permite observar como o modelo média-variância se comporta em um mercado mais volátil. A Teoria Moderna de Portfólio tem sido usada para avaliar os efeitos da diversificação sobre a relação entre risco e retorno em carteiras formadas por criptomoedas ou por combinações entre ativos digitais e ativos tradicionais (BRAUNEIS; MESTEL, 2019; JELESKOVIC et al., 2024). Nesse contexto, o modelo de Markowitz aparece tanto como instrumento para avaliar benefícios de diversificação quanto como método para definir pesos otimizados segundo o critério média-variância (BRAUNEIS; MESTEL, 2019; JELESKOVIC et al., 2024).</w:t>
      </w:r>
    </w:p>
    <w:p w14:paraId="0522D643" w14:textId="77777777" w:rsidR="00FD1206" w:rsidRPr="00771C71" w:rsidRDefault="00FD1206" w:rsidP="00771C71">
      <w:pPr>
        <w:pStyle w:val="CORPO-CEFETABNT"/>
      </w:pPr>
      <w:r w:rsidRPr="00771C71">
        <w:t xml:space="preserve">A aplicação desse modelo ao mercado de criptoativos exige cautela. Os estudos analisados destacam que esse mercado apresenta elevada volatilidade, retornos não normais, correlações instáveis, dificuldade de previsão da dependência entre ativos e sensibilidade a fatores globais. Essas características podem limitar a aderência das premissas clássicas da média-variância (BRAUNEIS; MESTEL, 2019; JELESKOVIC et al., 2024; ZOUAOUI; NAAS, 2025). Ainda assim, os resultados sobre diversificação sugerem que criptoativos podem contribuir para a redução de risco quando combinados entre si ou quando inseridos em carteiras com ativos tradicionais. </w:t>
      </w:r>
      <w:proofErr w:type="spellStart"/>
      <w:r w:rsidRPr="00771C71">
        <w:t>Brauneis</w:t>
      </w:r>
      <w:proofErr w:type="spellEnd"/>
      <w:r w:rsidRPr="00771C71">
        <w:t xml:space="preserve"> e </w:t>
      </w:r>
      <w:proofErr w:type="spellStart"/>
      <w:r w:rsidRPr="00771C71">
        <w:t>Mestel</w:t>
      </w:r>
      <w:proofErr w:type="spellEnd"/>
      <w:r w:rsidRPr="00771C71">
        <w:t xml:space="preserve"> (2019) apontam que a combinação de várias criptomoedas apresenta potencial de redução de risco, ampliando a análise para além da inclusão isolada de uma única moeda digital. </w:t>
      </w:r>
      <w:proofErr w:type="spellStart"/>
      <w:r w:rsidRPr="00771C71">
        <w:t>Jeleskovic</w:t>
      </w:r>
      <w:proofErr w:type="spellEnd"/>
      <w:r w:rsidRPr="00771C71">
        <w:t xml:space="preserve"> et al. (2024), de modo complementar, indicam que portfólios compostos por criptomoedas e ativos tradicionais apresentam maior Índice de Sharpe em avaliação retrospectiva e desempenho mais estável em análise prospectiva.</w:t>
      </w:r>
    </w:p>
    <w:p w14:paraId="248289E7" w14:textId="77777777" w:rsidR="00FD1206" w:rsidRPr="00771C71" w:rsidRDefault="00FD1206" w:rsidP="00771C71">
      <w:pPr>
        <w:pStyle w:val="CORPO-CEFETABNT"/>
      </w:pPr>
      <w:r w:rsidRPr="00771C71">
        <w:t xml:space="preserve">Apesar desse potencial, os estudos também apontam fragilidades da otimização média-variância clássica em carteiras de criptomoedas. </w:t>
      </w:r>
      <w:proofErr w:type="spellStart"/>
      <w:r w:rsidRPr="00771C71">
        <w:t>Brauneis</w:t>
      </w:r>
      <w:proofErr w:type="spellEnd"/>
      <w:r w:rsidRPr="00771C71">
        <w:t xml:space="preserve"> e </w:t>
      </w:r>
      <w:proofErr w:type="spellStart"/>
      <w:r w:rsidRPr="00771C71">
        <w:lastRenderedPageBreak/>
        <w:t>Mestel</w:t>
      </w:r>
      <w:proofErr w:type="spellEnd"/>
      <w:r w:rsidRPr="00771C71">
        <w:t xml:space="preserve"> (2019) observam que a estratégia de pesos iguais, representada pelo portfólio 1/N, supera criptomoedas individuais e mais de 75% dos portfólios ótimos de média-variância em termos de Índice de Sharpe e retornos equivalentes de certeza. Esse achado sugere que a otimização matemática tradicional nem sempre apresenta desempenho mais favorável do que estratégias simples de diversificação (BRAUNEIS; MESTEL, 2019). De forma próxima, </w:t>
      </w:r>
      <w:proofErr w:type="spellStart"/>
      <w:r w:rsidRPr="00771C71">
        <w:t>Zouaoui</w:t>
      </w:r>
      <w:proofErr w:type="spellEnd"/>
      <w:r w:rsidRPr="00771C71">
        <w:t xml:space="preserve"> e </w:t>
      </w:r>
      <w:proofErr w:type="spellStart"/>
      <w:r w:rsidRPr="00771C71">
        <w:t>Naas</w:t>
      </w:r>
      <w:proofErr w:type="spellEnd"/>
      <w:r w:rsidRPr="00771C71">
        <w:t xml:space="preserve"> (2025) apontam que o modelo de Markowitz pode concentrar a carteira em poucas criptomoedas, deixando a maior parte dos ativos fora da alocação, situação associada, segundo os autores, a limitações no uso do coeficiente de correlação e à geração restrita de portfólios possíveis.</w:t>
      </w:r>
    </w:p>
    <w:p w14:paraId="3EF13A49" w14:textId="77777777" w:rsidR="00FD1206" w:rsidRPr="00771C71" w:rsidRDefault="00FD1206" w:rsidP="00771C71">
      <w:pPr>
        <w:pStyle w:val="CORPO-CEFETABNT"/>
      </w:pPr>
      <w:r w:rsidRPr="00771C71">
        <w:t xml:space="preserve">A relação entre risco e retorno reforça essas limitações. </w:t>
      </w:r>
      <w:proofErr w:type="spellStart"/>
      <w:r w:rsidRPr="00771C71">
        <w:t>Zouaoui</w:t>
      </w:r>
      <w:proofErr w:type="spellEnd"/>
      <w:r w:rsidRPr="00771C71">
        <w:t xml:space="preserve"> e </w:t>
      </w:r>
      <w:proofErr w:type="spellStart"/>
      <w:r w:rsidRPr="00771C71">
        <w:t>Naas</w:t>
      </w:r>
      <w:proofErr w:type="spellEnd"/>
      <w:r w:rsidRPr="00771C71">
        <w:t xml:space="preserve"> (2025) reportam que uma carteira baseada no modelo retorno-risco de Markowitz apresentou retorno estimado de 31,15% e risco de 39,05%, além de Índice de Sharpe médio pouco atrativo no portfólio selecionado. Os autores associam parte desse risco às fortes oscilações dos preços das criptomoedas e à influência de condições globais sobre o mercado. </w:t>
      </w:r>
      <w:proofErr w:type="spellStart"/>
      <w:r w:rsidRPr="00771C71">
        <w:t>Jeleskovic</w:t>
      </w:r>
      <w:proofErr w:type="spellEnd"/>
      <w:r w:rsidRPr="00771C71">
        <w:t xml:space="preserve"> et al. (2024), por sua vez, destacam que a imaturidade estrutural do mercado e a dificuldade de prever a estrutura de correlação entre criptomoedas podem gerar </w:t>
      </w:r>
      <w:proofErr w:type="spellStart"/>
      <w:r w:rsidRPr="00771C71">
        <w:rPr>
          <w:rStyle w:val="nfase"/>
          <w:szCs w:val="24"/>
        </w:rPr>
        <w:t>underfitting</w:t>
      </w:r>
      <w:proofErr w:type="spellEnd"/>
      <w:r w:rsidRPr="00771C71">
        <w:t xml:space="preserve"> nos modelos de risco, prejudicando a identificação adequada das dependências entre os ativos. Esses achados indicam que a volatilidade e a instabilidade das correlações podem limitar a aplicação isolada da média-variância no mercado cripto (JELESKOVIC et al., 2024; ZOUAOUI; NAAS, 2025).</w:t>
      </w:r>
    </w:p>
    <w:p w14:paraId="4755D46B" w14:textId="77777777" w:rsidR="00FD1206" w:rsidRPr="00771C71" w:rsidRDefault="00FD1206" w:rsidP="00771C71">
      <w:pPr>
        <w:pStyle w:val="CORPO-CEFETABNT"/>
      </w:pPr>
      <w:r w:rsidRPr="00771C71">
        <w:t xml:space="preserve">Essas limitações estão relacionadas às próprias premissas do modelo. </w:t>
      </w:r>
      <w:proofErr w:type="spellStart"/>
      <w:r w:rsidRPr="00771C71">
        <w:t>Brauneis</w:t>
      </w:r>
      <w:proofErr w:type="spellEnd"/>
      <w:r w:rsidRPr="00771C71">
        <w:t xml:space="preserve"> e </w:t>
      </w:r>
      <w:proofErr w:type="spellStart"/>
      <w:r w:rsidRPr="00771C71">
        <w:t>Mestel</w:t>
      </w:r>
      <w:proofErr w:type="spellEnd"/>
      <w:r w:rsidRPr="00771C71">
        <w:t xml:space="preserve"> (2019) reconhecem a existência de alternativas à otimização média-variância quando os retornos não seguem distribuição normal. </w:t>
      </w:r>
      <w:proofErr w:type="spellStart"/>
      <w:r w:rsidRPr="00771C71">
        <w:t>Zouaoui</w:t>
      </w:r>
      <w:proofErr w:type="spellEnd"/>
      <w:r w:rsidRPr="00771C71">
        <w:t xml:space="preserve"> e </w:t>
      </w:r>
      <w:proofErr w:type="spellStart"/>
      <w:r w:rsidRPr="00771C71">
        <w:t>Naas</w:t>
      </w:r>
      <w:proofErr w:type="spellEnd"/>
      <w:r w:rsidRPr="00771C71">
        <w:t xml:space="preserve"> (2025) também ressaltam que a Teoria Moderna de Portfólio, embora ofereça uma estrutura quantitativa para diversificação e análise da relação entre risco e retorno, pode ter sua aplicação prática restringida em mercados voláteis, não normais e sujeitos a correlações variáveis. Dessa forma, a literatura analisada sugere que Markowitz permanece como referência metodológica de alocação, mas apresenta limitações importantes quando aplicado diretamente a carteiras de criptoativos (BRAUNEIS; MESTEL, 2019; ZOUAOUI; NAAS, 2025).</w:t>
      </w:r>
    </w:p>
    <w:p w14:paraId="42C2D4CD" w14:textId="77777777" w:rsidR="00FD1206" w:rsidRPr="00771C71" w:rsidRDefault="00FD1206" w:rsidP="00771C71">
      <w:pPr>
        <w:pStyle w:val="CORPO-CEFETABNT"/>
      </w:pPr>
      <w:r w:rsidRPr="00771C71">
        <w:t xml:space="preserve">Nesse cenário, a incorporação de técnicas preditivas aparece como uma alternativa para lidar com parte dessas fragilidades. </w:t>
      </w:r>
      <w:proofErr w:type="spellStart"/>
      <w:r w:rsidRPr="00771C71">
        <w:t>Zouaoui</w:t>
      </w:r>
      <w:proofErr w:type="spellEnd"/>
      <w:r w:rsidRPr="00771C71">
        <w:t xml:space="preserve"> e </w:t>
      </w:r>
      <w:proofErr w:type="spellStart"/>
      <w:r w:rsidRPr="00771C71">
        <w:t>Naas</w:t>
      </w:r>
      <w:proofErr w:type="spellEnd"/>
      <w:r w:rsidRPr="00771C71">
        <w:t xml:space="preserve"> (2025) </w:t>
      </w:r>
      <w:r w:rsidRPr="00771C71">
        <w:lastRenderedPageBreak/>
        <w:t xml:space="preserve">indicam que redes neurais, como LSTM, quando associadas à Teoria Moderna de Portfólio no mercado de criptomoedas, podem reduzir algumas limitações observadas no modelo clássico e gerar Índices de Sharpe mais elevados. Essa discussão reforça a relevância de investigar abordagens híbridas que combinem média-variância e </w:t>
      </w:r>
      <w:r w:rsidRPr="00771C71">
        <w:rPr>
          <w:rStyle w:val="nfase"/>
          <w:szCs w:val="24"/>
        </w:rPr>
        <w:t>machine learning</w:t>
      </w:r>
      <w:r w:rsidRPr="00771C71">
        <w:t>, uma vez que os estudos apontam tanto o potencial da diversificação em criptoativos quanto os limites da aplicação isolada de Markowitz nesse mercado (BRAUNEIS; MESTEL, 2019; JELESKOVIC et al., 2024; ZOUAOUI; NAAS, 2025).</w:t>
      </w:r>
    </w:p>
    <w:p w14:paraId="476AA4B3" w14:textId="77777777" w:rsidR="00FD1206" w:rsidRDefault="00FD1206" w:rsidP="00771C71">
      <w:pPr>
        <w:pStyle w:val="Ttulo3"/>
        <w:spacing w:line="360" w:lineRule="auto"/>
        <w:rPr>
          <w:rStyle w:val="nfase"/>
          <w:rFonts w:ascii="Arial" w:hAnsi="Arial" w:cs="Arial"/>
          <w:sz w:val="24"/>
          <w:szCs w:val="24"/>
          <w:lang w:val="en-US"/>
        </w:rPr>
      </w:pPr>
      <w:r w:rsidRPr="00771C71">
        <w:rPr>
          <w:rFonts w:ascii="Arial" w:hAnsi="Arial" w:cs="Arial"/>
          <w:sz w:val="24"/>
          <w:szCs w:val="24"/>
          <w:lang w:val="en-US"/>
        </w:rPr>
        <w:t xml:space="preserve">2.5.3 </w:t>
      </w:r>
      <w:proofErr w:type="spellStart"/>
      <w:r w:rsidRPr="00771C71">
        <w:rPr>
          <w:rFonts w:ascii="Arial" w:hAnsi="Arial" w:cs="Arial"/>
          <w:sz w:val="24"/>
          <w:szCs w:val="24"/>
          <w:lang w:val="en-US"/>
        </w:rPr>
        <w:t>Estudos</w:t>
      </w:r>
      <w:proofErr w:type="spellEnd"/>
      <w:r w:rsidRPr="00771C71">
        <w:rPr>
          <w:rFonts w:ascii="Arial" w:hAnsi="Arial" w:cs="Arial"/>
          <w:sz w:val="24"/>
          <w:szCs w:val="24"/>
          <w:lang w:val="en-US"/>
        </w:rPr>
        <w:t xml:space="preserve"> </w:t>
      </w:r>
      <w:proofErr w:type="spellStart"/>
      <w:r w:rsidRPr="00771C71">
        <w:rPr>
          <w:rFonts w:ascii="Arial" w:hAnsi="Arial" w:cs="Arial"/>
          <w:sz w:val="24"/>
          <w:szCs w:val="24"/>
          <w:lang w:val="en-US"/>
        </w:rPr>
        <w:t>híbridos</w:t>
      </w:r>
      <w:proofErr w:type="spellEnd"/>
      <w:r w:rsidRPr="00771C71">
        <w:rPr>
          <w:rFonts w:ascii="Arial" w:hAnsi="Arial" w:cs="Arial"/>
          <w:sz w:val="24"/>
          <w:szCs w:val="24"/>
          <w:lang w:val="en-US"/>
        </w:rPr>
        <w:t xml:space="preserve"> entre Markowitz, </w:t>
      </w:r>
      <w:r w:rsidRPr="00771C71">
        <w:rPr>
          <w:rStyle w:val="nfase"/>
          <w:rFonts w:ascii="Arial" w:hAnsi="Arial" w:cs="Arial"/>
          <w:sz w:val="24"/>
          <w:szCs w:val="24"/>
          <w:lang w:val="en-US"/>
        </w:rPr>
        <w:t>machine learning</w:t>
      </w:r>
      <w:r w:rsidRPr="00771C71">
        <w:rPr>
          <w:rFonts w:ascii="Arial" w:hAnsi="Arial" w:cs="Arial"/>
          <w:sz w:val="24"/>
          <w:szCs w:val="24"/>
          <w:lang w:val="en-US"/>
        </w:rPr>
        <w:t xml:space="preserve">, </w:t>
      </w:r>
      <w:r w:rsidRPr="00771C71">
        <w:rPr>
          <w:rStyle w:val="nfase"/>
          <w:rFonts w:ascii="Arial" w:hAnsi="Arial" w:cs="Arial"/>
          <w:sz w:val="24"/>
          <w:szCs w:val="24"/>
          <w:lang w:val="en-US"/>
        </w:rPr>
        <w:t>deep learning</w:t>
      </w:r>
      <w:r w:rsidRPr="00771C71">
        <w:rPr>
          <w:rFonts w:ascii="Arial" w:hAnsi="Arial" w:cs="Arial"/>
          <w:sz w:val="24"/>
          <w:szCs w:val="24"/>
          <w:lang w:val="en-US"/>
        </w:rPr>
        <w:t xml:space="preserve"> e </w:t>
      </w:r>
      <w:r w:rsidRPr="00771C71">
        <w:rPr>
          <w:rStyle w:val="nfase"/>
          <w:rFonts w:ascii="Arial" w:hAnsi="Arial" w:cs="Arial"/>
          <w:sz w:val="24"/>
          <w:szCs w:val="24"/>
          <w:lang w:val="en-US"/>
        </w:rPr>
        <w:t>reinforcement learning</w:t>
      </w:r>
    </w:p>
    <w:p w14:paraId="22D29396" w14:textId="77777777" w:rsidR="00F42D8D" w:rsidRPr="00F42D8D" w:rsidRDefault="00F42D8D" w:rsidP="00F42D8D">
      <w:pPr>
        <w:rPr>
          <w:lang w:val="en-US"/>
        </w:rPr>
      </w:pPr>
    </w:p>
    <w:p w14:paraId="613D33E7" w14:textId="77777777" w:rsidR="00FD1206" w:rsidRPr="00771C71" w:rsidRDefault="00FD1206" w:rsidP="00F42D8D">
      <w:pPr>
        <w:pStyle w:val="CORPO-CEFETABNT"/>
      </w:pPr>
      <w:r w:rsidRPr="00771C71">
        <w:t>A partir das limitações da média-variância aplicada de forma isolada, parte da literatura passou a investigar modelos híbridos que combinam Markowitz com técnicas preditivas e adaptativas. Nos estudos analisados, a Teoria Moderna de Portfólio não é abandonada, mas utilizada como base de alocação à qual são incorporados algoritmos voltados a melhorar estimativas, selecionar ativos ou ajustar dinamicamente os pesos do portfólio (CHAWEEWANCHON; CHAYSIRI, 2022; DU, 2022; LÓPEZ DE PRADO et al., 2025). Essa lógica se aproxima do presente anteprojeto, pois articula otimização média-variância e métodos computacionais voltados à previsão e à tomada de decisão em carteiras financeiras (CHAWEEWANCHON; CHAYSIRI, 2022; ŚLUSARCZYK; ŚLEPACZUK, 2025; LÓPEZ DE PRADO et al., 2025).</w:t>
      </w:r>
    </w:p>
    <w:p w14:paraId="20E1A7D6" w14:textId="77777777" w:rsidR="00771C71" w:rsidRDefault="00FD1206" w:rsidP="00F42D8D">
      <w:pPr>
        <w:pStyle w:val="CORPO-CEFETABNT"/>
      </w:pPr>
      <w:r w:rsidRPr="00771C71">
        <w:t xml:space="preserve">No primeiro grupo de estudos, a combinação entre Markowitz, </w:t>
      </w:r>
      <w:r w:rsidRPr="00771C71">
        <w:rPr>
          <w:rStyle w:val="nfase"/>
          <w:szCs w:val="24"/>
        </w:rPr>
        <w:t>machine learning</w:t>
      </w:r>
      <w:r w:rsidRPr="00771C71">
        <w:t xml:space="preserve"> e </w:t>
      </w:r>
      <w:proofErr w:type="spellStart"/>
      <w:r w:rsidRPr="00771C71">
        <w:rPr>
          <w:rStyle w:val="nfase"/>
          <w:szCs w:val="24"/>
        </w:rPr>
        <w:t>deep</w:t>
      </w:r>
      <w:proofErr w:type="spellEnd"/>
      <w:r w:rsidRPr="00771C71">
        <w:rPr>
          <w:rStyle w:val="nfase"/>
          <w:szCs w:val="24"/>
        </w:rPr>
        <w:t xml:space="preserve"> learning</w:t>
      </w:r>
      <w:r w:rsidRPr="00771C71">
        <w:t xml:space="preserve"> aparece associada à pré-seleção de ativos e à melhoria dos dados usados na otimização. </w:t>
      </w:r>
      <w:proofErr w:type="spellStart"/>
      <w:r w:rsidRPr="00771C71">
        <w:t>Chaweewanchon</w:t>
      </w:r>
      <w:proofErr w:type="spellEnd"/>
      <w:r w:rsidRPr="00771C71">
        <w:t xml:space="preserve"> e </w:t>
      </w:r>
      <w:proofErr w:type="spellStart"/>
      <w:r w:rsidRPr="00771C71">
        <w:t>Chaysiri</w:t>
      </w:r>
      <w:proofErr w:type="spellEnd"/>
      <w:r w:rsidRPr="00771C71">
        <w:t xml:space="preserve"> (2022) combinam CNN, </w:t>
      </w:r>
      <w:proofErr w:type="spellStart"/>
      <w:r w:rsidRPr="00771C71">
        <w:t>BiLSTM</w:t>
      </w:r>
      <w:proofErr w:type="spellEnd"/>
      <w:r w:rsidRPr="00771C71">
        <w:t xml:space="preserve"> e modelo média-variância, utilizando previsões para selecionar previamente ações antes da formação do portfólio. Du (2022), por sua vez, parte da limitação de que alocações média-variância são sensíveis a pequenos erros nas estimativas de médias e covariâncias, propondo o uso de redes A-LSTM para prever portfólios </w:t>
      </w:r>
      <w:proofErr w:type="spellStart"/>
      <w:r w:rsidRPr="00771C71">
        <w:t>cointegrados</w:t>
      </w:r>
      <w:proofErr w:type="spellEnd"/>
      <w:r w:rsidRPr="00771C71">
        <w:t xml:space="preserve"> antes da otimização. Em ambos os casos, os algoritmos preditivos funcionam como etapa anterior ou complementar ao modelo de Markowitz, buscando melhorar os dados usados na construção da carteira (CHAWEEWANCHON; CHAYSIRI, 2022; DU, 2022).</w:t>
      </w:r>
    </w:p>
    <w:p w14:paraId="1DDCD219" w14:textId="173D2C85" w:rsidR="00FD1206" w:rsidRPr="00771C71" w:rsidRDefault="00FD1206" w:rsidP="00F42D8D">
      <w:pPr>
        <w:pStyle w:val="CORPO-CEFETABNT"/>
      </w:pPr>
      <w:r w:rsidRPr="00771C71">
        <w:lastRenderedPageBreak/>
        <w:t xml:space="preserve">A previsão de retornos dentro da estrutura média-variância também aparece como eixo relevante. </w:t>
      </w:r>
      <w:proofErr w:type="spellStart"/>
      <w:r w:rsidRPr="00771C71">
        <w:t>Ślusarczyk</w:t>
      </w:r>
      <w:proofErr w:type="spellEnd"/>
      <w:r w:rsidRPr="00771C71">
        <w:t xml:space="preserve"> e </w:t>
      </w:r>
      <w:proofErr w:type="spellStart"/>
      <w:r w:rsidRPr="00771C71">
        <w:t>Ślepaczuk</w:t>
      </w:r>
      <w:proofErr w:type="spellEnd"/>
      <w:r w:rsidRPr="00771C71">
        <w:t xml:space="preserve"> (2025) comparam carteiras construídas com retornos históricos e carteiras baseadas em retornos previstos por ARIMA-GARCH e </w:t>
      </w:r>
      <w:proofErr w:type="spellStart"/>
      <w:r w:rsidRPr="00771C71">
        <w:t>XGBoost</w:t>
      </w:r>
      <w:proofErr w:type="spellEnd"/>
      <w:r w:rsidRPr="00771C71">
        <w:t xml:space="preserve">, considerando problemas de otimização voltados ao máximo índice de informação e à mínima variância global. Os achados indicam que o uso de retornos previstos pode melhorar a seleção de portfólio no modelo de Markowitz, mas essa solução não é universal e depende do controle cuidadoso de parâmetros e </w:t>
      </w:r>
      <w:proofErr w:type="spellStart"/>
      <w:r w:rsidRPr="00771C71">
        <w:t>hiperparâmetros</w:t>
      </w:r>
      <w:proofErr w:type="spellEnd"/>
      <w:r w:rsidRPr="00771C71">
        <w:t xml:space="preserve"> (ŚLUSARCZYK; ŚLEPACZUK, 2025). De forma complementar, López de Prado et al. (2025) discutem a integração de técnicas de </w:t>
      </w:r>
      <w:r w:rsidRPr="00771C71">
        <w:rPr>
          <w:rStyle w:val="nfase"/>
          <w:szCs w:val="24"/>
        </w:rPr>
        <w:t>machine learning</w:t>
      </w:r>
      <w:r w:rsidRPr="00771C71">
        <w:t xml:space="preserve"> à seleção de portfólio de Markowitz, destacando sua aplicação em processos como geração de alfa, gestão de risco e otimização de métricas como o </w:t>
      </w:r>
      <w:proofErr w:type="spellStart"/>
      <w:r w:rsidRPr="00771C71">
        <w:t>CVaR</w:t>
      </w:r>
      <w:proofErr w:type="spellEnd"/>
      <w:r w:rsidRPr="00771C71">
        <w:t>.</w:t>
      </w:r>
    </w:p>
    <w:p w14:paraId="3B74BCDC" w14:textId="77777777" w:rsidR="00FD1206" w:rsidRPr="00771C71" w:rsidRDefault="00FD1206" w:rsidP="00F42D8D">
      <w:pPr>
        <w:pStyle w:val="CORPO-CEFETABNT"/>
      </w:pPr>
      <w:r w:rsidRPr="00771C71">
        <w:t xml:space="preserve">Uma vertente mais dinâmica é observada nos estudos que conectam Teoria Moderna de Portfólio e </w:t>
      </w:r>
      <w:proofErr w:type="spellStart"/>
      <w:r w:rsidRPr="00771C71">
        <w:rPr>
          <w:rStyle w:val="nfase"/>
          <w:szCs w:val="24"/>
        </w:rPr>
        <w:t>deep</w:t>
      </w:r>
      <w:proofErr w:type="spellEnd"/>
      <w:r w:rsidRPr="00771C71">
        <w:rPr>
          <w:rStyle w:val="nfase"/>
          <w:szCs w:val="24"/>
        </w:rPr>
        <w:t xml:space="preserve"> </w:t>
      </w:r>
      <w:proofErr w:type="spellStart"/>
      <w:r w:rsidRPr="00771C71">
        <w:rPr>
          <w:rStyle w:val="nfase"/>
          <w:szCs w:val="24"/>
        </w:rPr>
        <w:t>reinforcement</w:t>
      </w:r>
      <w:proofErr w:type="spellEnd"/>
      <w:r w:rsidRPr="00771C71">
        <w:rPr>
          <w:rStyle w:val="nfase"/>
          <w:szCs w:val="24"/>
        </w:rPr>
        <w:t xml:space="preserve"> learning</w:t>
      </w:r>
      <w:r w:rsidRPr="00771C71">
        <w:t xml:space="preserve">. Jiang, Olmo e </w:t>
      </w:r>
      <w:proofErr w:type="spellStart"/>
      <w:r w:rsidRPr="00771C71">
        <w:t>Atwi</w:t>
      </w:r>
      <w:proofErr w:type="spellEnd"/>
      <w:r w:rsidRPr="00771C71">
        <w:t xml:space="preserve"> (2024) desenvolvem uma estrutura de DRL para seleção de portfólios em mercados financeiros complexos e de grande dimensão, incorporando aversão ao risco e custos de transação em uma função de recompensa baseada em uma extensão da média-variância de Markowitz. Nessa abordagem, o agente de aprendizado utiliza estados de mercado para treinar o modelo e ajustar a decisão de alocação, considerando risco e custos durante o processo de aprendizagem (JIANG; OLMO; ATWI, 2024). Jang e Seong (2023) também conectam </w:t>
      </w:r>
      <w:proofErr w:type="spellStart"/>
      <w:r w:rsidRPr="00771C71">
        <w:rPr>
          <w:rStyle w:val="nfase"/>
          <w:szCs w:val="24"/>
        </w:rPr>
        <w:t>reinforcement</w:t>
      </w:r>
      <w:proofErr w:type="spellEnd"/>
      <w:r w:rsidRPr="00771C71">
        <w:rPr>
          <w:rStyle w:val="nfase"/>
          <w:szCs w:val="24"/>
        </w:rPr>
        <w:t xml:space="preserve"> learning</w:t>
      </w:r>
      <w:r w:rsidRPr="00771C71">
        <w:t xml:space="preserve"> e Teoria Moderna de Portfólio, utilizando decomposição tensorial para combinar entradas de diferentes dimensões e permitir alterações dinâmicas nos pesos da carteira conforme tendências de mercado.</w:t>
      </w:r>
    </w:p>
    <w:p w14:paraId="087E0B1C" w14:textId="77777777" w:rsidR="00FD1206" w:rsidRPr="00771C71" w:rsidRDefault="00FD1206" w:rsidP="00F42D8D">
      <w:pPr>
        <w:pStyle w:val="CORPO-CEFETABNT"/>
      </w:pPr>
      <w:r w:rsidRPr="00771C71">
        <w:t xml:space="preserve">Comparativamente, os estudos baseados em </w:t>
      </w:r>
      <w:r w:rsidRPr="00771C71">
        <w:rPr>
          <w:rStyle w:val="nfase"/>
          <w:szCs w:val="24"/>
        </w:rPr>
        <w:t>machine learning</w:t>
      </w:r>
      <w:r w:rsidRPr="00771C71">
        <w:t xml:space="preserve"> e </w:t>
      </w:r>
      <w:proofErr w:type="spellStart"/>
      <w:r w:rsidRPr="00771C71">
        <w:rPr>
          <w:rStyle w:val="nfase"/>
          <w:szCs w:val="24"/>
        </w:rPr>
        <w:t>deep</w:t>
      </w:r>
      <w:proofErr w:type="spellEnd"/>
      <w:r w:rsidRPr="00771C71">
        <w:rPr>
          <w:rStyle w:val="nfase"/>
          <w:szCs w:val="24"/>
        </w:rPr>
        <w:t xml:space="preserve"> learning</w:t>
      </w:r>
      <w:r w:rsidRPr="00771C71">
        <w:t xml:space="preserve"> concentram-se na melhoria das previsões e dos dados de entrada usados pela média-variância. Já os estudos baseados em </w:t>
      </w:r>
      <w:proofErr w:type="spellStart"/>
      <w:r w:rsidRPr="00771C71">
        <w:rPr>
          <w:rStyle w:val="nfase"/>
          <w:szCs w:val="24"/>
        </w:rPr>
        <w:t>reinforcement</w:t>
      </w:r>
      <w:proofErr w:type="spellEnd"/>
      <w:r w:rsidRPr="00771C71">
        <w:rPr>
          <w:rStyle w:val="nfase"/>
          <w:szCs w:val="24"/>
        </w:rPr>
        <w:t xml:space="preserve"> learning</w:t>
      </w:r>
      <w:r w:rsidRPr="00771C71">
        <w:t xml:space="preserve"> ampliam a discussão para uma lógica de decisão sequencial e de alocação dinâmica da carteira (CHAWEEWANCHON; CHAYSIRI, 2022; DU, 2022; JIANG; OLMO; ATWI, 2024; JANG; SEONG, 2023). Em termos de resultados, os modelos preditivos indicam potencial de aprimoramento da média-variância, com efeitos reportados sobre Índice de Sharpe, retorno médio, risco e lucratividade em diferentes mercados acionários (CHAWEEWANCHON; CHAYSIRI, 2022; DU, 2022). Os modelos de </w:t>
      </w:r>
      <w:proofErr w:type="spellStart"/>
      <w:r w:rsidRPr="00771C71">
        <w:rPr>
          <w:rStyle w:val="nfase"/>
          <w:szCs w:val="24"/>
        </w:rPr>
        <w:t>deep</w:t>
      </w:r>
      <w:proofErr w:type="spellEnd"/>
      <w:r w:rsidRPr="00771C71">
        <w:rPr>
          <w:rStyle w:val="nfase"/>
          <w:szCs w:val="24"/>
        </w:rPr>
        <w:t xml:space="preserve"> </w:t>
      </w:r>
      <w:proofErr w:type="spellStart"/>
      <w:r w:rsidRPr="00771C71">
        <w:rPr>
          <w:rStyle w:val="nfase"/>
          <w:szCs w:val="24"/>
        </w:rPr>
        <w:t>reinforcement</w:t>
      </w:r>
      <w:proofErr w:type="spellEnd"/>
      <w:r w:rsidRPr="00771C71">
        <w:rPr>
          <w:rStyle w:val="nfase"/>
          <w:szCs w:val="24"/>
        </w:rPr>
        <w:t xml:space="preserve"> learning</w:t>
      </w:r>
      <w:r w:rsidRPr="00771C71">
        <w:t xml:space="preserve">, por sua vez, apresentam </w:t>
      </w:r>
      <w:r w:rsidRPr="00771C71">
        <w:lastRenderedPageBreak/>
        <w:t>resultados mais favoráveis e estáveis em relação a estratégias de referência, além de realizarem alocação dinâmica conforme estados ou tendências de mercado (JIANG; OLMO; ATWI, 2024; JANG; SEONG, 2023).</w:t>
      </w:r>
    </w:p>
    <w:p w14:paraId="667CD3B6" w14:textId="77777777" w:rsidR="00FD1206" w:rsidRPr="00771C71" w:rsidRDefault="00FD1206" w:rsidP="00F42D8D">
      <w:pPr>
        <w:pStyle w:val="CORPO-CEFETABNT"/>
      </w:pPr>
      <w:r w:rsidRPr="00771C71">
        <w:t xml:space="preserve">Apesar desses achados, as abordagens híbridas também apresentam limitações. </w:t>
      </w:r>
      <w:proofErr w:type="spellStart"/>
      <w:r w:rsidRPr="00771C71">
        <w:t>Ślusarczyk</w:t>
      </w:r>
      <w:proofErr w:type="spellEnd"/>
      <w:r w:rsidRPr="00771C71">
        <w:t xml:space="preserve"> e </w:t>
      </w:r>
      <w:proofErr w:type="spellStart"/>
      <w:r w:rsidRPr="00771C71">
        <w:t>Ślepaczuk</w:t>
      </w:r>
      <w:proofErr w:type="spellEnd"/>
      <w:r w:rsidRPr="00771C71">
        <w:t xml:space="preserve"> (2025) ressaltam que retornos previstos não devem ser tratados como solução universal para a estrutura de Markowitz, pois a eficácia do método depende do controle dos parâmetros e </w:t>
      </w:r>
      <w:proofErr w:type="spellStart"/>
      <w:r w:rsidRPr="00771C71">
        <w:t>hiperparâmetros</w:t>
      </w:r>
      <w:proofErr w:type="spellEnd"/>
      <w:r w:rsidRPr="00771C71">
        <w:t xml:space="preserve"> adotados. Assim, os resultados sugerem potencial de melhoria na alocação de carteiras por meio de técnicas preditivas e adaptativas, mas também mostram a necessidade de cuidado na configuração dos modelos (ŚLUSARCZYK; ŚLEPACZUK, 2025).</w:t>
      </w:r>
    </w:p>
    <w:p w14:paraId="5DD2E334" w14:textId="77777777" w:rsidR="00FD1206" w:rsidRPr="00771C71" w:rsidRDefault="00FD1206" w:rsidP="00F42D8D">
      <w:pPr>
        <w:pStyle w:val="CORPO-CEFETABNT"/>
      </w:pPr>
      <w:r w:rsidRPr="00771C71">
        <w:t xml:space="preserve">Em síntese, os estudos analisados evidenciam que a integração entre Markowitz, </w:t>
      </w:r>
      <w:r w:rsidRPr="00771C71">
        <w:rPr>
          <w:rStyle w:val="nfase"/>
          <w:szCs w:val="24"/>
        </w:rPr>
        <w:t>machine learning</w:t>
      </w:r>
      <w:r w:rsidRPr="00771C71">
        <w:t xml:space="preserve">, </w:t>
      </w:r>
      <w:proofErr w:type="spellStart"/>
      <w:r w:rsidRPr="00771C71">
        <w:rPr>
          <w:rStyle w:val="nfase"/>
          <w:szCs w:val="24"/>
        </w:rPr>
        <w:t>deep</w:t>
      </w:r>
      <w:proofErr w:type="spellEnd"/>
      <w:r w:rsidRPr="00771C71">
        <w:rPr>
          <w:rStyle w:val="nfase"/>
          <w:szCs w:val="24"/>
        </w:rPr>
        <w:t xml:space="preserve"> learning</w:t>
      </w:r>
      <w:r w:rsidRPr="00771C71">
        <w:t xml:space="preserve"> e </w:t>
      </w:r>
      <w:proofErr w:type="spellStart"/>
      <w:r w:rsidRPr="00771C71">
        <w:rPr>
          <w:rStyle w:val="nfase"/>
          <w:szCs w:val="24"/>
        </w:rPr>
        <w:t>reinforcement</w:t>
      </w:r>
      <w:proofErr w:type="spellEnd"/>
      <w:r w:rsidRPr="00771C71">
        <w:rPr>
          <w:rStyle w:val="nfase"/>
          <w:szCs w:val="24"/>
        </w:rPr>
        <w:t xml:space="preserve"> learning</w:t>
      </w:r>
      <w:r w:rsidRPr="00771C71">
        <w:t xml:space="preserve"> ocorre de diferentes formas: pré-seleção de ativos, previsão de retornos, atualização dos dados usados na otimização e alocação dinâmica por agentes de aprendizado (CHAWEEWANCHON; CHAYSIRI, 2022; DU, 2022; ŚLUSARCZYK; ŚLEPACZUK, 2025; JIANG; OLMO; ATWI, 2024; JANG; SEONG, 2023; LÓPEZ DE PRADO et al., 2025). Essa diversidade metodológica oferece base para investigar modelos híbridos também no contexto de carteiras de criptoativos, especialmente pela combinação entre uma estrutura clássica de diversificação, baseada em média-variância, e técnicas de aprendizado voltadas à previsão, gestão de risco e ajuste dinâmico da alocação (JIANG; OLMO; ATWI, 2024; LÓPEZ DE PRADO et al., 2025; ŚLUSARCZYK; ŚLEPACZUK, 2025).</w:t>
      </w:r>
    </w:p>
    <w:p w14:paraId="7E6325EB" w14:textId="77777777" w:rsidR="00FD1206" w:rsidRPr="00771C71" w:rsidRDefault="00FD1206" w:rsidP="00771C71">
      <w:pPr>
        <w:pStyle w:val="Ttulo3"/>
        <w:spacing w:line="360" w:lineRule="auto"/>
        <w:rPr>
          <w:rFonts w:ascii="Arial" w:hAnsi="Arial" w:cs="Arial"/>
          <w:sz w:val="24"/>
          <w:szCs w:val="24"/>
        </w:rPr>
      </w:pPr>
      <w:r w:rsidRPr="00771C71">
        <w:rPr>
          <w:rFonts w:ascii="Arial" w:hAnsi="Arial" w:cs="Arial"/>
          <w:sz w:val="24"/>
          <w:szCs w:val="24"/>
        </w:rPr>
        <w:t>2.5.4 Síntese crítica dos estudos relacionados</w:t>
      </w:r>
    </w:p>
    <w:p w14:paraId="3CB29505" w14:textId="77777777" w:rsidR="00FD1206" w:rsidRPr="00771C71" w:rsidRDefault="00FD1206" w:rsidP="00F42D8D">
      <w:pPr>
        <w:pStyle w:val="CORPO-CEFETABNT"/>
      </w:pPr>
      <w:r w:rsidRPr="00771C71">
        <w:t xml:space="preserve">Consideradas em conjunto, as subseções anteriores indicam uma tendência de integração entre modelos clássicos de otimização de portfólios e técnicas preditivas baseadas em </w:t>
      </w:r>
      <w:r w:rsidRPr="00771C71">
        <w:rPr>
          <w:rStyle w:val="nfase"/>
          <w:szCs w:val="24"/>
        </w:rPr>
        <w:t>machine learning</w:t>
      </w:r>
      <w:r w:rsidRPr="00771C71">
        <w:t xml:space="preserve">, </w:t>
      </w:r>
      <w:proofErr w:type="spellStart"/>
      <w:r w:rsidRPr="00771C71">
        <w:rPr>
          <w:rStyle w:val="nfase"/>
          <w:szCs w:val="24"/>
        </w:rPr>
        <w:t>deep</w:t>
      </w:r>
      <w:proofErr w:type="spellEnd"/>
      <w:r w:rsidRPr="00771C71">
        <w:rPr>
          <w:rStyle w:val="nfase"/>
          <w:szCs w:val="24"/>
        </w:rPr>
        <w:t xml:space="preserve"> learning</w:t>
      </w:r>
      <w:r w:rsidRPr="00771C71">
        <w:t xml:space="preserve"> e </w:t>
      </w:r>
      <w:proofErr w:type="spellStart"/>
      <w:r w:rsidRPr="00771C71">
        <w:rPr>
          <w:rStyle w:val="nfase"/>
          <w:szCs w:val="24"/>
        </w:rPr>
        <w:t>reinforcement</w:t>
      </w:r>
      <w:proofErr w:type="spellEnd"/>
      <w:r w:rsidRPr="00771C71">
        <w:rPr>
          <w:rStyle w:val="nfase"/>
          <w:szCs w:val="24"/>
        </w:rPr>
        <w:t xml:space="preserve"> learning</w:t>
      </w:r>
      <w:r w:rsidRPr="00771C71">
        <w:t xml:space="preserve">. Essa integração assume diferentes formas, como previsão de preços ou retornos, seleção prévia de ativos, melhoria dos dados usados pela média-variância e ajuste dinâmico da alocação da carteira (CHEN et al., 2021; MA; HAN; WANG, 2021; WANG et al., 2020; CHAWEEWANCHON; CHAYSIRI, 2022; DU, 2022; ŚLUSARCZYK; ŚLEPACZUK, 2025; JIANG; OLMO; ATWI, 2024; JANG; SEONG, 2023; LÓPEZ DE PRADO et al., 2025). </w:t>
      </w:r>
      <w:r w:rsidRPr="00771C71">
        <w:lastRenderedPageBreak/>
        <w:t>Nos estudos analisados, a inteligência artificial aparece menos como substituta da Teoria Moderna de Portfólio e mais como recurso complementar para lidar com dados financeiros complexos, não lineares, volumosos e sujeitos a mudanças ao longo do tempo (SUTIENE et al., 2024; GIANTSIDI; TARANTOLA, 2025; LÓPEZ DE PRADO et al., 2025).</w:t>
      </w:r>
    </w:p>
    <w:p w14:paraId="2A0BA2FB" w14:textId="77777777" w:rsidR="00FD1206" w:rsidRPr="00771C71" w:rsidRDefault="00FD1206" w:rsidP="00F42D8D">
      <w:pPr>
        <w:pStyle w:val="CORPO-CEFETABNT"/>
      </w:pPr>
      <w:proofErr w:type="gramStart"/>
      <w:r w:rsidRPr="00771C71">
        <w:t>Em parte</w:t>
      </w:r>
      <w:proofErr w:type="gramEnd"/>
      <w:r w:rsidRPr="00771C71">
        <w:t xml:space="preserve"> significativa dos estudos, os resultados apontam melhorias em retorno, risco, retorno ajustado ao risco ou Índice de Sharpe quando modelos preditivos são incorporados à formação de carteiras. Pesquisas com Random Forest, </w:t>
      </w:r>
      <w:proofErr w:type="spellStart"/>
      <w:r w:rsidRPr="00771C71">
        <w:t>XGBoost</w:t>
      </w:r>
      <w:proofErr w:type="spellEnd"/>
      <w:r w:rsidRPr="00771C71">
        <w:t>, LSTM, CNN-</w:t>
      </w:r>
      <w:proofErr w:type="spellStart"/>
      <w:r w:rsidRPr="00771C71">
        <w:t>BiLSTM</w:t>
      </w:r>
      <w:proofErr w:type="spellEnd"/>
      <w:r w:rsidRPr="00771C71">
        <w:t xml:space="preserve"> e A-LSTM indicam que a previsão de retornos ou a pré-seleção de ativos pode produzir resultados mais favoráveis do que estratégias baseadas apenas em dados históricos, sem etapa preditiva ou com alocação tradicional, conforme o desenho de cada estudo (CHEN et al., 2021; MA; HAN; WANG, 2021; WANG et al., 2020; CHAWEEWANCHON; CHAYSIRI, 2022; DU, 2022; ŚLUSARCZYK; ŚLEPACZUK, 2025). Em outra direção, os modelos de </w:t>
      </w:r>
      <w:proofErr w:type="spellStart"/>
      <w:r w:rsidRPr="00771C71">
        <w:rPr>
          <w:rStyle w:val="nfase"/>
          <w:szCs w:val="24"/>
        </w:rPr>
        <w:t>deep</w:t>
      </w:r>
      <w:proofErr w:type="spellEnd"/>
      <w:r w:rsidRPr="00771C71">
        <w:rPr>
          <w:rStyle w:val="nfase"/>
          <w:szCs w:val="24"/>
        </w:rPr>
        <w:t xml:space="preserve"> </w:t>
      </w:r>
      <w:proofErr w:type="spellStart"/>
      <w:r w:rsidRPr="00771C71">
        <w:rPr>
          <w:rStyle w:val="nfase"/>
          <w:szCs w:val="24"/>
        </w:rPr>
        <w:t>reinforcement</w:t>
      </w:r>
      <w:proofErr w:type="spellEnd"/>
      <w:r w:rsidRPr="00771C71">
        <w:rPr>
          <w:rStyle w:val="nfase"/>
          <w:szCs w:val="24"/>
        </w:rPr>
        <w:t xml:space="preserve"> learning</w:t>
      </w:r>
      <w:r w:rsidRPr="00771C71">
        <w:t xml:space="preserve"> ampliam essa lógica ao incorporar estados de mercado, aversão ao risco e custos de transação ao processo de decisão, permitindo formas mais dinâmicas de alocação em comparação a estratégias estáticas de média-variância ou Max-Sharpe (JIANG; OLMO; ATWI, 2024; JANG; SEONG, 2023).</w:t>
      </w:r>
    </w:p>
    <w:p w14:paraId="1B783993" w14:textId="77777777" w:rsidR="00FD1206" w:rsidRPr="00771C71" w:rsidRDefault="00FD1206" w:rsidP="00F42D8D">
      <w:pPr>
        <w:pStyle w:val="CORPO-CEFETABNT"/>
      </w:pPr>
      <w:r w:rsidRPr="00771C71">
        <w:t xml:space="preserve">Contudo, os ganhos não são universais. </w:t>
      </w:r>
      <w:proofErr w:type="spellStart"/>
      <w:r w:rsidRPr="00771C71">
        <w:t>Ślusarczyk</w:t>
      </w:r>
      <w:proofErr w:type="spellEnd"/>
      <w:r w:rsidRPr="00771C71">
        <w:t xml:space="preserve"> e </w:t>
      </w:r>
      <w:proofErr w:type="spellStart"/>
      <w:r w:rsidRPr="00771C71">
        <w:t>Ślepaczuk</w:t>
      </w:r>
      <w:proofErr w:type="spellEnd"/>
      <w:r w:rsidRPr="00771C71">
        <w:t xml:space="preserve"> (2025) indicam que o uso de retornos previstos pode aprimorar a seleção de portfólios no modelo de Markowitz, mas depende do controle cuidadoso de parâmetros e </w:t>
      </w:r>
      <w:proofErr w:type="spellStart"/>
      <w:r w:rsidRPr="00771C71">
        <w:t>hiperparâmetros</w:t>
      </w:r>
      <w:proofErr w:type="spellEnd"/>
      <w:r w:rsidRPr="00771C71">
        <w:t xml:space="preserve">. No mercado de criptomoedas, </w:t>
      </w:r>
      <w:proofErr w:type="spellStart"/>
      <w:r w:rsidRPr="00771C71">
        <w:t>Brauneis</w:t>
      </w:r>
      <w:proofErr w:type="spellEnd"/>
      <w:r w:rsidRPr="00771C71">
        <w:t xml:space="preserve"> e </w:t>
      </w:r>
      <w:proofErr w:type="spellStart"/>
      <w:r w:rsidRPr="00771C71">
        <w:t>Mestel</w:t>
      </w:r>
      <w:proofErr w:type="spellEnd"/>
      <w:r w:rsidRPr="00771C71">
        <w:t xml:space="preserve"> (2019) apontam que a estratégia 1/N superou criptomoedas individuais e parcela expressiva dos portfólios ótimos de média-variância em termos de Índice de Sharpe e retornos equivalentes de certeza. Esses achados sugerem que a sofisticação metodológica não assegura, isoladamente, melhor desempenho em todos os contextos, sobretudo no mercado de criptoativos, marcado por alta volatilidade, retornos não normais e correlações instáveis (BRAUNEIS; MESTEL, 2019; JELESKOVIC et al., 2024; ZOUAOUI; NAAS, 2025).</w:t>
      </w:r>
    </w:p>
    <w:p w14:paraId="6E456D54" w14:textId="77777777" w:rsidR="00FD1206" w:rsidRPr="00771C71" w:rsidRDefault="00FD1206" w:rsidP="00F42D8D">
      <w:pPr>
        <w:pStyle w:val="CORPO-CEFETABNT"/>
      </w:pPr>
      <w:r w:rsidRPr="00771C71">
        <w:t xml:space="preserve">As limitações metodológicas reforçam essa cautela. Nos estudos sobre otimização com previsão, o material analisado aponta restrições associadas à rotatividade das carteiras e aos custos de transação, fatores que podem reduzir parte dos ganhos associados às estratégias preditivas (CHEN et al., 2021; MA; </w:t>
      </w:r>
      <w:r w:rsidRPr="00771C71">
        <w:lastRenderedPageBreak/>
        <w:t xml:space="preserve">HAN; WANG, 2021; WANG et al., 2020; PADHI et al., 2022). Revisões recentes também destacam que modelos híbridos e de </w:t>
      </w:r>
      <w:proofErr w:type="spellStart"/>
      <w:r w:rsidRPr="00771C71">
        <w:rPr>
          <w:rStyle w:val="nfase"/>
          <w:szCs w:val="24"/>
        </w:rPr>
        <w:t>deep</w:t>
      </w:r>
      <w:proofErr w:type="spellEnd"/>
      <w:r w:rsidRPr="00771C71">
        <w:rPr>
          <w:rStyle w:val="nfase"/>
          <w:szCs w:val="24"/>
        </w:rPr>
        <w:t xml:space="preserve"> learning</w:t>
      </w:r>
      <w:r w:rsidRPr="00771C71">
        <w:t xml:space="preserve"> podem exigir maior custo computacional e planejamento metodológico cuidadoso (GIANTSIDI; TARANTOLA, 2025). Diferenças nos dados, no pré-processamento e nas estratégias de validação dificultam a comparação entre resultados e aumentam o risco de </w:t>
      </w:r>
      <w:proofErr w:type="spellStart"/>
      <w:r w:rsidRPr="00771C71">
        <w:rPr>
          <w:rStyle w:val="nfase"/>
          <w:szCs w:val="24"/>
        </w:rPr>
        <w:t>overfitting</w:t>
      </w:r>
      <w:proofErr w:type="spellEnd"/>
      <w:r w:rsidRPr="00771C71">
        <w:t xml:space="preserve"> (GIANTSIDI; TARANTOLA, 2025). De modo complementar, López de Prado et al. (2025) apontam que o </w:t>
      </w:r>
      <w:proofErr w:type="spellStart"/>
      <w:r w:rsidRPr="00771C71">
        <w:rPr>
          <w:rStyle w:val="nfase"/>
          <w:szCs w:val="24"/>
        </w:rPr>
        <w:t>overfitting</w:t>
      </w:r>
      <w:proofErr w:type="spellEnd"/>
      <w:r w:rsidRPr="00771C71">
        <w:t xml:space="preserve"> permanece como desafio relevante em estratégias de portfólio baseadas em </w:t>
      </w:r>
      <w:r w:rsidRPr="00771C71">
        <w:rPr>
          <w:rStyle w:val="nfase"/>
          <w:szCs w:val="24"/>
        </w:rPr>
        <w:t>machine learning</w:t>
      </w:r>
      <w:r w:rsidRPr="00771C71">
        <w:t>, afetando a capacidade dos modelos de manter desempenho robusto em diferentes condições de mercado. Essa dificuldade de generalização também afeta a média-variância, pois carteiras otimizadas com bom desempenho histórico podem apresentar desempenho inferior em condições futuras de mercado (LÓPEZ DE PRADO et al., 2025).</w:t>
      </w:r>
    </w:p>
    <w:p w14:paraId="788020CE" w14:textId="77777777" w:rsidR="00FD1206" w:rsidRPr="00771C71" w:rsidRDefault="00FD1206" w:rsidP="00F42D8D">
      <w:pPr>
        <w:pStyle w:val="CORPO-CEFETABNT"/>
      </w:pPr>
      <w:r w:rsidRPr="00771C71">
        <w:t xml:space="preserve">Outro limite relevante é a </w:t>
      </w:r>
      <w:proofErr w:type="spellStart"/>
      <w:r w:rsidRPr="00771C71">
        <w:t>interpretabilidade</w:t>
      </w:r>
      <w:proofErr w:type="spellEnd"/>
      <w:r w:rsidRPr="00771C71">
        <w:t xml:space="preserve">. Embora a inteligência artificial amplie a capacidade de processar grandes volumes de dados financeiros e identificar padrões complexos, parte dos modelos de </w:t>
      </w:r>
      <w:r w:rsidRPr="00771C71">
        <w:rPr>
          <w:rStyle w:val="nfase"/>
          <w:szCs w:val="24"/>
        </w:rPr>
        <w:t>machine learning</w:t>
      </w:r>
      <w:r w:rsidRPr="00771C71">
        <w:t xml:space="preserve"> opera como “caixa-preta”, dificultando a compreensão das razões associadas às decisões de alocação (SUTIENE et al., 2024). </w:t>
      </w:r>
      <w:proofErr w:type="spellStart"/>
      <w:r w:rsidRPr="00771C71">
        <w:t>Giantsidi</w:t>
      </w:r>
      <w:proofErr w:type="spellEnd"/>
      <w:r w:rsidRPr="00771C71">
        <w:t xml:space="preserve"> e </w:t>
      </w:r>
      <w:proofErr w:type="spellStart"/>
      <w:r w:rsidRPr="00771C71">
        <w:t>Tarantola</w:t>
      </w:r>
      <w:proofErr w:type="spellEnd"/>
      <w:r w:rsidRPr="00771C71">
        <w:t xml:space="preserve"> (2025) também apontam que métodos de explicabilidade, como abordagens de XAI, ainda precisam ser associados a validações específicas do domínio financeiro. Assim, a literatura sugere que o avanço dos modelos aplicados a portfólios deve considerar não apenas arquiteturas mais complexas, mas também sistemas interpretáveis, adaptativos e compatíveis com as restrições práticas dos mercados reais (SUTIENE et al., 2024; GIANTSIDI; TARANTOLA, 2025).</w:t>
      </w:r>
    </w:p>
    <w:p w14:paraId="66777140" w14:textId="77777777" w:rsidR="00FD1206" w:rsidRPr="00771C71" w:rsidRDefault="00FD1206" w:rsidP="00F42D8D">
      <w:pPr>
        <w:pStyle w:val="CORPO-CEFETABNT"/>
      </w:pPr>
      <w:r w:rsidRPr="00771C71">
        <w:t xml:space="preserve">No caso dos criptoativos, a comparação entre os estudos evidencia uma lacuna específica. A literatura sobre média-variância em criptomoedas aponta potencial de diversificação, principalmente quando diferentes criptoativos são combinados entre si ou com ativos tradicionais (BRAUNEIS; MESTEL, 2019; JELESKOVIC et al., 2024). Ao mesmo tempo, os estudos indicam limitações importantes da aplicação direta de Markowitz nesse mercado, em razão da volatilidade elevada, da não normalidade dos retornos, da instabilidade das correlações e da dificuldade de estimar adequadamente a estrutura de dependência entre os ativos (BRAUNEIS; MESTEL, 2019; JELESKOVIC et al., 2024; ZOUAOUI; NAAS, 2025). Como parte relevante dos estudos híbridos </w:t>
      </w:r>
      <w:r w:rsidRPr="00771C71">
        <w:lastRenderedPageBreak/>
        <w:t>analisados se concentra em ações, índices ou mercados financeiros tradicionais, permanece espaço para investigar de forma mais específica modelos híbridos aplicados à diversificação de portfólios em criptoativos (CHAWEEWANCHON; CHAYSIRI, 2022; DU, 2022; ŚLUSARCZYK; ŚLEPACZUK, 2025; JIANG; OLMO; ATWI, 2024; JANG; SEONG, 2023).</w:t>
      </w:r>
    </w:p>
    <w:p w14:paraId="0F408C2E" w14:textId="77777777" w:rsidR="00FD1206" w:rsidRPr="00771C71" w:rsidRDefault="00FD1206" w:rsidP="00F42D8D">
      <w:pPr>
        <w:pStyle w:val="CORPO-CEFETABNT"/>
      </w:pPr>
      <w:r w:rsidRPr="00771C71">
        <w:t xml:space="preserve">Dessa forma, o presente anteprojeto se insere nessa lacuna ao examinar a combinação entre previsão por </w:t>
      </w:r>
      <w:r w:rsidRPr="00771C71">
        <w:rPr>
          <w:rStyle w:val="nfase"/>
          <w:szCs w:val="24"/>
        </w:rPr>
        <w:t>machine learning</w:t>
      </w:r>
      <w:r w:rsidRPr="00771C71">
        <w:t xml:space="preserve"> e otimização média-variância na construção de carteiras de criptoativos. Essa investigação deve considerar as limitações associadas à instabilidade do mercado cripto e à aplicação direta de Markowitz nesse contexto (BRAUNEIS; MESTEL, 2019; JELESKOVIC et al., 2024; ZOUAOUI; NAAS, 2025), aos custos de transação e à rotatividade da carteira em estratégias preditivas (CHEN et al., 2021; MA; HAN; WANG, 2021; WANG et al., 2020; PADHI et al., 2022), à sensibilidade a parâmetros e </w:t>
      </w:r>
      <w:proofErr w:type="spellStart"/>
      <w:r w:rsidRPr="00771C71">
        <w:t>hiperparâmetros</w:t>
      </w:r>
      <w:proofErr w:type="spellEnd"/>
      <w:r w:rsidRPr="00771C71">
        <w:t xml:space="preserve"> (ŚLUSARCZYK; ŚLEPACZUK, 2025), ao risco de </w:t>
      </w:r>
      <w:proofErr w:type="spellStart"/>
      <w:r w:rsidRPr="00771C71">
        <w:rPr>
          <w:rStyle w:val="nfase"/>
          <w:szCs w:val="24"/>
        </w:rPr>
        <w:t>overfitting</w:t>
      </w:r>
      <w:proofErr w:type="spellEnd"/>
      <w:r w:rsidRPr="00771C71">
        <w:t xml:space="preserve"> e à dificuldade de generalização (GIANTSIDI; TARANTOLA, 2025; LÓPEZ DE PRADO et al., 2025), bem como à baixa </w:t>
      </w:r>
      <w:proofErr w:type="spellStart"/>
      <w:r w:rsidRPr="00771C71">
        <w:t>interpretabilidade</w:t>
      </w:r>
      <w:proofErr w:type="spellEnd"/>
      <w:r w:rsidRPr="00771C71">
        <w:t xml:space="preserve"> de parte dos modelos de </w:t>
      </w:r>
      <w:r w:rsidRPr="00771C71">
        <w:rPr>
          <w:rStyle w:val="nfase"/>
          <w:szCs w:val="24"/>
        </w:rPr>
        <w:t>machine learning</w:t>
      </w:r>
      <w:r w:rsidRPr="00771C71">
        <w:t xml:space="preserve"> (SUTIENE et al., 2024; GIANTSIDI; TARANTOLA, 2025). Assim, a proposta mantém o foco na integração entre previsão algorítmica e diversificação matemática, direcionando essa discussão ao contexto específico dos criptoativos e à avaliação crítica de sua viabilidade em estratégias híbridas de portfólio.</w:t>
      </w:r>
    </w:p>
    <w:p w14:paraId="1B0D205A" w14:textId="77777777" w:rsidR="00535B14" w:rsidRPr="00771C71" w:rsidRDefault="00535B14" w:rsidP="00F42D8D">
      <w:pPr>
        <w:pStyle w:val="CORPO-CEFETABNT"/>
        <w:rPr>
          <w:u w:val="single"/>
        </w:rPr>
      </w:pPr>
    </w:p>
    <w:p w14:paraId="1B0D205B" w14:textId="77777777" w:rsidR="00535B14" w:rsidRPr="00771C71" w:rsidRDefault="00000000" w:rsidP="00771C71">
      <w:pPr>
        <w:spacing w:line="360" w:lineRule="auto"/>
        <w:rPr>
          <w:rFonts w:ascii="Arial" w:hAnsi="Arial" w:cs="Arial"/>
          <w:sz w:val="24"/>
          <w:szCs w:val="24"/>
        </w:rPr>
      </w:pPr>
      <w:r w:rsidRPr="00771C71">
        <w:rPr>
          <w:rFonts w:ascii="Arial" w:hAnsi="Arial" w:cs="Arial"/>
          <w:sz w:val="24"/>
          <w:szCs w:val="24"/>
        </w:rPr>
        <w:br w:type="page" w:clear="all"/>
      </w:r>
    </w:p>
    <w:p w14:paraId="1B0D205C" w14:textId="77777777" w:rsidR="00535B14" w:rsidRDefault="00535B14"/>
    <w:p w14:paraId="1B0D205D" w14:textId="77777777" w:rsidR="00535B14" w:rsidRDefault="00000000">
      <w:pPr>
        <w:pStyle w:val="Ttulo1"/>
        <w:numPr>
          <w:ilvl w:val="0"/>
          <w:numId w:val="1"/>
        </w:numPr>
      </w:pPr>
      <w:bookmarkStart w:id="20" w:name="_heading=h.y8xpvqvcccjm"/>
      <w:bookmarkStart w:id="21" w:name="_Toc8"/>
      <w:bookmarkEnd w:id="20"/>
      <w:r>
        <w:t>METODOLOGIA</w:t>
      </w:r>
      <w:bookmarkEnd w:id="21"/>
    </w:p>
    <w:p w14:paraId="1B0D205E" w14:textId="77777777" w:rsidR="00535B14" w:rsidRDefault="00000000">
      <w:pPr>
        <w:spacing w:after="0" w:line="360" w:lineRule="auto"/>
        <w:ind w:firstLine="708"/>
        <w:jc w:val="both"/>
        <w:rPr>
          <w:rFonts w:ascii="Arial" w:eastAsia="Arial" w:hAnsi="Arial" w:cs="Arial"/>
          <w:sz w:val="24"/>
          <w:szCs w:val="24"/>
        </w:rPr>
      </w:pPr>
      <w:r>
        <w:rPr>
          <w:rFonts w:ascii="Arial" w:eastAsia="Arial" w:hAnsi="Arial" w:cs="Arial"/>
          <w:sz w:val="24"/>
          <w:szCs w:val="24"/>
        </w:rPr>
        <w:t xml:space="preserve">A presente pesquisa classifica-se, quanto à sua natureza, como aplicada. Seu foco transcende a ampliação do conhecimento teórico, buscando utilizar tal embasamento para solucionar problemas concretos e satisfazer necessidades específicas, em consonância com a definição de Gil (2010), que destaca a geração de conhecimentos dirigidos à aplicação prática e interesses locais. </w:t>
      </w:r>
    </w:p>
    <w:p w14:paraId="1B0D205F" w14:textId="77777777" w:rsidR="00535B14" w:rsidRDefault="00000000">
      <w:pPr>
        <w:spacing w:after="0" w:line="360" w:lineRule="auto"/>
        <w:ind w:firstLine="708"/>
        <w:jc w:val="both"/>
        <w:rPr>
          <w:rFonts w:ascii="Arial" w:eastAsia="Arial" w:hAnsi="Arial" w:cs="Arial"/>
          <w:sz w:val="24"/>
          <w:szCs w:val="24"/>
        </w:rPr>
      </w:pPr>
      <w:r>
        <w:rPr>
          <w:rFonts w:ascii="Arial" w:eastAsia="Arial" w:hAnsi="Arial" w:cs="Arial"/>
          <w:sz w:val="24"/>
          <w:szCs w:val="24"/>
        </w:rPr>
        <w:t>Do ponto de vista da abordagem, o estudo é quantitativo, priorizando a objetividade e a tradução de informações em números. Conforme Richardson (1999), essa metodologia garante a precisão dos dados e valida as hipóteses através de técnicas estatísticas, abrangendo desde a coleta até o tratamento complexo das informações.</w:t>
      </w:r>
    </w:p>
    <w:p w14:paraId="1B0D2060" w14:textId="77777777" w:rsidR="00535B14" w:rsidRDefault="00000000">
      <w:pPr>
        <w:spacing w:after="0" w:line="360" w:lineRule="auto"/>
        <w:ind w:firstLine="708"/>
        <w:jc w:val="both"/>
        <w:rPr>
          <w:rFonts w:ascii="Arial" w:eastAsia="Arial" w:hAnsi="Arial" w:cs="Arial"/>
          <w:sz w:val="24"/>
          <w:szCs w:val="24"/>
        </w:rPr>
      </w:pPr>
      <w:r>
        <w:rPr>
          <w:rFonts w:ascii="Arial" w:eastAsia="Arial" w:hAnsi="Arial" w:cs="Arial"/>
          <w:sz w:val="24"/>
          <w:szCs w:val="24"/>
        </w:rPr>
        <w:t xml:space="preserve">Em relação aos objetivos, a investigação define-se como descritiva. Ao propor analisar e comparar o desempenho de carteiras — contrapondo o uso de </w:t>
      </w:r>
      <w:r w:rsidRPr="000D5610">
        <w:rPr>
          <w:rFonts w:ascii="Arial" w:eastAsia="Arial" w:hAnsi="Arial" w:cs="Arial"/>
          <w:i/>
          <w:iCs/>
          <w:sz w:val="24"/>
          <w:szCs w:val="24"/>
        </w:rPr>
        <w:t xml:space="preserve">Machine Learning </w:t>
      </w:r>
      <w:r>
        <w:rPr>
          <w:rFonts w:ascii="Arial" w:eastAsia="Arial" w:hAnsi="Arial" w:cs="Arial"/>
          <w:sz w:val="24"/>
          <w:szCs w:val="24"/>
        </w:rPr>
        <w:t xml:space="preserve">a modelos tradicionais —, o estudo visa descrever características do fenômeno e estabelecer relações entre variáveis. Essa classificação fundamenta-se em Gil (2002), para quem a pesquisa descritiva tem como foco principal a correlação de variáveis sem necessariamente aprofundar-se nas causas primárias. </w:t>
      </w:r>
    </w:p>
    <w:p w14:paraId="1B0D2061" w14:textId="77777777" w:rsidR="00535B14" w:rsidRDefault="00000000">
      <w:pPr>
        <w:spacing w:after="0" w:line="360" w:lineRule="auto"/>
        <w:ind w:firstLine="708"/>
        <w:jc w:val="both"/>
        <w:rPr>
          <w:rFonts w:ascii="Arial" w:eastAsia="Arial" w:hAnsi="Arial" w:cs="Arial"/>
          <w:sz w:val="24"/>
          <w:szCs w:val="24"/>
        </w:rPr>
      </w:pPr>
      <w:r>
        <w:rPr>
          <w:rFonts w:ascii="Arial" w:eastAsia="Arial" w:hAnsi="Arial" w:cs="Arial"/>
          <w:sz w:val="24"/>
          <w:szCs w:val="24"/>
        </w:rPr>
        <w:t>Quanto aos procedimentos técnicos, o trabalho assume caráter experimental, pois envolve a manipulação direta dos modelos de investimento para analisar os efeitos produzidos (retorno e risco) sob condições controladas, satisfazendo os critérios de manipulação e controle de variáveis descritos por Gil (2010).</w:t>
      </w:r>
    </w:p>
    <w:p w14:paraId="1B0D2062" w14:textId="77777777" w:rsidR="00535B14" w:rsidRDefault="00000000">
      <w:pPr>
        <w:spacing w:after="0" w:line="360" w:lineRule="auto"/>
        <w:ind w:firstLine="708"/>
        <w:jc w:val="both"/>
        <w:rPr>
          <w:rFonts w:ascii="Arial" w:eastAsia="Arial" w:hAnsi="Arial" w:cs="Arial"/>
          <w:sz w:val="24"/>
          <w:szCs w:val="24"/>
        </w:rPr>
      </w:pPr>
      <w:r>
        <w:rPr>
          <w:rFonts w:ascii="Arial" w:eastAsia="Arial" w:hAnsi="Arial" w:cs="Arial"/>
          <w:sz w:val="24"/>
          <w:szCs w:val="24"/>
        </w:rPr>
        <w:t xml:space="preserve">A operacionalização da pesquisa dar-se-á pela coleta de dados oriundos de múltiplas fontes, incluindo dados primários extraídos via APIs das corretoras </w:t>
      </w:r>
      <w:proofErr w:type="spellStart"/>
      <w:r>
        <w:rPr>
          <w:rFonts w:ascii="Arial" w:eastAsia="Arial" w:hAnsi="Arial" w:cs="Arial"/>
          <w:sz w:val="24"/>
          <w:szCs w:val="24"/>
        </w:rPr>
        <w:t>Binance</w:t>
      </w:r>
      <w:proofErr w:type="spellEnd"/>
      <w:r>
        <w:rPr>
          <w:rFonts w:ascii="Arial" w:eastAsia="Arial" w:hAnsi="Arial" w:cs="Arial"/>
          <w:sz w:val="24"/>
          <w:szCs w:val="24"/>
        </w:rPr>
        <w:t xml:space="preserve"> e </w:t>
      </w:r>
      <w:proofErr w:type="spellStart"/>
      <w:r>
        <w:rPr>
          <w:rFonts w:ascii="Arial" w:eastAsia="Arial" w:hAnsi="Arial" w:cs="Arial"/>
          <w:sz w:val="24"/>
          <w:szCs w:val="24"/>
        </w:rPr>
        <w:t>Kraken</w:t>
      </w:r>
      <w:proofErr w:type="spellEnd"/>
      <w:r>
        <w:rPr>
          <w:rFonts w:ascii="Arial" w:eastAsia="Arial" w:hAnsi="Arial" w:cs="Arial"/>
          <w:sz w:val="24"/>
          <w:szCs w:val="24"/>
        </w:rPr>
        <w:t xml:space="preserve">, e dados secundários obtidos no banco de dados </w:t>
      </w:r>
      <w:proofErr w:type="spellStart"/>
      <w:r w:rsidRPr="000D5610">
        <w:rPr>
          <w:rFonts w:ascii="Arial" w:eastAsia="Arial" w:hAnsi="Arial" w:cs="Arial"/>
          <w:i/>
          <w:iCs/>
          <w:sz w:val="24"/>
          <w:szCs w:val="24"/>
        </w:rPr>
        <w:t>Kaggle</w:t>
      </w:r>
      <w:proofErr w:type="spellEnd"/>
      <w:r>
        <w:rPr>
          <w:rFonts w:ascii="Arial" w:eastAsia="Arial" w:hAnsi="Arial" w:cs="Arial"/>
          <w:sz w:val="24"/>
          <w:szCs w:val="24"/>
        </w:rPr>
        <w:t xml:space="preserve">. A análise comparará duas vertentes: a estratégia alvo (método </w:t>
      </w:r>
      <w:proofErr w:type="spellStart"/>
      <w:r w:rsidRPr="000D5610">
        <w:rPr>
          <w:rFonts w:ascii="Arial" w:eastAsia="Arial" w:hAnsi="Arial" w:cs="Arial"/>
          <w:i/>
          <w:iCs/>
          <w:sz w:val="24"/>
          <w:szCs w:val="24"/>
        </w:rPr>
        <w:t>Adaboost</w:t>
      </w:r>
      <w:r>
        <w:rPr>
          <w:rFonts w:ascii="Arial" w:eastAsia="Arial" w:hAnsi="Arial" w:cs="Arial"/>
          <w:sz w:val="24"/>
          <w:szCs w:val="24"/>
        </w:rPr>
        <w:t>+MV</w:t>
      </w:r>
      <w:proofErr w:type="spellEnd"/>
      <w:r>
        <w:rPr>
          <w:rFonts w:ascii="Arial" w:eastAsia="Arial" w:hAnsi="Arial" w:cs="Arial"/>
          <w:sz w:val="24"/>
          <w:szCs w:val="24"/>
        </w:rPr>
        <w:t xml:space="preserve">) e uma </w:t>
      </w:r>
      <w:r>
        <w:rPr>
          <w:rFonts w:ascii="Arial" w:eastAsia="Arial" w:hAnsi="Arial" w:cs="Arial"/>
          <w:i/>
          <w:iCs/>
          <w:sz w:val="24"/>
          <w:szCs w:val="24"/>
        </w:rPr>
        <w:t xml:space="preserve">Base </w:t>
      </w:r>
      <w:proofErr w:type="spellStart"/>
      <w:r>
        <w:rPr>
          <w:rFonts w:ascii="Arial" w:eastAsia="Arial" w:hAnsi="Arial" w:cs="Arial"/>
          <w:i/>
          <w:iCs/>
          <w:sz w:val="24"/>
          <w:szCs w:val="24"/>
        </w:rPr>
        <w:t>Line</w:t>
      </w:r>
      <w:proofErr w:type="spellEnd"/>
      <w:r>
        <w:rPr>
          <w:rFonts w:ascii="Arial" w:eastAsia="Arial" w:hAnsi="Arial" w:cs="Arial"/>
          <w:i/>
          <w:iCs/>
          <w:sz w:val="24"/>
          <w:szCs w:val="24"/>
        </w:rPr>
        <w:t>,</w:t>
      </w:r>
      <w:r>
        <w:rPr>
          <w:rFonts w:ascii="Arial" w:eastAsia="Arial" w:hAnsi="Arial" w:cs="Arial"/>
          <w:sz w:val="24"/>
          <w:szCs w:val="24"/>
        </w:rPr>
        <w:t xml:space="preserve"> ou referência (estratégia 1/N, que pressupõe divisão igualitária entre ativos), para verificar se o modelo proposto supera a média de mercado. O treinamento do modelo de aprendizado de máquina ocorrerá com dados </w:t>
      </w:r>
      <w:proofErr w:type="spellStart"/>
      <w:r>
        <w:rPr>
          <w:rFonts w:ascii="Arial" w:eastAsia="Arial" w:hAnsi="Arial" w:cs="Arial"/>
          <w:i/>
          <w:iCs/>
          <w:sz w:val="24"/>
          <w:szCs w:val="24"/>
        </w:rPr>
        <w:t>in-sample</w:t>
      </w:r>
      <w:proofErr w:type="spellEnd"/>
      <w:r>
        <w:rPr>
          <w:rFonts w:ascii="Arial" w:eastAsia="Arial" w:hAnsi="Arial" w:cs="Arial"/>
          <w:sz w:val="24"/>
          <w:szCs w:val="24"/>
        </w:rPr>
        <w:t xml:space="preserve">, ou seja, dados usados para treinar o modelo, em período t a t+1. Sendo a avaliação de desempenho realizada com dados </w:t>
      </w:r>
      <w:r>
        <w:rPr>
          <w:rFonts w:ascii="Arial" w:eastAsia="Arial" w:hAnsi="Arial" w:cs="Arial"/>
          <w:i/>
          <w:iCs/>
          <w:sz w:val="24"/>
          <w:szCs w:val="24"/>
        </w:rPr>
        <w:t xml:space="preserve">out-sample, </w:t>
      </w:r>
      <w:r>
        <w:rPr>
          <w:rFonts w:ascii="Arial" w:eastAsia="Arial" w:hAnsi="Arial" w:cs="Arial"/>
          <w:sz w:val="24"/>
          <w:szCs w:val="24"/>
        </w:rPr>
        <w:t xml:space="preserve">ou seja, dados </w:t>
      </w:r>
      <w:r>
        <w:rPr>
          <w:rFonts w:ascii="Arial" w:eastAsia="Arial" w:hAnsi="Arial" w:cs="Arial"/>
          <w:sz w:val="24"/>
          <w:szCs w:val="24"/>
        </w:rPr>
        <w:lastRenderedPageBreak/>
        <w:t>não utilizados no treinamento do modelo (t+2...</w:t>
      </w:r>
      <w:proofErr w:type="spellStart"/>
      <w:r>
        <w:rPr>
          <w:rFonts w:ascii="Arial" w:eastAsia="Arial" w:hAnsi="Arial" w:cs="Arial"/>
          <w:sz w:val="24"/>
          <w:szCs w:val="24"/>
        </w:rPr>
        <w:t>t+n</w:t>
      </w:r>
      <w:proofErr w:type="spellEnd"/>
      <w:r>
        <w:rPr>
          <w:rFonts w:ascii="Arial" w:eastAsia="Arial" w:hAnsi="Arial" w:cs="Arial"/>
          <w:sz w:val="24"/>
          <w:szCs w:val="24"/>
        </w:rPr>
        <w:t>), garantindo a verificação do aprendizado fora da amostra de treino.</w:t>
      </w:r>
    </w:p>
    <w:p w14:paraId="1B0D2063" w14:textId="77777777" w:rsidR="00535B14" w:rsidRDefault="00000000">
      <w:pPr>
        <w:rPr>
          <w:rFonts w:ascii="Arial" w:eastAsia="Arial" w:hAnsi="Arial" w:cs="Arial"/>
          <w:sz w:val="24"/>
          <w:szCs w:val="24"/>
        </w:rPr>
      </w:pPr>
      <w:r>
        <w:rPr>
          <w:rFonts w:ascii="Arial" w:eastAsia="Arial" w:hAnsi="Arial" w:cs="Arial"/>
          <w:sz w:val="24"/>
          <w:szCs w:val="24"/>
        </w:rPr>
        <w:br w:type="page" w:clear="all"/>
      </w:r>
    </w:p>
    <w:p w14:paraId="1B0D2064" w14:textId="77777777" w:rsidR="00535B14" w:rsidRDefault="00000000">
      <w:pPr>
        <w:pStyle w:val="Ttulo1"/>
        <w:numPr>
          <w:ilvl w:val="0"/>
          <w:numId w:val="1"/>
        </w:numPr>
      </w:pPr>
      <w:bookmarkStart w:id="22" w:name="_heading=h.8wf2tjvsy5ob"/>
      <w:bookmarkStart w:id="23" w:name="_Toc9"/>
      <w:bookmarkEnd w:id="22"/>
      <w:r>
        <w:lastRenderedPageBreak/>
        <w:t>CRONOGRAMA</w:t>
      </w:r>
      <w:bookmarkEnd w:id="23"/>
    </w:p>
    <w:p w14:paraId="1B0D2065" w14:textId="77777777" w:rsidR="00535B14" w:rsidRDefault="00000000">
      <w:pPr>
        <w:pStyle w:val="Ttulo1"/>
        <w:spacing w:before="280" w:after="0"/>
        <w:rPr>
          <w:b w:val="0"/>
          <w:bCs w:val="0"/>
        </w:rPr>
      </w:pPr>
      <w:bookmarkStart w:id="24" w:name="_Toc10"/>
      <w:r>
        <w:rPr>
          <w:b w:val="0"/>
          <w:bCs w:val="0"/>
        </w:rPr>
        <w:t>Quadro 1 — Cronograma</w:t>
      </w:r>
      <w:bookmarkEnd w:id="24"/>
    </w:p>
    <w:p w14:paraId="2C7D8470" w14:textId="77777777" w:rsidR="00ED3D99" w:rsidRDefault="00ED3D99" w:rsidP="00ED3D99">
      <w:pPr>
        <w:ind w:left="-567"/>
        <w:jc w:val="center"/>
      </w:pPr>
      <w:r w:rsidRPr="00ED3D99">
        <w:drawing>
          <wp:inline distT="0" distB="0" distL="0" distR="0" wp14:anchorId="26E0F607" wp14:editId="439380B9">
            <wp:extent cx="6130541" cy="1906172"/>
            <wp:effectExtent l="0" t="0" r="3810" b="0"/>
            <wp:docPr id="20898191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19170" name=""/>
                    <pic:cNvPicPr/>
                  </pic:nvPicPr>
                  <pic:blipFill>
                    <a:blip r:embed="rId10"/>
                    <a:stretch>
                      <a:fillRect/>
                    </a:stretch>
                  </pic:blipFill>
                  <pic:spPr>
                    <a:xfrm>
                      <a:off x="0" y="0"/>
                      <a:ext cx="6296702" cy="1957837"/>
                    </a:xfrm>
                    <a:prstGeom prst="rect">
                      <a:avLst/>
                    </a:prstGeom>
                  </pic:spPr>
                </pic:pic>
              </a:graphicData>
            </a:graphic>
          </wp:inline>
        </w:drawing>
      </w:r>
    </w:p>
    <w:p w14:paraId="1B0D2103" w14:textId="03BAB34F" w:rsidR="00535B14" w:rsidRPr="00ED3D99" w:rsidRDefault="00000000">
      <w:pPr>
        <w:rPr>
          <w:rFonts w:ascii="Arial" w:eastAsia="Arial" w:hAnsi="Arial" w:cs="Arial"/>
          <w:b/>
          <w:bCs/>
          <w:sz w:val="24"/>
          <w:szCs w:val="24"/>
          <w:u w:val="single"/>
        </w:rPr>
      </w:pPr>
      <w:r>
        <w:br w:type="page" w:clear="all"/>
      </w:r>
    </w:p>
    <w:p w14:paraId="1B0D2104" w14:textId="77777777" w:rsidR="00535B14" w:rsidRDefault="00000000">
      <w:pPr>
        <w:pStyle w:val="Ttulo1"/>
        <w:jc w:val="center"/>
      </w:pPr>
      <w:bookmarkStart w:id="25" w:name="_heading=h.jiebc77kvtqk"/>
      <w:bookmarkStart w:id="26" w:name="_Toc11"/>
      <w:bookmarkEnd w:id="25"/>
      <w:r>
        <w:lastRenderedPageBreak/>
        <w:t>REFERÊNCIAS</w:t>
      </w:r>
      <w:bookmarkEnd w:id="26"/>
    </w:p>
    <w:p w14:paraId="1B0D2105" w14:textId="77777777" w:rsidR="00535B14" w:rsidRPr="00FF07F5"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t xml:space="preserve">ADIL, Mohd; SINGH, Yogita; ANSARI, Mohd. Shamim. How </w:t>
      </w:r>
      <w:proofErr w:type="gramStart"/>
      <w:r w:rsidRPr="00FF07F5">
        <w:rPr>
          <w:rFonts w:ascii="Arial" w:eastAsia="Arial" w:hAnsi="Arial" w:cs="Arial"/>
          <w:sz w:val="24"/>
          <w:szCs w:val="24"/>
          <w:lang w:val="en-US"/>
        </w:rPr>
        <w:t>financial</w:t>
      </w:r>
      <w:proofErr w:type="gramEnd"/>
      <w:r w:rsidRPr="00FF07F5">
        <w:rPr>
          <w:rFonts w:ascii="Arial" w:eastAsia="Arial" w:hAnsi="Arial" w:cs="Arial"/>
          <w:sz w:val="24"/>
          <w:szCs w:val="24"/>
          <w:lang w:val="en-US"/>
        </w:rPr>
        <w:t xml:space="preserve"> literacy moderate the association between </w:t>
      </w:r>
      <w:proofErr w:type="spellStart"/>
      <w:r w:rsidRPr="00FF07F5">
        <w:rPr>
          <w:rFonts w:ascii="Arial" w:eastAsia="Arial" w:hAnsi="Arial" w:cs="Arial"/>
          <w:sz w:val="24"/>
          <w:szCs w:val="24"/>
          <w:lang w:val="en-US"/>
        </w:rPr>
        <w:t>behaviour</w:t>
      </w:r>
      <w:proofErr w:type="spellEnd"/>
      <w:r w:rsidRPr="00FF07F5">
        <w:rPr>
          <w:rFonts w:ascii="Arial" w:eastAsia="Arial" w:hAnsi="Arial" w:cs="Arial"/>
          <w:sz w:val="24"/>
          <w:szCs w:val="24"/>
          <w:lang w:val="en-US"/>
        </w:rPr>
        <w:t xml:space="preserve"> biases and investment </w:t>
      </w:r>
      <w:proofErr w:type="gramStart"/>
      <w:r w:rsidRPr="00FF07F5">
        <w:rPr>
          <w:rFonts w:ascii="Arial" w:eastAsia="Arial" w:hAnsi="Arial" w:cs="Arial"/>
          <w:sz w:val="24"/>
          <w:szCs w:val="24"/>
          <w:lang w:val="en-US"/>
        </w:rPr>
        <w:t>decision?.</w:t>
      </w:r>
      <w:proofErr w:type="gramEnd"/>
      <w:r w:rsidRPr="00FF07F5">
        <w:rPr>
          <w:rFonts w:ascii="Arial" w:eastAsia="Arial" w:hAnsi="Arial" w:cs="Arial"/>
          <w:sz w:val="24"/>
          <w:szCs w:val="24"/>
          <w:lang w:val="en-US"/>
        </w:rPr>
        <w:t xml:space="preserve"> Asian Journal of Accounting Research, v. 7, n. 1, p. 17-30, 2022.</w:t>
      </w:r>
    </w:p>
    <w:p w14:paraId="1B0D2106" w14:textId="77777777" w:rsidR="00535B14" w:rsidRPr="00FF07F5" w:rsidRDefault="00535B14">
      <w:pPr>
        <w:spacing w:line="278" w:lineRule="auto"/>
        <w:rPr>
          <w:rFonts w:ascii="Arial" w:eastAsia="Arial" w:hAnsi="Arial" w:cs="Arial"/>
          <w:sz w:val="24"/>
          <w:szCs w:val="24"/>
          <w:lang w:val="en-US"/>
        </w:rPr>
      </w:pPr>
    </w:p>
    <w:p w14:paraId="1B0D2107"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F07F5">
        <w:rPr>
          <w:rFonts w:ascii="Arial" w:eastAsia="Arial" w:hAnsi="Arial" w:cs="Arial"/>
          <w:sz w:val="24"/>
          <w:szCs w:val="24"/>
          <w:lang w:val="en-US"/>
        </w:rPr>
        <w:t>AHMED, Walid M. A. Is there a risk-return trade-off in cryptocurrency markets? The case of Bitcoin. Journal of Economics and Business, [S. l.], v. 108, p. 105886, 2020.</w:t>
      </w:r>
    </w:p>
    <w:p w14:paraId="1B0D2108" w14:textId="77777777" w:rsidR="00535B14" w:rsidRPr="00FF07F5"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09"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Cs w:val="24"/>
          <w:lang w:val="en-US"/>
        </w:rPr>
      </w:pPr>
      <w:r w:rsidRPr="00FF07F5">
        <w:rPr>
          <w:rFonts w:ascii="Arial" w:eastAsia="Arial" w:hAnsi="Arial" w:cs="Arial"/>
          <w:sz w:val="24"/>
          <w:szCs w:val="24"/>
          <w:lang w:val="en-US"/>
        </w:rPr>
        <w:t>AL-MANSOUR, Bashar Yaser; ELKRGHLI, Sabri; ALMANSOUR, Ammar Yaser. Behavioral finance factors and investment decisions: A mediating role of risk perception. Cogent Economics &amp; Finance, [S. l.], v. 11, n. 2, p. 1-20, 2023.</w:t>
      </w:r>
    </w:p>
    <w:p w14:paraId="1B0D210A" w14:textId="77777777" w:rsidR="00535B14" w:rsidRPr="00FF07F5" w:rsidRDefault="00535B14">
      <w:pPr>
        <w:spacing w:line="278" w:lineRule="auto"/>
        <w:rPr>
          <w:rFonts w:ascii="Arial" w:eastAsia="Arial" w:hAnsi="Arial" w:cs="Arial"/>
          <w:sz w:val="24"/>
          <w:szCs w:val="24"/>
          <w:lang w:val="en-US"/>
        </w:rPr>
      </w:pPr>
    </w:p>
    <w:p w14:paraId="1B0D210B" w14:textId="77777777" w:rsidR="00535B14" w:rsidRPr="00FF07F5"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t xml:space="preserve">ALZUBAIDI, Laith et al. Review of deep learning: concepts, CNN architectures, challenges, applications, future directions. Journal of Big Data, v. 8, art. 53, mar. 2021. DOI: </w:t>
      </w:r>
      <w:hyperlink r:id="rId11" w:tooltip="https://doi.org/10.1186/s40537-021-00444-8" w:history="1">
        <w:r w:rsidR="00535B14" w:rsidRPr="00FF07F5">
          <w:rPr>
            <w:rFonts w:ascii="Arial" w:eastAsia="Arial" w:hAnsi="Arial" w:cs="Arial"/>
            <w:sz w:val="24"/>
            <w:szCs w:val="24"/>
            <w:lang w:val="en-US"/>
          </w:rPr>
          <w:t>https://doi.org/10.1186/s40537-021-00444-8</w:t>
        </w:r>
      </w:hyperlink>
      <w:r w:rsidRPr="00FF07F5">
        <w:rPr>
          <w:rFonts w:ascii="Arial" w:eastAsia="Arial" w:hAnsi="Arial" w:cs="Arial"/>
          <w:sz w:val="24"/>
          <w:szCs w:val="24"/>
          <w:lang w:val="en-US"/>
        </w:rPr>
        <w:t>.</w:t>
      </w:r>
    </w:p>
    <w:p w14:paraId="1B0D210C" w14:textId="77777777" w:rsidR="00535B14" w:rsidRPr="00FF07F5" w:rsidRDefault="00535B14">
      <w:pPr>
        <w:spacing w:line="278" w:lineRule="auto"/>
        <w:rPr>
          <w:rFonts w:ascii="Arial" w:eastAsia="Arial" w:hAnsi="Arial" w:cs="Arial"/>
          <w:sz w:val="24"/>
          <w:szCs w:val="24"/>
          <w:lang w:val="en-US"/>
        </w:rPr>
      </w:pPr>
    </w:p>
    <w:p w14:paraId="1B0D210D" w14:textId="77777777" w:rsidR="00535B14" w:rsidRPr="00FF07F5"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t>AQUART, Patrick; KÖPKE, Sven; WEINHARDT, Christof. Machine learning for cryptocurrency market prediction and trading. The Journal of Finance and Data Science, v. 8, p. 331–352, 2022.</w:t>
      </w:r>
    </w:p>
    <w:p w14:paraId="1B0D210E" w14:textId="77777777" w:rsidR="00535B14" w:rsidRPr="00FF07F5" w:rsidRDefault="00535B14">
      <w:pPr>
        <w:spacing w:line="278" w:lineRule="auto"/>
        <w:rPr>
          <w:rFonts w:ascii="Arial" w:eastAsia="Arial" w:hAnsi="Arial" w:cs="Arial"/>
          <w:sz w:val="24"/>
          <w:szCs w:val="24"/>
          <w:lang w:val="en-US"/>
        </w:rPr>
      </w:pPr>
    </w:p>
    <w:p w14:paraId="1B0D210F"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F07F5">
        <w:rPr>
          <w:rFonts w:ascii="Arial" w:eastAsia="Arial" w:hAnsi="Arial" w:cs="Arial"/>
          <w:sz w:val="24"/>
          <w:szCs w:val="24"/>
          <w:lang w:val="en-US"/>
        </w:rPr>
        <w:t>BABAEI, G.; GIUDICI, P.; RAFFINETTI, E. Explainable artificial intelligence for crypto asset allocation. Finance Research Letters, v. 47, 102941, 2022.</w:t>
      </w:r>
    </w:p>
    <w:p w14:paraId="1B0D2110" w14:textId="77777777" w:rsidR="00535B14" w:rsidRPr="00FF07F5"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11"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F07F5">
        <w:rPr>
          <w:rFonts w:ascii="Arial" w:eastAsia="Arial" w:hAnsi="Arial" w:cs="Arial"/>
          <w:sz w:val="24"/>
          <w:szCs w:val="24"/>
          <w:lang w:val="en-US"/>
        </w:rPr>
        <w:t>BALLIS, A.; DRAKOS, K. Testing for herding in the cryptocurrency market. Finance Research Letters, v. 33, 101210, 2020.</w:t>
      </w:r>
    </w:p>
    <w:p w14:paraId="1B0D2112" w14:textId="77777777" w:rsidR="00535B14" w:rsidRPr="00FF07F5"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13" w14:textId="77777777" w:rsidR="00535B14"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F07F5">
        <w:rPr>
          <w:rFonts w:ascii="Arial" w:eastAsia="Arial" w:hAnsi="Arial" w:cs="Arial"/>
          <w:sz w:val="24"/>
          <w:szCs w:val="24"/>
          <w:lang w:val="en-US"/>
        </w:rPr>
        <w:t xml:space="preserve">BAUR, D. G.; HOANG, L. T. A crypto </w:t>
      </w:r>
      <w:proofErr w:type="gramStart"/>
      <w:r w:rsidRPr="00FF07F5">
        <w:rPr>
          <w:rFonts w:ascii="Arial" w:eastAsia="Arial" w:hAnsi="Arial" w:cs="Arial"/>
          <w:sz w:val="24"/>
          <w:szCs w:val="24"/>
          <w:lang w:val="en-US"/>
        </w:rPr>
        <w:t>safe haven</w:t>
      </w:r>
      <w:proofErr w:type="gramEnd"/>
      <w:r w:rsidRPr="00FF07F5">
        <w:rPr>
          <w:rFonts w:ascii="Arial" w:eastAsia="Arial" w:hAnsi="Arial" w:cs="Arial"/>
          <w:sz w:val="24"/>
          <w:szCs w:val="24"/>
          <w:lang w:val="en-US"/>
        </w:rPr>
        <w:t xml:space="preserve"> against Bitcoin. Finance Research Letters, v. 38, 101431, 2021.</w:t>
      </w:r>
    </w:p>
    <w:p w14:paraId="498EC9D5" w14:textId="77777777" w:rsidR="00F66FCA" w:rsidRPr="00FF07F5" w:rsidRDefault="00F66FCA">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14" w14:textId="30142151" w:rsidR="00535B14" w:rsidRDefault="00F66FCA">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rPr>
      </w:pPr>
      <w:r w:rsidRPr="00F66FCA">
        <w:rPr>
          <w:rFonts w:ascii="Arial" w:eastAsia="Arial" w:hAnsi="Arial" w:cs="Arial"/>
          <w:sz w:val="24"/>
          <w:szCs w:val="24"/>
          <w:lang w:val="en-US"/>
        </w:rPr>
        <w:t xml:space="preserve">BAKRY, Walid et al. Bitcoin and Portfolio Diversification: A Portfolio Optimization Approach. </w:t>
      </w:r>
      <w:proofErr w:type="spellStart"/>
      <w:r w:rsidRPr="00F66FCA">
        <w:rPr>
          <w:rFonts w:ascii="Arial" w:eastAsia="Arial" w:hAnsi="Arial" w:cs="Arial"/>
          <w:sz w:val="24"/>
          <w:szCs w:val="24"/>
        </w:rPr>
        <w:t>Journal</w:t>
      </w:r>
      <w:proofErr w:type="spellEnd"/>
      <w:r w:rsidRPr="00F66FCA">
        <w:rPr>
          <w:rFonts w:ascii="Arial" w:eastAsia="Arial" w:hAnsi="Arial" w:cs="Arial"/>
          <w:sz w:val="24"/>
          <w:szCs w:val="24"/>
        </w:rPr>
        <w:t xml:space="preserve"> </w:t>
      </w:r>
      <w:proofErr w:type="spellStart"/>
      <w:r w:rsidRPr="00F66FCA">
        <w:rPr>
          <w:rFonts w:ascii="Arial" w:eastAsia="Arial" w:hAnsi="Arial" w:cs="Arial"/>
          <w:sz w:val="24"/>
          <w:szCs w:val="24"/>
        </w:rPr>
        <w:t>of</w:t>
      </w:r>
      <w:proofErr w:type="spellEnd"/>
      <w:r w:rsidRPr="00F66FCA">
        <w:rPr>
          <w:rFonts w:ascii="Arial" w:eastAsia="Arial" w:hAnsi="Arial" w:cs="Arial"/>
          <w:sz w:val="24"/>
          <w:szCs w:val="24"/>
        </w:rPr>
        <w:t xml:space="preserve"> Risk </w:t>
      </w:r>
      <w:proofErr w:type="spellStart"/>
      <w:r w:rsidRPr="00F66FCA">
        <w:rPr>
          <w:rFonts w:ascii="Arial" w:eastAsia="Arial" w:hAnsi="Arial" w:cs="Arial"/>
          <w:sz w:val="24"/>
          <w:szCs w:val="24"/>
        </w:rPr>
        <w:t>and</w:t>
      </w:r>
      <w:proofErr w:type="spellEnd"/>
      <w:r w:rsidRPr="00F66FCA">
        <w:rPr>
          <w:rFonts w:ascii="Arial" w:eastAsia="Arial" w:hAnsi="Arial" w:cs="Arial"/>
          <w:sz w:val="24"/>
          <w:szCs w:val="24"/>
        </w:rPr>
        <w:t xml:space="preserve"> Financial Management, v. 14, art. 282, 2021.</w:t>
      </w:r>
    </w:p>
    <w:p w14:paraId="448FFB90" w14:textId="77777777" w:rsidR="00F66FCA" w:rsidRPr="00FF07F5" w:rsidRDefault="00F66FCA">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15"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F07F5">
        <w:rPr>
          <w:rFonts w:ascii="Arial" w:eastAsia="Arial" w:hAnsi="Arial" w:cs="Arial"/>
          <w:sz w:val="24"/>
          <w:szCs w:val="24"/>
          <w:lang w:val="en-US"/>
        </w:rPr>
        <w:lastRenderedPageBreak/>
        <w:t>BRAUNEIS, A.; MESTEL, R. Cryptocurrency-portfolios in a mean-variance framework. Finance Research Letters, v. 28, p. 259-264, 2019.</w:t>
      </w:r>
    </w:p>
    <w:p w14:paraId="1B0D2116" w14:textId="77777777" w:rsidR="00535B14" w:rsidRPr="00FF07F5"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17" w14:textId="77777777" w:rsidR="00535B14" w:rsidRPr="00FF07F5"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t xml:space="preserve">BELCASTRO, Loris et al. Enhancing Cryptocurrency Price Forecasting by Integrating Machine Learning with </w:t>
      </w:r>
      <w:proofErr w:type="gramStart"/>
      <w:r w:rsidRPr="00FF07F5">
        <w:rPr>
          <w:rFonts w:ascii="Arial" w:eastAsia="Arial" w:hAnsi="Arial" w:cs="Arial"/>
          <w:sz w:val="24"/>
          <w:szCs w:val="24"/>
          <w:lang w:val="en-US"/>
        </w:rPr>
        <w:t>Social Media</w:t>
      </w:r>
      <w:proofErr w:type="gramEnd"/>
      <w:r w:rsidRPr="00FF07F5">
        <w:rPr>
          <w:rFonts w:ascii="Arial" w:eastAsia="Arial" w:hAnsi="Arial" w:cs="Arial"/>
          <w:sz w:val="24"/>
          <w:szCs w:val="24"/>
          <w:lang w:val="en-US"/>
        </w:rPr>
        <w:t xml:space="preserve"> and Market Data. Algorithms, v. 16, n. 12, art. 542, 2023.</w:t>
      </w:r>
    </w:p>
    <w:p w14:paraId="7B4EDB4D" w14:textId="77777777" w:rsidR="00F66FCA" w:rsidRPr="00FF07F5" w:rsidRDefault="00F66FCA">
      <w:pPr>
        <w:spacing w:line="278" w:lineRule="auto"/>
        <w:rPr>
          <w:rFonts w:ascii="Arial" w:eastAsia="Arial" w:hAnsi="Arial" w:cs="Arial"/>
          <w:sz w:val="24"/>
          <w:szCs w:val="24"/>
          <w:lang w:val="en-US"/>
        </w:rPr>
      </w:pPr>
    </w:p>
    <w:p w14:paraId="1B0D2119"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Cs w:val="24"/>
          <w:lang w:val="en-US"/>
        </w:rPr>
      </w:pPr>
      <w:r w:rsidRPr="00FF07F5">
        <w:rPr>
          <w:rFonts w:ascii="Arial" w:eastAsia="Arial" w:hAnsi="Arial" w:cs="Arial"/>
          <w:sz w:val="24"/>
          <w:szCs w:val="24"/>
          <w:lang w:val="en-US"/>
        </w:rPr>
        <w:t xml:space="preserve">CHARFEDDINE, </w:t>
      </w:r>
      <w:proofErr w:type="spellStart"/>
      <w:r w:rsidRPr="00FF07F5">
        <w:rPr>
          <w:rFonts w:ascii="Arial" w:eastAsia="Arial" w:hAnsi="Arial" w:cs="Arial"/>
          <w:sz w:val="24"/>
          <w:szCs w:val="24"/>
          <w:lang w:val="en-US"/>
        </w:rPr>
        <w:t>Lanouar</w:t>
      </w:r>
      <w:proofErr w:type="spellEnd"/>
      <w:r w:rsidRPr="00FF07F5">
        <w:rPr>
          <w:rFonts w:ascii="Arial" w:eastAsia="Arial" w:hAnsi="Arial" w:cs="Arial"/>
          <w:sz w:val="24"/>
          <w:szCs w:val="24"/>
          <w:lang w:val="en-US"/>
        </w:rPr>
        <w:t>; BENLAGHA, Noureddine; MAOUCHI, Youcef. Investigating the dynamic relationship between cryptocurrencies and conventional assets: Implications for financial investors. Economic Modelling, v. 85, p. 198-217, 2020.</w:t>
      </w:r>
    </w:p>
    <w:p w14:paraId="1B0D211A" w14:textId="77777777" w:rsidR="00535B14" w:rsidRDefault="00535B14">
      <w:pPr>
        <w:spacing w:line="278" w:lineRule="auto"/>
        <w:rPr>
          <w:rFonts w:ascii="Arial" w:eastAsia="Arial" w:hAnsi="Arial" w:cs="Arial"/>
          <w:sz w:val="24"/>
          <w:szCs w:val="24"/>
          <w:lang w:val="en-US"/>
        </w:rPr>
      </w:pPr>
    </w:p>
    <w:p w14:paraId="069C10FB" w14:textId="7938A0E5" w:rsidR="00F66FCA" w:rsidRDefault="00F66FCA">
      <w:pPr>
        <w:spacing w:line="278" w:lineRule="auto"/>
        <w:rPr>
          <w:rFonts w:ascii="Arial" w:eastAsia="Arial" w:hAnsi="Arial" w:cs="Arial"/>
          <w:sz w:val="24"/>
          <w:szCs w:val="24"/>
          <w:lang w:val="en-US"/>
        </w:rPr>
      </w:pPr>
      <w:r w:rsidRPr="00F66FCA">
        <w:rPr>
          <w:rFonts w:ascii="Arial" w:eastAsia="Arial" w:hAnsi="Arial" w:cs="Arial"/>
          <w:sz w:val="24"/>
          <w:szCs w:val="24"/>
          <w:lang w:val="en-US"/>
        </w:rPr>
        <w:t xml:space="preserve">CHAWEEWANCHON, </w:t>
      </w:r>
      <w:proofErr w:type="spellStart"/>
      <w:r w:rsidRPr="00F66FCA">
        <w:rPr>
          <w:rFonts w:ascii="Arial" w:eastAsia="Arial" w:hAnsi="Arial" w:cs="Arial"/>
          <w:sz w:val="24"/>
          <w:szCs w:val="24"/>
          <w:lang w:val="en-US"/>
        </w:rPr>
        <w:t>Apichat</w:t>
      </w:r>
      <w:proofErr w:type="spellEnd"/>
      <w:r w:rsidRPr="00F66FCA">
        <w:rPr>
          <w:rFonts w:ascii="Arial" w:eastAsia="Arial" w:hAnsi="Arial" w:cs="Arial"/>
          <w:sz w:val="24"/>
          <w:szCs w:val="24"/>
          <w:lang w:val="en-US"/>
        </w:rPr>
        <w:t xml:space="preserve">; CHAYSIRI, </w:t>
      </w:r>
      <w:proofErr w:type="spellStart"/>
      <w:r w:rsidRPr="00F66FCA">
        <w:rPr>
          <w:rFonts w:ascii="Arial" w:eastAsia="Arial" w:hAnsi="Arial" w:cs="Arial"/>
          <w:sz w:val="24"/>
          <w:szCs w:val="24"/>
          <w:lang w:val="en-US"/>
        </w:rPr>
        <w:t>Rujira</w:t>
      </w:r>
      <w:proofErr w:type="spellEnd"/>
      <w:r w:rsidRPr="00F66FCA">
        <w:rPr>
          <w:rFonts w:ascii="Arial" w:eastAsia="Arial" w:hAnsi="Arial" w:cs="Arial"/>
          <w:sz w:val="24"/>
          <w:szCs w:val="24"/>
          <w:lang w:val="en-US"/>
        </w:rPr>
        <w:t xml:space="preserve">. Markowitz Mean-Variance Portfolio Optimization with Predictive Stock Selection Using Machine Learning. </w:t>
      </w:r>
      <w:proofErr w:type="spellStart"/>
      <w:r w:rsidRPr="00F66FCA">
        <w:rPr>
          <w:rFonts w:ascii="Arial" w:eastAsia="Arial" w:hAnsi="Arial" w:cs="Arial"/>
          <w:sz w:val="24"/>
          <w:szCs w:val="24"/>
        </w:rPr>
        <w:t>International</w:t>
      </w:r>
      <w:proofErr w:type="spellEnd"/>
      <w:r w:rsidRPr="00F66FCA">
        <w:rPr>
          <w:rFonts w:ascii="Arial" w:eastAsia="Arial" w:hAnsi="Arial" w:cs="Arial"/>
          <w:sz w:val="24"/>
          <w:szCs w:val="24"/>
        </w:rPr>
        <w:t xml:space="preserve"> </w:t>
      </w:r>
      <w:proofErr w:type="spellStart"/>
      <w:r w:rsidRPr="00F66FCA">
        <w:rPr>
          <w:rFonts w:ascii="Arial" w:eastAsia="Arial" w:hAnsi="Arial" w:cs="Arial"/>
          <w:sz w:val="24"/>
          <w:szCs w:val="24"/>
        </w:rPr>
        <w:t>Journal</w:t>
      </w:r>
      <w:proofErr w:type="spellEnd"/>
      <w:r w:rsidRPr="00F66FCA">
        <w:rPr>
          <w:rFonts w:ascii="Arial" w:eastAsia="Arial" w:hAnsi="Arial" w:cs="Arial"/>
          <w:sz w:val="24"/>
          <w:szCs w:val="24"/>
        </w:rPr>
        <w:t xml:space="preserve"> </w:t>
      </w:r>
      <w:proofErr w:type="spellStart"/>
      <w:r w:rsidRPr="00F66FCA">
        <w:rPr>
          <w:rFonts w:ascii="Arial" w:eastAsia="Arial" w:hAnsi="Arial" w:cs="Arial"/>
          <w:sz w:val="24"/>
          <w:szCs w:val="24"/>
        </w:rPr>
        <w:t>of</w:t>
      </w:r>
      <w:proofErr w:type="spellEnd"/>
      <w:r w:rsidRPr="00F66FCA">
        <w:rPr>
          <w:rFonts w:ascii="Arial" w:eastAsia="Arial" w:hAnsi="Arial" w:cs="Arial"/>
          <w:sz w:val="24"/>
          <w:szCs w:val="24"/>
        </w:rPr>
        <w:t xml:space="preserve"> Financial </w:t>
      </w:r>
      <w:proofErr w:type="spellStart"/>
      <w:r w:rsidRPr="00F66FCA">
        <w:rPr>
          <w:rFonts w:ascii="Arial" w:eastAsia="Arial" w:hAnsi="Arial" w:cs="Arial"/>
          <w:sz w:val="24"/>
          <w:szCs w:val="24"/>
        </w:rPr>
        <w:t>Studies</w:t>
      </w:r>
      <w:proofErr w:type="spellEnd"/>
      <w:r w:rsidRPr="00F66FCA">
        <w:rPr>
          <w:rFonts w:ascii="Arial" w:eastAsia="Arial" w:hAnsi="Arial" w:cs="Arial"/>
          <w:sz w:val="24"/>
          <w:szCs w:val="24"/>
        </w:rPr>
        <w:t>, v. 10, art. 64, 2022.</w:t>
      </w:r>
    </w:p>
    <w:p w14:paraId="01D6CA58" w14:textId="77777777" w:rsidR="00F66FCA" w:rsidRPr="00FF07F5" w:rsidRDefault="00F66FCA">
      <w:pPr>
        <w:spacing w:line="278" w:lineRule="auto"/>
        <w:rPr>
          <w:rFonts w:ascii="Arial" w:eastAsia="Arial" w:hAnsi="Arial" w:cs="Arial"/>
          <w:sz w:val="24"/>
          <w:szCs w:val="24"/>
          <w:lang w:val="en-US"/>
        </w:rPr>
      </w:pPr>
    </w:p>
    <w:p w14:paraId="1B0D211B"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Cs w:val="24"/>
          <w:lang w:val="en-US"/>
        </w:rPr>
      </w:pPr>
      <w:r w:rsidRPr="00FF07F5">
        <w:rPr>
          <w:rFonts w:ascii="Arial" w:eastAsia="Arial" w:hAnsi="Arial" w:cs="Arial"/>
          <w:sz w:val="24"/>
          <w:szCs w:val="24"/>
          <w:lang w:val="en-US"/>
        </w:rPr>
        <w:t>CHEVALLIER, J.; GUÉGAN, D.; GOUTTE, S. Is It Possible to Forecast the Price of Bitcoin? Forecasting, v. 3, n. 2, p. 377-420, 2021.</w:t>
      </w:r>
    </w:p>
    <w:p w14:paraId="1B0D211C" w14:textId="77777777" w:rsidR="00535B14" w:rsidRPr="00FF07F5" w:rsidRDefault="00535B14">
      <w:pPr>
        <w:spacing w:line="278" w:lineRule="auto"/>
        <w:rPr>
          <w:rFonts w:ascii="Arial" w:eastAsia="Arial" w:hAnsi="Arial" w:cs="Arial"/>
          <w:sz w:val="24"/>
          <w:szCs w:val="24"/>
          <w:lang w:val="en-US"/>
        </w:rPr>
      </w:pPr>
    </w:p>
    <w:p w14:paraId="1B0D211D" w14:textId="77777777" w:rsidR="00535B14" w:rsidRDefault="00000000">
      <w:pPr>
        <w:spacing w:line="278" w:lineRule="auto"/>
        <w:rPr>
          <w:rFonts w:ascii="Arial" w:eastAsia="Arial" w:hAnsi="Arial" w:cs="Arial"/>
          <w:sz w:val="24"/>
          <w:szCs w:val="24"/>
        </w:rPr>
      </w:pPr>
      <w:r w:rsidRPr="00FF07F5">
        <w:rPr>
          <w:rFonts w:ascii="Arial" w:eastAsia="Arial" w:hAnsi="Arial" w:cs="Arial"/>
          <w:sz w:val="24"/>
          <w:szCs w:val="24"/>
          <w:lang w:val="en-US"/>
        </w:rPr>
        <w:t xml:space="preserve">CLARA, Alexandra. A Survey of Applications, Challenges, and Future Directions in Machine Learning. </w:t>
      </w:r>
      <w:proofErr w:type="spellStart"/>
      <w:r>
        <w:rPr>
          <w:rFonts w:ascii="Arial" w:eastAsia="Arial" w:hAnsi="Arial" w:cs="Arial"/>
          <w:sz w:val="24"/>
          <w:szCs w:val="24"/>
        </w:rPr>
        <w:t>ResearchGate</w:t>
      </w:r>
      <w:proofErr w:type="spellEnd"/>
      <w:r>
        <w:rPr>
          <w:rFonts w:ascii="Arial" w:eastAsia="Arial" w:hAnsi="Arial" w:cs="Arial"/>
          <w:sz w:val="24"/>
          <w:szCs w:val="24"/>
        </w:rPr>
        <w:t xml:space="preserve">, ago. 2024. Disponível em: </w:t>
      </w:r>
      <w:hyperlink r:id="rId12" w:tooltip="https://www.researchgate.net" w:history="1">
        <w:r w:rsidR="00535B14">
          <w:rPr>
            <w:rFonts w:ascii="Arial" w:eastAsia="Arial" w:hAnsi="Arial" w:cs="Arial"/>
            <w:sz w:val="24"/>
            <w:szCs w:val="24"/>
          </w:rPr>
          <w:t>https://www.researchgate.net</w:t>
        </w:r>
      </w:hyperlink>
      <w:r>
        <w:rPr>
          <w:rFonts w:ascii="Arial" w:eastAsia="Arial" w:hAnsi="Arial" w:cs="Arial"/>
          <w:sz w:val="24"/>
          <w:szCs w:val="24"/>
        </w:rPr>
        <w:t>. Acesso em: 13 out. 2025.</w:t>
      </w:r>
    </w:p>
    <w:p w14:paraId="1B0D211E" w14:textId="77777777" w:rsidR="00535B14" w:rsidRDefault="00535B14">
      <w:pPr>
        <w:spacing w:line="278" w:lineRule="auto"/>
        <w:rPr>
          <w:rFonts w:ascii="Arial" w:eastAsia="Arial" w:hAnsi="Arial" w:cs="Arial"/>
          <w:sz w:val="24"/>
          <w:szCs w:val="24"/>
        </w:rPr>
      </w:pPr>
    </w:p>
    <w:p w14:paraId="1B0D211F"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F07F5">
        <w:rPr>
          <w:rFonts w:ascii="Arial" w:eastAsia="Arial" w:hAnsi="Arial" w:cs="Arial"/>
          <w:sz w:val="24"/>
          <w:szCs w:val="24"/>
          <w:lang w:val="en-US"/>
        </w:rPr>
        <w:t>CORBET, S.; LARKIN, C.; LUCEY, B. The contagion effects of the COVID-19 pandemic: Evidence from gold and cryptocurrencies. Finance Research Letters, v. 35, 101554, 2020.</w:t>
      </w:r>
    </w:p>
    <w:p w14:paraId="1B0D2120" w14:textId="77777777" w:rsidR="00535B14" w:rsidRPr="00FF07F5"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21" w14:textId="77777777" w:rsidR="00535B14"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rPr>
      </w:pPr>
      <w:r w:rsidRPr="00FF07F5">
        <w:rPr>
          <w:rFonts w:ascii="Arial" w:eastAsia="Arial" w:hAnsi="Arial" w:cs="Arial"/>
          <w:sz w:val="24"/>
          <w:szCs w:val="24"/>
          <w:lang w:val="en-US"/>
        </w:rPr>
        <w:t xml:space="preserve">DORAN, M. D. A forensic look at bitcoin cryptocurrency. </w:t>
      </w:r>
      <w:r>
        <w:rPr>
          <w:rFonts w:ascii="Arial" w:eastAsia="Arial" w:hAnsi="Arial" w:cs="Arial"/>
          <w:sz w:val="24"/>
          <w:szCs w:val="24"/>
        </w:rPr>
        <w:t xml:space="preserve">2014. Tese (Doutorado) – </w:t>
      </w:r>
      <w:proofErr w:type="spellStart"/>
      <w:r>
        <w:rPr>
          <w:rFonts w:ascii="Arial" w:eastAsia="Arial" w:hAnsi="Arial" w:cs="Arial"/>
          <w:sz w:val="24"/>
          <w:szCs w:val="24"/>
        </w:rPr>
        <w:t>Utica</w:t>
      </w:r>
      <w:proofErr w:type="spellEnd"/>
      <w:r>
        <w:rPr>
          <w:rFonts w:ascii="Arial" w:eastAsia="Arial" w:hAnsi="Arial" w:cs="Arial"/>
          <w:sz w:val="24"/>
          <w:szCs w:val="24"/>
        </w:rPr>
        <w:t xml:space="preserve"> </w:t>
      </w:r>
      <w:proofErr w:type="spellStart"/>
      <w:r>
        <w:rPr>
          <w:rFonts w:ascii="Arial" w:eastAsia="Arial" w:hAnsi="Arial" w:cs="Arial"/>
          <w:sz w:val="24"/>
          <w:szCs w:val="24"/>
        </w:rPr>
        <w:t>College</w:t>
      </w:r>
      <w:proofErr w:type="spellEnd"/>
      <w:r>
        <w:rPr>
          <w:rFonts w:ascii="Arial" w:eastAsia="Arial" w:hAnsi="Arial" w:cs="Arial"/>
          <w:sz w:val="24"/>
          <w:szCs w:val="24"/>
        </w:rPr>
        <w:t>, Nova Iorque, 2014.</w:t>
      </w:r>
    </w:p>
    <w:p w14:paraId="1B0D2122" w14:textId="77777777" w:rsidR="00535B14"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rPr>
      </w:pPr>
    </w:p>
    <w:p w14:paraId="1B0D2123"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Cs w:val="24"/>
          <w:lang w:val="en-US"/>
        </w:rPr>
      </w:pPr>
      <w:r w:rsidRPr="00FF07F5">
        <w:rPr>
          <w:rFonts w:ascii="Arial" w:eastAsia="Arial" w:hAnsi="Arial" w:cs="Arial"/>
          <w:sz w:val="24"/>
          <w:szCs w:val="24"/>
          <w:lang w:val="en-US"/>
        </w:rPr>
        <w:t xml:space="preserve">FAKHFEKH, M.; JERIBI, A. Volatility dynamics of </w:t>
      </w:r>
      <w:proofErr w:type="gramStart"/>
      <w:r w:rsidRPr="00FF07F5">
        <w:rPr>
          <w:rFonts w:ascii="Arial" w:eastAsia="Arial" w:hAnsi="Arial" w:cs="Arial"/>
          <w:sz w:val="24"/>
          <w:szCs w:val="24"/>
          <w:lang w:val="en-US"/>
        </w:rPr>
        <w:t>crypto-currencies</w:t>
      </w:r>
      <w:proofErr w:type="gramEnd"/>
      <w:r w:rsidRPr="00FF07F5">
        <w:rPr>
          <w:rFonts w:ascii="Arial" w:eastAsia="Arial" w:hAnsi="Arial" w:cs="Arial"/>
          <w:sz w:val="24"/>
          <w:szCs w:val="24"/>
          <w:lang w:val="en-US"/>
        </w:rPr>
        <w:t>’ returns: Evidence from asymmetric and long memory GARCH models. Research in International Business and Finance, v. 51, 101075, 2020.</w:t>
      </w:r>
    </w:p>
    <w:p w14:paraId="1B0D2124" w14:textId="77777777" w:rsidR="00535B14" w:rsidRPr="00FF07F5" w:rsidRDefault="00535B14">
      <w:pPr>
        <w:spacing w:line="278" w:lineRule="auto"/>
        <w:rPr>
          <w:rFonts w:ascii="Arial" w:eastAsia="Arial" w:hAnsi="Arial" w:cs="Arial"/>
          <w:sz w:val="24"/>
          <w:szCs w:val="24"/>
          <w:lang w:val="en-US"/>
        </w:rPr>
      </w:pPr>
    </w:p>
    <w:p w14:paraId="1B0D2125" w14:textId="77777777" w:rsidR="00535B14" w:rsidRPr="00FF07F5"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lastRenderedPageBreak/>
        <w:t>FAMA, E. F. Efficient Capital Markets: A Review of Theory and Empirical Work. The Journal of Finance, 1970.</w:t>
      </w:r>
    </w:p>
    <w:p w14:paraId="1B0D2126" w14:textId="77777777" w:rsidR="00535B14" w:rsidRPr="00FF07F5" w:rsidRDefault="00535B14">
      <w:pPr>
        <w:spacing w:line="278" w:lineRule="auto"/>
        <w:rPr>
          <w:rFonts w:ascii="Arial" w:eastAsia="Arial" w:hAnsi="Arial" w:cs="Arial"/>
          <w:sz w:val="24"/>
          <w:szCs w:val="24"/>
          <w:lang w:val="en-US"/>
        </w:rPr>
      </w:pPr>
    </w:p>
    <w:p w14:paraId="1B0D2127" w14:textId="77777777" w:rsidR="00535B14" w:rsidRDefault="00000000">
      <w:pPr>
        <w:spacing w:line="278" w:lineRule="auto"/>
        <w:rPr>
          <w:rFonts w:ascii="Arial" w:eastAsia="Arial" w:hAnsi="Arial" w:cs="Arial"/>
          <w:sz w:val="24"/>
          <w:szCs w:val="24"/>
        </w:rPr>
      </w:pPr>
      <w:r w:rsidRPr="00FF07F5">
        <w:rPr>
          <w:rFonts w:ascii="Arial" w:eastAsia="Arial" w:hAnsi="Arial" w:cs="Arial"/>
          <w:sz w:val="24"/>
          <w:szCs w:val="24"/>
          <w:lang w:val="en-US"/>
        </w:rPr>
        <w:t xml:space="preserve">FANG, F. et al. Cryptocurrency trading: a comprehensive survey. </w:t>
      </w:r>
      <w:r>
        <w:rPr>
          <w:rFonts w:ascii="Arial" w:eastAsia="Arial" w:hAnsi="Arial" w:cs="Arial"/>
          <w:sz w:val="24"/>
          <w:szCs w:val="24"/>
        </w:rPr>
        <w:t xml:space="preserve">Financial </w:t>
      </w:r>
      <w:proofErr w:type="spellStart"/>
      <w:r>
        <w:rPr>
          <w:rFonts w:ascii="Arial" w:eastAsia="Arial" w:hAnsi="Arial" w:cs="Arial"/>
          <w:sz w:val="24"/>
          <w:szCs w:val="24"/>
        </w:rPr>
        <w:t>Innovation</w:t>
      </w:r>
      <w:proofErr w:type="spellEnd"/>
      <w:r>
        <w:rPr>
          <w:rFonts w:ascii="Arial" w:eastAsia="Arial" w:hAnsi="Arial" w:cs="Arial"/>
          <w:sz w:val="24"/>
          <w:szCs w:val="24"/>
        </w:rPr>
        <w:t>, v. 8, n. 13, 2022.</w:t>
      </w:r>
    </w:p>
    <w:p w14:paraId="1B0D2128" w14:textId="77777777" w:rsidR="00535B14" w:rsidRDefault="00535B14">
      <w:pPr>
        <w:spacing w:line="278" w:lineRule="auto"/>
        <w:rPr>
          <w:rFonts w:ascii="Arial" w:eastAsia="Arial" w:hAnsi="Arial" w:cs="Arial"/>
          <w:sz w:val="24"/>
          <w:szCs w:val="24"/>
        </w:rPr>
      </w:pPr>
    </w:p>
    <w:p w14:paraId="1B0D2129" w14:textId="77777777" w:rsidR="00535B14" w:rsidRPr="00F66FCA" w:rsidRDefault="00000000">
      <w:pPr>
        <w:spacing w:line="278" w:lineRule="auto"/>
        <w:rPr>
          <w:rFonts w:ascii="Arial" w:eastAsia="Arial" w:hAnsi="Arial" w:cs="Arial"/>
          <w:sz w:val="24"/>
          <w:szCs w:val="24"/>
          <w:lang w:val="en-US"/>
        </w:rPr>
      </w:pPr>
      <w:r>
        <w:rPr>
          <w:rFonts w:ascii="Arial" w:eastAsia="Arial" w:hAnsi="Arial" w:cs="Arial"/>
          <w:sz w:val="24"/>
          <w:szCs w:val="24"/>
        </w:rPr>
        <w:t xml:space="preserve">GIL, </w:t>
      </w:r>
      <w:proofErr w:type="spellStart"/>
      <w:r>
        <w:rPr>
          <w:rFonts w:ascii="Arial" w:eastAsia="Arial" w:hAnsi="Arial" w:cs="Arial"/>
          <w:sz w:val="24"/>
          <w:szCs w:val="24"/>
        </w:rPr>
        <w:t>Antonio</w:t>
      </w:r>
      <w:proofErr w:type="spellEnd"/>
      <w:r>
        <w:rPr>
          <w:rFonts w:ascii="Arial" w:eastAsia="Arial" w:hAnsi="Arial" w:cs="Arial"/>
          <w:sz w:val="24"/>
          <w:szCs w:val="24"/>
        </w:rPr>
        <w:t xml:space="preserve"> Carlos. Como elaborar projetos de pesquisa. </w:t>
      </w:r>
      <w:r w:rsidRPr="00F66FCA">
        <w:rPr>
          <w:rFonts w:ascii="Arial" w:eastAsia="Arial" w:hAnsi="Arial" w:cs="Arial"/>
          <w:sz w:val="24"/>
          <w:szCs w:val="24"/>
          <w:lang w:val="en-US"/>
        </w:rPr>
        <w:t>5. ed. São Paulo: Atlas, 2010.</w:t>
      </w:r>
    </w:p>
    <w:p w14:paraId="1B0D212A" w14:textId="77777777" w:rsidR="00535B14" w:rsidRPr="00F66FCA" w:rsidRDefault="00535B14">
      <w:pPr>
        <w:spacing w:line="278" w:lineRule="auto"/>
        <w:rPr>
          <w:rFonts w:ascii="Arial" w:eastAsia="Arial" w:hAnsi="Arial" w:cs="Arial"/>
          <w:sz w:val="24"/>
          <w:szCs w:val="24"/>
          <w:lang w:val="en-US"/>
        </w:rPr>
      </w:pPr>
    </w:p>
    <w:p w14:paraId="1B0D212B" w14:textId="77777777" w:rsidR="00535B14" w:rsidRPr="00F66FCA"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t xml:space="preserve">GITMAN, L. J. Principles of managerial finance. </w:t>
      </w:r>
      <w:r w:rsidRPr="00F66FCA">
        <w:rPr>
          <w:rFonts w:ascii="Arial" w:eastAsia="Arial" w:hAnsi="Arial" w:cs="Arial"/>
          <w:sz w:val="24"/>
          <w:szCs w:val="24"/>
          <w:lang w:val="en-US"/>
        </w:rPr>
        <w:t>10. ed. Boston: Addison-Wesley, 2004.</w:t>
      </w:r>
    </w:p>
    <w:p w14:paraId="1B0D212C" w14:textId="77777777" w:rsidR="00535B14" w:rsidRPr="00F66FCA"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2D"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F07F5">
        <w:rPr>
          <w:rFonts w:ascii="Arial" w:eastAsia="Arial" w:hAnsi="Arial" w:cs="Arial"/>
          <w:sz w:val="24"/>
          <w:szCs w:val="24"/>
          <w:lang w:val="en-US"/>
        </w:rPr>
        <w:t>GOODELL, John W.; GOUTTE, Stephane. Diversifying equity with cryptocurrencies during COVID-19. International Review of Financial Analysis, v. 76, p. 101781, 2021.</w:t>
      </w:r>
    </w:p>
    <w:p w14:paraId="1B0D212E" w14:textId="77777777" w:rsidR="00535B14" w:rsidRPr="00FF07F5"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2F" w14:textId="77777777" w:rsidR="00535B14"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F07F5">
        <w:rPr>
          <w:rFonts w:ascii="Arial" w:eastAsia="Arial" w:hAnsi="Arial" w:cs="Arial"/>
          <w:sz w:val="24"/>
          <w:szCs w:val="24"/>
          <w:lang w:val="en-US"/>
        </w:rPr>
        <w:t>HARWICK, C. Cryptocurrency and the problem of intermediation. The Independent Review, v. 20, n. 4, p. 569-588, 2016.</w:t>
      </w:r>
    </w:p>
    <w:p w14:paraId="31607321" w14:textId="77777777" w:rsidR="00F66FCA" w:rsidRPr="00FF07F5" w:rsidRDefault="00F66FCA">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30" w14:textId="5F73E25E" w:rsidR="00535B14" w:rsidRDefault="00F66FCA">
      <w:pPr>
        <w:spacing w:line="278" w:lineRule="auto"/>
        <w:rPr>
          <w:rFonts w:ascii="Arial" w:eastAsia="Arial" w:hAnsi="Arial" w:cs="Arial"/>
          <w:sz w:val="24"/>
          <w:szCs w:val="24"/>
        </w:rPr>
      </w:pPr>
      <w:r w:rsidRPr="00F66FCA">
        <w:rPr>
          <w:rFonts w:ascii="Arial" w:eastAsia="Arial" w:hAnsi="Arial" w:cs="Arial"/>
          <w:sz w:val="24"/>
          <w:szCs w:val="24"/>
          <w:lang w:val="en-US"/>
        </w:rPr>
        <w:t xml:space="preserve">JELESKOVIC, </w:t>
      </w:r>
      <w:proofErr w:type="spellStart"/>
      <w:r w:rsidRPr="00F66FCA">
        <w:rPr>
          <w:rFonts w:ascii="Arial" w:eastAsia="Arial" w:hAnsi="Arial" w:cs="Arial"/>
          <w:sz w:val="24"/>
          <w:szCs w:val="24"/>
          <w:lang w:val="en-US"/>
        </w:rPr>
        <w:t>Vahidin</w:t>
      </w:r>
      <w:proofErr w:type="spellEnd"/>
      <w:r w:rsidRPr="00F66FCA">
        <w:rPr>
          <w:rFonts w:ascii="Arial" w:eastAsia="Arial" w:hAnsi="Arial" w:cs="Arial"/>
          <w:sz w:val="24"/>
          <w:szCs w:val="24"/>
          <w:lang w:val="en-US"/>
        </w:rPr>
        <w:t xml:space="preserve"> et al. Cryptocurrency portfolio optimization: Utilizing a GARCH-copula model within the Markowitz framework. </w:t>
      </w:r>
      <w:r w:rsidRPr="00F66FCA">
        <w:rPr>
          <w:rFonts w:ascii="Arial" w:eastAsia="Arial" w:hAnsi="Arial" w:cs="Arial"/>
          <w:sz w:val="24"/>
          <w:szCs w:val="24"/>
        </w:rPr>
        <w:t xml:space="preserve">Corporate </w:t>
      </w:r>
      <w:proofErr w:type="spellStart"/>
      <w:r w:rsidRPr="00F66FCA">
        <w:rPr>
          <w:rFonts w:ascii="Arial" w:eastAsia="Arial" w:hAnsi="Arial" w:cs="Arial"/>
          <w:sz w:val="24"/>
          <w:szCs w:val="24"/>
        </w:rPr>
        <w:t>Accounting</w:t>
      </w:r>
      <w:proofErr w:type="spellEnd"/>
      <w:r w:rsidRPr="00F66FCA">
        <w:rPr>
          <w:rFonts w:ascii="Arial" w:eastAsia="Arial" w:hAnsi="Arial" w:cs="Arial"/>
          <w:sz w:val="24"/>
          <w:szCs w:val="24"/>
        </w:rPr>
        <w:t xml:space="preserve"> &amp; </w:t>
      </w:r>
      <w:proofErr w:type="spellStart"/>
      <w:r w:rsidRPr="00F66FCA">
        <w:rPr>
          <w:rFonts w:ascii="Arial" w:eastAsia="Arial" w:hAnsi="Arial" w:cs="Arial"/>
          <w:sz w:val="24"/>
          <w:szCs w:val="24"/>
        </w:rPr>
        <w:t>Finance</w:t>
      </w:r>
      <w:proofErr w:type="spellEnd"/>
      <w:r w:rsidRPr="00F66FCA">
        <w:rPr>
          <w:rFonts w:ascii="Arial" w:eastAsia="Arial" w:hAnsi="Arial" w:cs="Arial"/>
          <w:sz w:val="24"/>
          <w:szCs w:val="24"/>
        </w:rPr>
        <w:t xml:space="preserve">, 2024. DOI: </w:t>
      </w:r>
      <w:hyperlink r:id="rId13" w:tgtFrame="_blank" w:history="1">
        <w:r w:rsidRPr="00F66FCA">
          <w:rPr>
            <w:rStyle w:val="Hyperlink"/>
            <w:rFonts w:ascii="Arial" w:eastAsia="Arial" w:hAnsi="Arial" w:cs="Arial"/>
            <w:sz w:val="24"/>
            <w:szCs w:val="24"/>
          </w:rPr>
          <w:t>https://doi.org/10.1002/jcaf.22721</w:t>
        </w:r>
      </w:hyperlink>
      <w:r w:rsidRPr="00F66FCA">
        <w:rPr>
          <w:rFonts w:ascii="Arial" w:eastAsia="Arial" w:hAnsi="Arial" w:cs="Arial"/>
          <w:sz w:val="24"/>
          <w:szCs w:val="24"/>
        </w:rPr>
        <w:t>.</w:t>
      </w:r>
    </w:p>
    <w:p w14:paraId="582DA5CE" w14:textId="77777777" w:rsidR="00F66FCA" w:rsidRPr="00FF07F5" w:rsidRDefault="00F66FCA">
      <w:pPr>
        <w:spacing w:line="278" w:lineRule="auto"/>
        <w:rPr>
          <w:rFonts w:ascii="Arial" w:eastAsia="Arial" w:hAnsi="Arial" w:cs="Arial"/>
          <w:sz w:val="24"/>
          <w:szCs w:val="24"/>
          <w:lang w:val="en-US"/>
        </w:rPr>
      </w:pPr>
    </w:p>
    <w:p w14:paraId="1B0D2131" w14:textId="77777777" w:rsidR="00535B14" w:rsidRPr="00FF07F5"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t xml:space="preserve">KELLY, Bryan T.; XIU, </w:t>
      </w:r>
      <w:proofErr w:type="spellStart"/>
      <w:r w:rsidRPr="00FF07F5">
        <w:rPr>
          <w:rFonts w:ascii="Arial" w:eastAsia="Arial" w:hAnsi="Arial" w:cs="Arial"/>
          <w:sz w:val="24"/>
          <w:szCs w:val="24"/>
          <w:lang w:val="en-US"/>
        </w:rPr>
        <w:t>Dacheng</w:t>
      </w:r>
      <w:proofErr w:type="spellEnd"/>
      <w:r w:rsidRPr="00FF07F5">
        <w:rPr>
          <w:rFonts w:ascii="Arial" w:eastAsia="Arial" w:hAnsi="Arial" w:cs="Arial"/>
          <w:sz w:val="24"/>
          <w:szCs w:val="24"/>
          <w:lang w:val="en-US"/>
        </w:rPr>
        <w:t xml:space="preserve">. Financial Machine Learning. Working Paper No. 2023-100. Chicago: Becker Friedman Institute, University of Chicago, </w:t>
      </w:r>
      <w:proofErr w:type="spellStart"/>
      <w:r w:rsidRPr="00FF07F5">
        <w:rPr>
          <w:rFonts w:ascii="Arial" w:eastAsia="Arial" w:hAnsi="Arial" w:cs="Arial"/>
          <w:sz w:val="24"/>
          <w:szCs w:val="24"/>
          <w:lang w:val="en-US"/>
        </w:rPr>
        <w:t>jul.</w:t>
      </w:r>
      <w:proofErr w:type="spellEnd"/>
      <w:r w:rsidRPr="00FF07F5">
        <w:rPr>
          <w:rFonts w:ascii="Arial" w:eastAsia="Arial" w:hAnsi="Arial" w:cs="Arial"/>
          <w:sz w:val="24"/>
          <w:szCs w:val="24"/>
          <w:lang w:val="en-US"/>
        </w:rPr>
        <w:t xml:space="preserve"> 2023. </w:t>
      </w:r>
      <w:proofErr w:type="spellStart"/>
      <w:r w:rsidRPr="00FF07F5">
        <w:rPr>
          <w:rFonts w:ascii="Arial" w:eastAsia="Arial" w:hAnsi="Arial" w:cs="Arial"/>
          <w:sz w:val="24"/>
          <w:szCs w:val="24"/>
          <w:lang w:val="en-US"/>
        </w:rPr>
        <w:t>Disponível</w:t>
      </w:r>
      <w:proofErr w:type="spellEnd"/>
      <w:r w:rsidRPr="00FF07F5">
        <w:rPr>
          <w:rFonts w:ascii="Arial" w:eastAsia="Arial" w:hAnsi="Arial" w:cs="Arial"/>
          <w:sz w:val="24"/>
          <w:szCs w:val="24"/>
          <w:lang w:val="en-US"/>
        </w:rPr>
        <w:t xml:space="preserve"> </w:t>
      </w:r>
      <w:proofErr w:type="spellStart"/>
      <w:r w:rsidRPr="00FF07F5">
        <w:rPr>
          <w:rFonts w:ascii="Arial" w:eastAsia="Arial" w:hAnsi="Arial" w:cs="Arial"/>
          <w:sz w:val="24"/>
          <w:szCs w:val="24"/>
          <w:lang w:val="en-US"/>
        </w:rPr>
        <w:t>em</w:t>
      </w:r>
      <w:proofErr w:type="spellEnd"/>
      <w:r w:rsidRPr="00FF07F5">
        <w:rPr>
          <w:rFonts w:ascii="Arial" w:eastAsia="Arial" w:hAnsi="Arial" w:cs="Arial"/>
          <w:sz w:val="24"/>
          <w:szCs w:val="24"/>
          <w:lang w:val="en-US"/>
        </w:rPr>
        <w:t xml:space="preserve">: </w:t>
      </w:r>
      <w:hyperlink r:id="rId14" w:tooltip="https://bfi.uchicago.edu/wp-content/uploads/2023/07/BFI_WP_2023-100.pdf" w:history="1">
        <w:r w:rsidR="00535B14" w:rsidRPr="00FF07F5">
          <w:rPr>
            <w:rFonts w:ascii="Arial" w:eastAsia="Arial" w:hAnsi="Arial" w:cs="Arial"/>
            <w:sz w:val="24"/>
            <w:szCs w:val="24"/>
            <w:lang w:val="en-US"/>
          </w:rPr>
          <w:t>https://bfi.uchicago.edu/wp-content/uploads/2023/07/BFI_WP_2023-100.pdf</w:t>
        </w:r>
      </w:hyperlink>
      <w:r w:rsidRPr="00FF07F5">
        <w:rPr>
          <w:rFonts w:ascii="Arial" w:eastAsia="Arial" w:hAnsi="Arial" w:cs="Arial"/>
          <w:sz w:val="24"/>
          <w:szCs w:val="24"/>
          <w:lang w:val="en-US"/>
        </w:rPr>
        <w:t xml:space="preserve">. </w:t>
      </w:r>
      <w:proofErr w:type="spellStart"/>
      <w:r w:rsidRPr="00FF07F5">
        <w:rPr>
          <w:rFonts w:ascii="Arial" w:eastAsia="Arial" w:hAnsi="Arial" w:cs="Arial"/>
          <w:sz w:val="24"/>
          <w:szCs w:val="24"/>
          <w:lang w:val="en-US"/>
        </w:rPr>
        <w:t>Acesso</w:t>
      </w:r>
      <w:proofErr w:type="spellEnd"/>
      <w:r w:rsidRPr="00FF07F5">
        <w:rPr>
          <w:rFonts w:ascii="Arial" w:eastAsia="Arial" w:hAnsi="Arial" w:cs="Arial"/>
          <w:sz w:val="24"/>
          <w:szCs w:val="24"/>
          <w:lang w:val="en-US"/>
        </w:rPr>
        <w:t xml:space="preserve"> </w:t>
      </w:r>
      <w:proofErr w:type="spellStart"/>
      <w:r w:rsidRPr="00FF07F5">
        <w:rPr>
          <w:rFonts w:ascii="Arial" w:eastAsia="Arial" w:hAnsi="Arial" w:cs="Arial"/>
          <w:sz w:val="24"/>
          <w:szCs w:val="24"/>
          <w:lang w:val="en-US"/>
        </w:rPr>
        <w:t>em</w:t>
      </w:r>
      <w:proofErr w:type="spellEnd"/>
      <w:r w:rsidRPr="00FF07F5">
        <w:rPr>
          <w:rFonts w:ascii="Arial" w:eastAsia="Arial" w:hAnsi="Arial" w:cs="Arial"/>
          <w:sz w:val="24"/>
          <w:szCs w:val="24"/>
          <w:lang w:val="en-US"/>
        </w:rPr>
        <w:t>: 13 out. 2025.</w:t>
      </w:r>
    </w:p>
    <w:p w14:paraId="1B0D2132" w14:textId="77777777" w:rsidR="00535B14" w:rsidRPr="00FF07F5" w:rsidRDefault="00535B14">
      <w:pPr>
        <w:spacing w:line="278" w:lineRule="auto"/>
        <w:rPr>
          <w:rFonts w:ascii="Arial" w:eastAsia="Arial" w:hAnsi="Arial" w:cs="Arial"/>
          <w:sz w:val="24"/>
          <w:szCs w:val="24"/>
          <w:lang w:val="en-US"/>
        </w:rPr>
      </w:pPr>
    </w:p>
    <w:p w14:paraId="1B0D2133" w14:textId="77777777" w:rsidR="00535B14" w:rsidRPr="00FF07F5"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t>MITCHELL, T. M. Machine Learning. New York: McGraw-Hill, 1997. 432 p. ISBN 0-07-042807-7.</w:t>
      </w:r>
    </w:p>
    <w:p w14:paraId="1B0D2134" w14:textId="77777777" w:rsidR="00535B14" w:rsidRPr="00FF07F5" w:rsidRDefault="00535B14">
      <w:pPr>
        <w:spacing w:line="278" w:lineRule="auto"/>
        <w:rPr>
          <w:rFonts w:ascii="Arial" w:eastAsia="Arial" w:hAnsi="Arial" w:cs="Arial"/>
          <w:sz w:val="24"/>
          <w:szCs w:val="24"/>
          <w:lang w:val="en-US"/>
        </w:rPr>
      </w:pPr>
    </w:p>
    <w:p w14:paraId="1B0D2135" w14:textId="77777777" w:rsidR="00535B14" w:rsidRPr="00F66FCA"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t xml:space="preserve">MOLNAR, Christoph. Interpretable Machine Learning: A Guide for Making Black Box Models Explainable. </w:t>
      </w:r>
      <w:r>
        <w:rPr>
          <w:rFonts w:ascii="Arial" w:eastAsia="Arial" w:hAnsi="Arial" w:cs="Arial"/>
          <w:sz w:val="24"/>
          <w:szCs w:val="24"/>
        </w:rPr>
        <w:t>1. ed. [</w:t>
      </w:r>
      <w:proofErr w:type="spellStart"/>
      <w:r>
        <w:rPr>
          <w:rFonts w:ascii="Arial" w:eastAsia="Arial" w:hAnsi="Arial" w:cs="Arial"/>
          <w:sz w:val="24"/>
          <w:szCs w:val="24"/>
        </w:rPr>
        <w:t>S.l</w:t>
      </w:r>
      <w:proofErr w:type="spellEnd"/>
      <w:r>
        <w:rPr>
          <w:rFonts w:ascii="Arial" w:eastAsia="Arial" w:hAnsi="Arial" w:cs="Arial"/>
          <w:sz w:val="24"/>
          <w:szCs w:val="24"/>
        </w:rPr>
        <w:t xml:space="preserve">.]: [s.n.], 2019. Disponível em: </w:t>
      </w:r>
      <w:hyperlink r:id="rId15" w:tooltip="https://christophm.github.io/interpretable-ml-book/" w:history="1">
        <w:r w:rsidR="00535B14">
          <w:rPr>
            <w:rFonts w:ascii="Arial" w:eastAsia="Arial" w:hAnsi="Arial" w:cs="Arial"/>
            <w:sz w:val="24"/>
            <w:szCs w:val="24"/>
          </w:rPr>
          <w:t>https://christophm.github.io/interpretable-ml-book/</w:t>
        </w:r>
      </w:hyperlink>
      <w:r>
        <w:rPr>
          <w:rFonts w:ascii="Arial" w:eastAsia="Arial" w:hAnsi="Arial" w:cs="Arial"/>
          <w:sz w:val="24"/>
          <w:szCs w:val="24"/>
        </w:rPr>
        <w:t xml:space="preserve">. </w:t>
      </w:r>
      <w:proofErr w:type="spellStart"/>
      <w:r w:rsidRPr="00F66FCA">
        <w:rPr>
          <w:rFonts w:ascii="Arial" w:eastAsia="Arial" w:hAnsi="Arial" w:cs="Arial"/>
          <w:sz w:val="24"/>
          <w:szCs w:val="24"/>
          <w:lang w:val="en-US"/>
        </w:rPr>
        <w:t>Acesso</w:t>
      </w:r>
      <w:proofErr w:type="spellEnd"/>
      <w:r w:rsidRPr="00F66FCA">
        <w:rPr>
          <w:rFonts w:ascii="Arial" w:eastAsia="Arial" w:hAnsi="Arial" w:cs="Arial"/>
          <w:sz w:val="24"/>
          <w:szCs w:val="24"/>
          <w:lang w:val="en-US"/>
        </w:rPr>
        <w:t xml:space="preserve"> </w:t>
      </w:r>
      <w:proofErr w:type="spellStart"/>
      <w:r w:rsidRPr="00F66FCA">
        <w:rPr>
          <w:rFonts w:ascii="Arial" w:eastAsia="Arial" w:hAnsi="Arial" w:cs="Arial"/>
          <w:sz w:val="24"/>
          <w:szCs w:val="24"/>
          <w:lang w:val="en-US"/>
        </w:rPr>
        <w:t>em</w:t>
      </w:r>
      <w:proofErr w:type="spellEnd"/>
      <w:r w:rsidRPr="00F66FCA">
        <w:rPr>
          <w:rFonts w:ascii="Arial" w:eastAsia="Arial" w:hAnsi="Arial" w:cs="Arial"/>
          <w:sz w:val="24"/>
          <w:szCs w:val="24"/>
          <w:lang w:val="en-US"/>
        </w:rPr>
        <w:t>: 19 out. 2025.</w:t>
      </w:r>
    </w:p>
    <w:p w14:paraId="1B0D2136" w14:textId="77777777" w:rsidR="00535B14" w:rsidRPr="00F66FCA" w:rsidRDefault="00535B14">
      <w:pPr>
        <w:spacing w:line="278" w:lineRule="auto"/>
        <w:rPr>
          <w:rFonts w:ascii="Arial" w:eastAsia="Arial" w:hAnsi="Arial" w:cs="Arial"/>
          <w:sz w:val="24"/>
          <w:szCs w:val="24"/>
          <w:lang w:val="en-US"/>
        </w:rPr>
      </w:pPr>
    </w:p>
    <w:p w14:paraId="1B0D2137"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Cs w:val="24"/>
          <w:lang w:val="en-US"/>
        </w:rPr>
      </w:pPr>
      <w:r w:rsidRPr="00FF07F5">
        <w:rPr>
          <w:rFonts w:ascii="Arial" w:eastAsia="Arial" w:hAnsi="Arial" w:cs="Arial"/>
          <w:sz w:val="24"/>
          <w:szCs w:val="24"/>
          <w:lang w:val="en-US"/>
        </w:rPr>
        <w:t>NARAYANAN, A. et al. Bitcoin and cryptocurrency technologies: a comprehensive introduction. Princeton: Princeton University Press, 2016.</w:t>
      </w:r>
    </w:p>
    <w:p w14:paraId="1B0D2138" w14:textId="77777777" w:rsidR="00535B14" w:rsidRPr="00FF07F5" w:rsidRDefault="00535B14">
      <w:pPr>
        <w:spacing w:line="278" w:lineRule="auto"/>
        <w:rPr>
          <w:rFonts w:ascii="Arial" w:eastAsia="Arial" w:hAnsi="Arial" w:cs="Arial"/>
          <w:sz w:val="24"/>
          <w:szCs w:val="24"/>
          <w:lang w:val="en-US"/>
        </w:rPr>
      </w:pPr>
    </w:p>
    <w:p w14:paraId="1B0D2139"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F07F5">
        <w:rPr>
          <w:rFonts w:ascii="Arial" w:eastAsia="Arial" w:hAnsi="Arial" w:cs="Arial"/>
          <w:sz w:val="24"/>
          <w:szCs w:val="24"/>
          <w:lang w:val="en-US"/>
        </w:rPr>
        <w:t>NEUGEBAUER, Jakub. Portfolio optimization with robust stochastic dominance testing: A genetic algorithm approach. European Journal of Operational Research, [S. l.], v. 333, p. 519-533, 2026.</w:t>
      </w:r>
    </w:p>
    <w:p w14:paraId="1B0D213A" w14:textId="77777777" w:rsidR="00535B14" w:rsidRPr="00FF07F5"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3B"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66FCA">
        <w:rPr>
          <w:rFonts w:ascii="Arial" w:eastAsia="Arial" w:hAnsi="Arial" w:cs="Arial"/>
          <w:sz w:val="24"/>
          <w:szCs w:val="24"/>
        </w:rPr>
        <w:t xml:space="preserve">PAIVA, Felipe Dias et al. </w:t>
      </w:r>
      <w:r w:rsidRPr="00FF07F5">
        <w:rPr>
          <w:rFonts w:ascii="Arial" w:eastAsia="Arial" w:hAnsi="Arial" w:cs="Arial"/>
          <w:sz w:val="24"/>
          <w:szCs w:val="24"/>
          <w:lang w:val="en-US"/>
        </w:rPr>
        <w:t xml:space="preserve">Decision-making for financial trading: A fusion approach of machine learning and portfolio selection. Expert Systems </w:t>
      </w:r>
      <w:proofErr w:type="gramStart"/>
      <w:r w:rsidRPr="00FF07F5">
        <w:rPr>
          <w:rFonts w:ascii="Arial" w:eastAsia="Arial" w:hAnsi="Arial" w:cs="Arial"/>
          <w:sz w:val="24"/>
          <w:szCs w:val="24"/>
          <w:lang w:val="en-US"/>
        </w:rPr>
        <w:t>With</w:t>
      </w:r>
      <w:proofErr w:type="gramEnd"/>
      <w:r w:rsidRPr="00FF07F5">
        <w:rPr>
          <w:rFonts w:ascii="Arial" w:eastAsia="Arial" w:hAnsi="Arial" w:cs="Arial"/>
          <w:sz w:val="24"/>
          <w:szCs w:val="24"/>
          <w:lang w:val="en-US"/>
        </w:rPr>
        <w:t xml:space="preserve"> Applications, [S. l.], v. 115, p. 635-655, 2019.</w:t>
      </w:r>
    </w:p>
    <w:p w14:paraId="1B0D213C" w14:textId="77777777" w:rsidR="00535B14" w:rsidRPr="00F66FCA"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u w:val="single"/>
          <w:lang w:val="en-US"/>
        </w:rPr>
      </w:pPr>
    </w:p>
    <w:p w14:paraId="1B0D213D" w14:textId="77777777" w:rsidR="00535B14"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rPr>
      </w:pPr>
      <w:r w:rsidRPr="00F66FCA">
        <w:rPr>
          <w:rFonts w:ascii="Arial" w:eastAsia="Arial" w:hAnsi="Arial" w:cs="Arial"/>
          <w:sz w:val="24"/>
          <w:szCs w:val="24"/>
        </w:rPr>
        <w:t xml:space="preserve">PAIVA, Felipe Dias. </w:t>
      </w:r>
      <w:r>
        <w:rPr>
          <w:rFonts w:ascii="Arial" w:eastAsia="Arial" w:hAnsi="Arial" w:cs="Arial"/>
          <w:sz w:val="24"/>
          <w:szCs w:val="24"/>
        </w:rPr>
        <w:t>Redes neurais para decisões no mercado de ações brasileiro. 2014. 118 f. Tese (Doutorado em Administração) – Universidade Federal de Lavras, Lavras, 2014.</w:t>
      </w:r>
    </w:p>
    <w:p w14:paraId="1B0D213E" w14:textId="77777777" w:rsidR="00535B14"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rPr>
      </w:pPr>
    </w:p>
    <w:p w14:paraId="1B0D213F" w14:textId="77777777" w:rsidR="00535B14"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rPr>
      </w:pPr>
      <w:r w:rsidRPr="00FF07F5">
        <w:rPr>
          <w:rFonts w:ascii="Arial" w:eastAsia="Arial" w:hAnsi="Arial" w:cs="Arial"/>
          <w:sz w:val="24"/>
          <w:szCs w:val="24"/>
          <w:lang w:val="en-US"/>
        </w:rPr>
        <w:t xml:space="preserve">PARK, S.; YANG, J.-S. Intelligent cryptocurrency trading system using integrated AdaBoost-LSTM with market turbulence knowledge. </w:t>
      </w:r>
      <w:r>
        <w:rPr>
          <w:rFonts w:ascii="Arial" w:eastAsia="Arial" w:hAnsi="Arial" w:cs="Arial"/>
          <w:sz w:val="24"/>
          <w:szCs w:val="24"/>
        </w:rPr>
        <w:t xml:space="preserve">Applied Soft </w:t>
      </w:r>
      <w:proofErr w:type="spellStart"/>
      <w:r>
        <w:rPr>
          <w:rFonts w:ascii="Arial" w:eastAsia="Arial" w:hAnsi="Arial" w:cs="Arial"/>
          <w:sz w:val="24"/>
          <w:szCs w:val="24"/>
        </w:rPr>
        <w:t>Computing</w:t>
      </w:r>
      <w:proofErr w:type="spellEnd"/>
      <w:r>
        <w:rPr>
          <w:rFonts w:ascii="Arial" w:eastAsia="Arial" w:hAnsi="Arial" w:cs="Arial"/>
          <w:sz w:val="24"/>
          <w:szCs w:val="24"/>
        </w:rPr>
        <w:t>, v. 145, 110568, 2023.</w:t>
      </w:r>
    </w:p>
    <w:p w14:paraId="1B0D2140" w14:textId="77777777" w:rsidR="00535B14"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rPr>
      </w:pPr>
    </w:p>
    <w:p w14:paraId="1B0D2141" w14:textId="77777777" w:rsidR="00535B14" w:rsidRPr="00F66FCA"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Pr>
          <w:rFonts w:ascii="Arial" w:eastAsia="Arial" w:hAnsi="Arial" w:cs="Arial"/>
          <w:sz w:val="24"/>
          <w:szCs w:val="24"/>
        </w:rPr>
        <w:t xml:space="preserve">RICHARDSON, Roberto Jarry. Pesquisa social: métodos e técnicas. </w:t>
      </w:r>
      <w:r w:rsidRPr="00F66FCA">
        <w:rPr>
          <w:rFonts w:ascii="Arial" w:eastAsia="Arial" w:hAnsi="Arial" w:cs="Arial"/>
          <w:sz w:val="24"/>
          <w:szCs w:val="24"/>
          <w:lang w:val="en-US"/>
        </w:rPr>
        <w:t>3. ed. São Paulo: Atlas, 1999.</w:t>
      </w:r>
    </w:p>
    <w:p w14:paraId="1B0D2142" w14:textId="77777777" w:rsidR="00535B14" w:rsidRPr="00F66FCA"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43"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F07F5">
        <w:rPr>
          <w:rFonts w:ascii="Arial" w:eastAsia="Arial" w:hAnsi="Arial" w:cs="Arial"/>
          <w:sz w:val="24"/>
          <w:szCs w:val="24"/>
          <w:lang w:val="en-US"/>
        </w:rPr>
        <w:t xml:space="preserve">SARKER, I. H. Machine Learning: Algorithms, Real-World Applications and Research Directions. SN Computer Science, v. 2, art. 160, 2021. DOI: </w:t>
      </w:r>
      <w:hyperlink r:id="rId16" w:tooltip="https://doi.org/10.1007/s42979-021-00592-x" w:history="1">
        <w:r w:rsidR="00535B14" w:rsidRPr="00FF07F5">
          <w:rPr>
            <w:rFonts w:ascii="Arial" w:eastAsia="Arial" w:hAnsi="Arial" w:cs="Arial"/>
            <w:sz w:val="24"/>
            <w:szCs w:val="24"/>
            <w:lang w:val="en-US"/>
          </w:rPr>
          <w:t>https://doi.org/10.1007/s42979-021-00592-x</w:t>
        </w:r>
      </w:hyperlink>
      <w:r w:rsidRPr="00FF07F5">
        <w:rPr>
          <w:rFonts w:ascii="Arial" w:eastAsia="Arial" w:hAnsi="Arial" w:cs="Arial"/>
          <w:sz w:val="24"/>
          <w:szCs w:val="24"/>
          <w:lang w:val="en-US"/>
        </w:rPr>
        <w:t>.</w:t>
      </w:r>
    </w:p>
    <w:p w14:paraId="1B0D2144" w14:textId="77777777" w:rsidR="00535B14" w:rsidRPr="00FF07F5" w:rsidRDefault="00535B14">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p>
    <w:p w14:paraId="1B0D2145" w14:textId="77777777" w:rsidR="00535B14" w:rsidRPr="00FF07F5" w:rsidRDefault="00000000">
      <w:pPr>
        <w:pBdr>
          <w:top w:val="none" w:sz="4" w:space="0" w:color="000000"/>
          <w:left w:val="none" w:sz="4" w:space="0" w:color="000000"/>
          <w:bottom w:val="none" w:sz="4" w:space="0" w:color="000000"/>
          <w:right w:val="none" w:sz="4" w:space="0" w:color="000000"/>
        </w:pBdr>
        <w:spacing w:line="278" w:lineRule="auto"/>
        <w:rPr>
          <w:rFonts w:ascii="Arial" w:eastAsia="Arial" w:hAnsi="Arial" w:cs="Arial"/>
          <w:sz w:val="24"/>
          <w:szCs w:val="24"/>
          <w:lang w:val="en-US"/>
        </w:rPr>
      </w:pPr>
      <w:r w:rsidRPr="00FF07F5">
        <w:rPr>
          <w:rFonts w:ascii="Arial" w:eastAsia="Arial" w:hAnsi="Arial" w:cs="Arial"/>
          <w:sz w:val="24"/>
          <w:szCs w:val="24"/>
          <w:lang w:val="en-US"/>
        </w:rPr>
        <w:t xml:space="preserve">SCHERBINA, A. Asset Price Bubbles: A Selective Survey. IMF Working Paper WP/13/45, </w:t>
      </w:r>
      <w:proofErr w:type="spellStart"/>
      <w:r w:rsidRPr="00FF07F5">
        <w:rPr>
          <w:rFonts w:ascii="Arial" w:eastAsia="Arial" w:hAnsi="Arial" w:cs="Arial"/>
          <w:sz w:val="24"/>
          <w:szCs w:val="24"/>
          <w:lang w:val="en-US"/>
        </w:rPr>
        <w:t>fev</w:t>
      </w:r>
      <w:proofErr w:type="spellEnd"/>
      <w:r w:rsidRPr="00FF07F5">
        <w:rPr>
          <w:rFonts w:ascii="Arial" w:eastAsia="Arial" w:hAnsi="Arial" w:cs="Arial"/>
          <w:sz w:val="24"/>
          <w:szCs w:val="24"/>
          <w:lang w:val="en-US"/>
        </w:rPr>
        <w:t>. 2013.</w:t>
      </w:r>
    </w:p>
    <w:p w14:paraId="1B0D2146" w14:textId="77777777" w:rsidR="00535B14" w:rsidRPr="00FF07F5" w:rsidRDefault="00535B14">
      <w:pPr>
        <w:spacing w:line="278" w:lineRule="auto"/>
        <w:rPr>
          <w:rFonts w:ascii="Arial" w:eastAsia="Arial" w:hAnsi="Arial" w:cs="Arial"/>
          <w:sz w:val="24"/>
          <w:szCs w:val="24"/>
          <w:lang w:val="en-US"/>
        </w:rPr>
      </w:pPr>
    </w:p>
    <w:p w14:paraId="1B0D2147" w14:textId="77777777" w:rsidR="00535B14" w:rsidRPr="00FF07F5"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t>SEBASTIÃO, H.; GODINHO, P. Forecasting and trading cryptocurrencies with machine learning under changing market conditions. Financial Innovation, v. 7, n. 3, 2021.</w:t>
      </w:r>
    </w:p>
    <w:p w14:paraId="1B0D2148" w14:textId="77777777" w:rsidR="00535B14" w:rsidRPr="00FF07F5" w:rsidRDefault="00535B14">
      <w:pPr>
        <w:spacing w:line="278" w:lineRule="auto"/>
        <w:rPr>
          <w:rFonts w:ascii="Arial" w:eastAsia="Arial" w:hAnsi="Arial" w:cs="Arial"/>
          <w:sz w:val="24"/>
          <w:szCs w:val="24"/>
          <w:lang w:val="en-US"/>
        </w:rPr>
      </w:pPr>
    </w:p>
    <w:p w14:paraId="1B0D2149" w14:textId="77777777" w:rsidR="00535B14" w:rsidRPr="00FF07F5"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lastRenderedPageBreak/>
        <w:t xml:space="preserve">WANG, G.-J.; MA, X.-Y.; WU, H.-Y. Are </w:t>
      </w:r>
      <w:proofErr w:type="gramStart"/>
      <w:r w:rsidRPr="00FF07F5">
        <w:rPr>
          <w:rFonts w:ascii="Arial" w:eastAsia="Arial" w:hAnsi="Arial" w:cs="Arial"/>
          <w:sz w:val="24"/>
          <w:szCs w:val="24"/>
          <w:lang w:val="en-US"/>
        </w:rPr>
        <w:t>stablecoins</w:t>
      </w:r>
      <w:proofErr w:type="gramEnd"/>
      <w:r w:rsidRPr="00FF07F5">
        <w:rPr>
          <w:rFonts w:ascii="Arial" w:eastAsia="Arial" w:hAnsi="Arial" w:cs="Arial"/>
          <w:sz w:val="24"/>
          <w:szCs w:val="24"/>
          <w:lang w:val="en-US"/>
        </w:rPr>
        <w:t xml:space="preserve"> truly diversifiers, hedges, or safe havens against traditional cryptocurrencies as their name suggests? Research in International Business and Finance, v. 54, 101225, 2020.</w:t>
      </w:r>
    </w:p>
    <w:p w14:paraId="1B0D214A" w14:textId="77777777" w:rsidR="00535B14" w:rsidRPr="00FF07F5" w:rsidRDefault="00535B14">
      <w:pPr>
        <w:spacing w:line="278" w:lineRule="auto"/>
        <w:rPr>
          <w:rFonts w:ascii="Arial" w:eastAsia="Arial" w:hAnsi="Arial" w:cs="Arial"/>
          <w:sz w:val="24"/>
          <w:szCs w:val="24"/>
          <w:lang w:val="en-US"/>
        </w:rPr>
      </w:pPr>
    </w:p>
    <w:p w14:paraId="1B0D214B" w14:textId="77777777" w:rsidR="00535B14" w:rsidRPr="00FF07F5" w:rsidRDefault="00000000">
      <w:pPr>
        <w:spacing w:line="278" w:lineRule="auto"/>
        <w:rPr>
          <w:rFonts w:ascii="Arial" w:eastAsia="Arial" w:hAnsi="Arial" w:cs="Arial"/>
          <w:sz w:val="24"/>
          <w:szCs w:val="24"/>
          <w:lang w:val="en-US"/>
        </w:rPr>
      </w:pPr>
      <w:r w:rsidRPr="00FF07F5">
        <w:rPr>
          <w:rFonts w:ascii="Arial" w:eastAsia="Arial" w:hAnsi="Arial" w:cs="Arial"/>
          <w:sz w:val="24"/>
          <w:szCs w:val="24"/>
          <w:lang w:val="en-US"/>
        </w:rPr>
        <w:t>WEI, Mingzhe; SERMPINIS, Georgios; STASINAKIS, Charalampos. Forecasting and trading Bitcoin with machine learning techniques and a hybrid volatility/sentiment leverage. Journal of Forecasting, v. 42, n. 4, p. 852–871, 2023.</w:t>
      </w:r>
    </w:p>
    <w:p w14:paraId="1B0D214C" w14:textId="77777777" w:rsidR="00535B14" w:rsidRPr="00FF07F5" w:rsidRDefault="00535B14">
      <w:pPr>
        <w:spacing w:line="278" w:lineRule="auto"/>
        <w:rPr>
          <w:rFonts w:ascii="Arial" w:eastAsia="Arial" w:hAnsi="Arial" w:cs="Arial"/>
          <w:sz w:val="24"/>
          <w:szCs w:val="24"/>
          <w:lang w:val="en-US"/>
        </w:rPr>
      </w:pPr>
    </w:p>
    <w:p w14:paraId="1B0D214D" w14:textId="77777777" w:rsidR="00535B14" w:rsidRDefault="00000000">
      <w:pPr>
        <w:spacing w:line="278" w:lineRule="auto"/>
        <w:rPr>
          <w:rFonts w:ascii="Arial" w:eastAsia="Arial" w:hAnsi="Arial" w:cs="Arial"/>
          <w:sz w:val="24"/>
          <w:szCs w:val="24"/>
        </w:rPr>
      </w:pPr>
      <w:r w:rsidRPr="00FF07F5">
        <w:rPr>
          <w:rFonts w:ascii="Arial" w:eastAsia="Arial" w:hAnsi="Arial" w:cs="Arial"/>
          <w:sz w:val="24"/>
          <w:szCs w:val="24"/>
          <w:lang w:val="en-US"/>
        </w:rPr>
        <w:t xml:space="preserve">UMAR, Muhammad; SU, Chi-Wei; RIZVI, Syed Kumail Abbas; SHAO, Xue-Feng. Bitcoin: </w:t>
      </w:r>
      <w:proofErr w:type="gramStart"/>
      <w:r w:rsidRPr="00FF07F5">
        <w:rPr>
          <w:rFonts w:ascii="Arial" w:eastAsia="Arial" w:hAnsi="Arial" w:cs="Arial"/>
          <w:sz w:val="24"/>
          <w:szCs w:val="24"/>
          <w:lang w:val="en-US"/>
        </w:rPr>
        <w:t>A safe haven</w:t>
      </w:r>
      <w:proofErr w:type="gramEnd"/>
      <w:r w:rsidRPr="00FF07F5">
        <w:rPr>
          <w:rFonts w:ascii="Arial" w:eastAsia="Arial" w:hAnsi="Arial" w:cs="Arial"/>
          <w:sz w:val="24"/>
          <w:szCs w:val="24"/>
          <w:lang w:val="en-US"/>
        </w:rPr>
        <w:t xml:space="preserve"> asset and a winner amid political and economic uncertainties in the </w:t>
      </w:r>
      <w:proofErr w:type="gramStart"/>
      <w:r w:rsidRPr="00FF07F5">
        <w:rPr>
          <w:rFonts w:ascii="Arial" w:eastAsia="Arial" w:hAnsi="Arial" w:cs="Arial"/>
          <w:sz w:val="24"/>
          <w:szCs w:val="24"/>
          <w:lang w:val="en-US"/>
        </w:rPr>
        <w:t>US?.</w:t>
      </w:r>
      <w:proofErr w:type="gramEnd"/>
      <w:r w:rsidRPr="00FF07F5">
        <w:rPr>
          <w:rFonts w:ascii="Arial" w:eastAsia="Arial" w:hAnsi="Arial" w:cs="Arial"/>
          <w:sz w:val="24"/>
          <w:szCs w:val="24"/>
          <w:lang w:val="en-US"/>
        </w:rPr>
        <w:t xml:space="preserve"> </w:t>
      </w:r>
      <w:proofErr w:type="spellStart"/>
      <w:r>
        <w:rPr>
          <w:rFonts w:ascii="Arial" w:eastAsia="Arial" w:hAnsi="Arial" w:cs="Arial"/>
          <w:sz w:val="24"/>
          <w:szCs w:val="24"/>
        </w:rPr>
        <w:t>Technological</w:t>
      </w:r>
      <w:proofErr w:type="spellEnd"/>
      <w:r>
        <w:rPr>
          <w:rFonts w:ascii="Arial" w:eastAsia="Arial" w:hAnsi="Arial" w:cs="Arial"/>
          <w:sz w:val="24"/>
          <w:szCs w:val="24"/>
        </w:rPr>
        <w:t xml:space="preserve"> </w:t>
      </w:r>
      <w:proofErr w:type="spellStart"/>
      <w:r>
        <w:rPr>
          <w:rFonts w:ascii="Arial" w:eastAsia="Arial" w:hAnsi="Arial" w:cs="Arial"/>
          <w:sz w:val="24"/>
          <w:szCs w:val="24"/>
        </w:rPr>
        <w:t>Forecasting</w:t>
      </w:r>
      <w:proofErr w:type="spellEnd"/>
      <w:r>
        <w:rPr>
          <w:rFonts w:ascii="Arial" w:eastAsia="Arial" w:hAnsi="Arial" w:cs="Arial"/>
          <w:sz w:val="24"/>
          <w:szCs w:val="24"/>
        </w:rPr>
        <w:t xml:space="preserve"> </w:t>
      </w:r>
      <w:proofErr w:type="spellStart"/>
      <w:r>
        <w:rPr>
          <w:rFonts w:ascii="Arial" w:eastAsia="Arial" w:hAnsi="Arial" w:cs="Arial"/>
          <w:sz w:val="24"/>
          <w:szCs w:val="24"/>
        </w:rPr>
        <w:t>and</w:t>
      </w:r>
      <w:proofErr w:type="spellEnd"/>
      <w:r>
        <w:rPr>
          <w:rFonts w:ascii="Arial" w:eastAsia="Arial" w:hAnsi="Arial" w:cs="Arial"/>
          <w:sz w:val="24"/>
          <w:szCs w:val="24"/>
        </w:rPr>
        <w:t xml:space="preserve"> Social </w:t>
      </w:r>
      <w:proofErr w:type="spellStart"/>
      <w:r>
        <w:rPr>
          <w:rFonts w:ascii="Arial" w:eastAsia="Arial" w:hAnsi="Arial" w:cs="Arial"/>
          <w:sz w:val="24"/>
          <w:szCs w:val="24"/>
        </w:rPr>
        <w:t>Change</w:t>
      </w:r>
      <w:proofErr w:type="spellEnd"/>
      <w:r>
        <w:rPr>
          <w:rFonts w:ascii="Arial" w:eastAsia="Arial" w:hAnsi="Arial" w:cs="Arial"/>
          <w:sz w:val="24"/>
          <w:szCs w:val="24"/>
        </w:rPr>
        <w:t>, v. 167, p. 120680, 2021.</w:t>
      </w:r>
    </w:p>
    <w:sectPr w:rsidR="00535B14">
      <w:headerReference w:type="default" r:id="rId17"/>
      <w:type w:val="continuous"/>
      <w:pgSz w:w="11906" w:h="16838"/>
      <w:pgMar w:top="1417" w:right="1701" w:bottom="1417" w:left="1701"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3344C" w14:textId="77777777" w:rsidR="001A1929" w:rsidRDefault="001A1929">
      <w:pPr>
        <w:spacing w:after="0" w:line="240" w:lineRule="auto"/>
      </w:pPr>
      <w:r>
        <w:separator/>
      </w:r>
    </w:p>
  </w:endnote>
  <w:endnote w:type="continuationSeparator" w:id="0">
    <w:p w14:paraId="49CC6BD1" w14:textId="77777777" w:rsidR="001A1929" w:rsidRDefault="001A1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1D4BE" w14:textId="77777777" w:rsidR="001A1929" w:rsidRDefault="001A1929">
      <w:pPr>
        <w:spacing w:after="0" w:line="240" w:lineRule="auto"/>
      </w:pPr>
      <w:r>
        <w:separator/>
      </w:r>
    </w:p>
  </w:footnote>
  <w:footnote w:type="continuationSeparator" w:id="0">
    <w:p w14:paraId="631EC779" w14:textId="77777777" w:rsidR="001A1929" w:rsidRDefault="001A19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D2152" w14:textId="77777777" w:rsidR="00535B14" w:rsidRDefault="00535B14">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p>
  <w:p w14:paraId="1B0D2153" w14:textId="77777777" w:rsidR="00535B14" w:rsidRDefault="00535B14">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D2154" w14:textId="7984DE5A" w:rsidR="00535B14" w:rsidRDefault="00000000">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FF07F5">
      <w:rPr>
        <w:noProof/>
        <w:color w:val="000000"/>
      </w:rPr>
      <w:t>6</w:t>
    </w:r>
    <w:r>
      <w:rPr>
        <w:color w:val="000000"/>
      </w:rPr>
      <w:fldChar w:fldCharType="end"/>
    </w:r>
  </w:p>
  <w:p w14:paraId="1B0D2155" w14:textId="77777777" w:rsidR="00535B14" w:rsidRDefault="00535B14">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874EA5"/>
    <w:multiLevelType w:val="multilevel"/>
    <w:tmpl w:val="769835EA"/>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 w15:restartNumberingAfterBreak="0">
    <w:nsid w:val="64DA407C"/>
    <w:multiLevelType w:val="multilevel"/>
    <w:tmpl w:val="26D07342"/>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 w15:restartNumberingAfterBreak="0">
    <w:nsid w:val="768C2653"/>
    <w:multiLevelType w:val="multilevel"/>
    <w:tmpl w:val="EAD8F83E"/>
    <w:lvl w:ilvl="0">
      <w:start w:val="1"/>
      <w:numFmt w:val="decimal"/>
      <w:lvlText w:val="%1"/>
      <w:lvlJc w:val="right"/>
      <w:pPr>
        <w:ind w:left="360" w:hanging="360"/>
      </w:pPr>
    </w:lvl>
    <w:lvl w:ilvl="1">
      <w:start w:val="1"/>
      <w:numFmt w:val="lowerLetter"/>
      <w:lvlText w:val="%2)"/>
      <w:lvlJc w:val="left"/>
      <w:pPr>
        <w:ind w:left="360" w:hanging="360"/>
      </w:pPr>
      <w:rPr>
        <w:rFonts w:ascii="Calibri" w:eastAsia="Calibri" w:hAnsi="Calibri" w:cs="Calibri"/>
        <w:sz w:val="22"/>
        <w:szCs w:val="22"/>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992946143">
    <w:abstractNumId w:val="0"/>
  </w:num>
  <w:num w:numId="2" w16cid:durableId="1811172769">
    <w:abstractNumId w:val="2"/>
  </w:num>
  <w:num w:numId="3" w16cid:durableId="693309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B14"/>
    <w:rsid w:val="000449C2"/>
    <w:rsid w:val="000541CC"/>
    <w:rsid w:val="000D5610"/>
    <w:rsid w:val="00123B47"/>
    <w:rsid w:val="00191837"/>
    <w:rsid w:val="001A1929"/>
    <w:rsid w:val="0026710D"/>
    <w:rsid w:val="002D7035"/>
    <w:rsid w:val="002F60BA"/>
    <w:rsid w:val="00427C1B"/>
    <w:rsid w:val="004512BD"/>
    <w:rsid w:val="00485120"/>
    <w:rsid w:val="00535B14"/>
    <w:rsid w:val="00581175"/>
    <w:rsid w:val="0058220B"/>
    <w:rsid w:val="005E1718"/>
    <w:rsid w:val="00606A60"/>
    <w:rsid w:val="00771C71"/>
    <w:rsid w:val="00793A41"/>
    <w:rsid w:val="008C1EE9"/>
    <w:rsid w:val="00917C9E"/>
    <w:rsid w:val="00A733A9"/>
    <w:rsid w:val="00AB625F"/>
    <w:rsid w:val="00B27E1F"/>
    <w:rsid w:val="00C269A8"/>
    <w:rsid w:val="00CA0787"/>
    <w:rsid w:val="00D54017"/>
    <w:rsid w:val="00ED3D99"/>
    <w:rsid w:val="00EF3644"/>
    <w:rsid w:val="00F42D8D"/>
    <w:rsid w:val="00F66FCA"/>
    <w:rsid w:val="00FD1206"/>
    <w:rsid w:val="00FF07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D1FC5"/>
  <w15:docId w15:val="{11A1AF0C-CF40-46E1-9EE6-4A56DA776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har"/>
    <w:pPr>
      <w:spacing w:line="360" w:lineRule="auto"/>
      <w:ind w:left="357" w:hanging="357"/>
      <w:outlineLvl w:val="0"/>
    </w:pPr>
    <w:rPr>
      <w:rFonts w:ascii="Arial" w:eastAsia="Arial" w:hAnsi="Arial" w:cs="Arial"/>
      <w:b/>
      <w:bCs/>
      <w:sz w:val="24"/>
      <w:szCs w:val="24"/>
    </w:rPr>
  </w:style>
  <w:style w:type="paragraph" w:styleId="Ttulo2">
    <w:name w:val="heading 2"/>
    <w:basedOn w:val="Normal"/>
    <w:next w:val="Normal"/>
    <w:link w:val="Ttulo2Char"/>
    <w:pPr>
      <w:spacing w:line="360" w:lineRule="auto"/>
      <w:ind w:left="357" w:hanging="357"/>
      <w:outlineLvl w:val="1"/>
    </w:pPr>
    <w:rPr>
      <w:rFonts w:ascii="Arial" w:eastAsia="Arial" w:hAnsi="Arial" w:cs="Arial"/>
      <w:b/>
      <w:bCs/>
      <w:sz w:val="24"/>
      <w:szCs w:val="24"/>
    </w:rPr>
  </w:style>
  <w:style w:type="paragraph" w:styleId="Ttulo3">
    <w:name w:val="heading 3"/>
    <w:basedOn w:val="Normal"/>
    <w:next w:val="Normal"/>
    <w:link w:val="Ttulo3Char"/>
    <w:pPr>
      <w:keepNext/>
      <w:keepLines/>
      <w:spacing w:before="280" w:after="80"/>
      <w:outlineLvl w:val="2"/>
    </w:pPr>
    <w:rPr>
      <w:b/>
      <w:bCs/>
      <w:sz w:val="28"/>
      <w:szCs w:val="28"/>
    </w:rPr>
  </w:style>
  <w:style w:type="paragraph" w:styleId="Ttulo4">
    <w:name w:val="heading 4"/>
    <w:basedOn w:val="Normal"/>
    <w:next w:val="Normal"/>
    <w:link w:val="Ttulo4Char"/>
    <w:pPr>
      <w:keepNext/>
      <w:keepLines/>
      <w:spacing w:before="240" w:after="40"/>
      <w:outlineLvl w:val="3"/>
    </w:pPr>
    <w:rPr>
      <w:b/>
      <w:bCs/>
      <w:sz w:val="24"/>
      <w:szCs w:val="24"/>
    </w:rPr>
  </w:style>
  <w:style w:type="paragraph" w:styleId="Ttulo5">
    <w:name w:val="heading 5"/>
    <w:basedOn w:val="Normal"/>
    <w:next w:val="Normal"/>
    <w:link w:val="Ttulo5Char"/>
    <w:pPr>
      <w:keepNext/>
      <w:keepLines/>
      <w:spacing w:before="220" w:after="40"/>
      <w:outlineLvl w:val="4"/>
    </w:pPr>
    <w:rPr>
      <w:b/>
      <w:bCs/>
    </w:rPr>
  </w:style>
  <w:style w:type="paragraph" w:styleId="Ttulo6">
    <w:name w:val="heading 6"/>
    <w:basedOn w:val="Normal"/>
    <w:next w:val="Normal"/>
    <w:link w:val="Ttulo6Char"/>
    <w:pPr>
      <w:keepNext/>
      <w:keepLines/>
      <w:spacing w:before="200" w:after="40"/>
      <w:outlineLvl w:val="5"/>
    </w:pPr>
    <w:rPr>
      <w:b/>
      <w:bCs/>
      <w:sz w:val="20"/>
      <w:szCs w:val="20"/>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anormal"/>
    <w:uiPriority w:val="99"/>
    <w:pPr>
      <w:spacing w:after="0" w:line="240" w:lineRule="auto"/>
    </w:pPr>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har">
    <w:name w:val="Título 1 Char"/>
    <w:basedOn w:val="Fontepargpadro"/>
    <w:link w:val="Ttulo1"/>
    <w:uiPriority w:val="9"/>
    <w:rPr>
      <w:rFonts w:ascii="Arial" w:eastAsia="Arial" w:hAnsi="Arial" w:cs="Arial"/>
      <w:color w:val="365F91" w:themeColor="accent1" w:themeShade="BF"/>
      <w:sz w:val="40"/>
      <w:szCs w:val="40"/>
    </w:rPr>
  </w:style>
  <w:style w:type="character" w:customStyle="1" w:styleId="Ttulo2Char">
    <w:name w:val="Título 2 Char"/>
    <w:basedOn w:val="Fontepargpadro"/>
    <w:link w:val="Ttulo2"/>
    <w:uiPriority w:val="9"/>
    <w:rPr>
      <w:rFonts w:ascii="Arial" w:eastAsia="Arial" w:hAnsi="Arial" w:cs="Arial"/>
      <w:color w:val="365F91"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365F91"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365F91" w:themeColor="accent1" w:themeShade="BF"/>
    </w:rPr>
  </w:style>
  <w:style w:type="character" w:customStyle="1" w:styleId="Ttulo5Char">
    <w:name w:val="Título 5 Char"/>
    <w:basedOn w:val="Fontepargpadro"/>
    <w:link w:val="Ttulo5"/>
    <w:uiPriority w:val="9"/>
    <w:rPr>
      <w:rFonts w:ascii="Arial" w:eastAsia="Arial" w:hAnsi="Arial" w:cs="Arial"/>
      <w:color w:val="365F91"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tuloChar">
    <w:name w:val="Título Char"/>
    <w:basedOn w:val="Fontepargpadro"/>
    <w:link w:val="Ttulo"/>
    <w:uiPriority w:val="10"/>
    <w:rPr>
      <w:rFonts w:ascii="Arial" w:eastAsia="Arial" w:hAnsi="Arial" w:cs="Arial"/>
      <w:spacing w:val="-10"/>
      <w:sz w:val="56"/>
      <w:szCs w:val="56"/>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paragraph" w:styleId="PargrafodaLista">
    <w:name w:val="List Paragraph"/>
    <w:basedOn w:val="Normal"/>
    <w:uiPriority w:val="34"/>
    <w:qFormat/>
    <w:pPr>
      <w:ind w:left="720"/>
      <w:contextualSpacing/>
    </w:pPr>
  </w:style>
  <w:style w:type="character" w:styleId="nfaseIntensa">
    <w:name w:val="Intense Emphasis"/>
    <w:basedOn w:val="Fontepargpadro"/>
    <w:uiPriority w:val="21"/>
    <w:qFormat/>
    <w:rPr>
      <w:i/>
      <w:iCs/>
      <w:color w:val="365F91" w:themeColor="accent1" w:themeShade="BF"/>
    </w:rPr>
  </w:style>
  <w:style w:type="paragraph" w:styleId="CitaoIntensa">
    <w:name w:val="Intense Quote"/>
    <w:basedOn w:val="Normal"/>
    <w:next w:val="Normal"/>
    <w:link w:val="CitaoIntensa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oIntensaChar">
    <w:name w:val="Citação Intensa Char"/>
    <w:basedOn w:val="Fontepargpadro"/>
    <w:link w:val="CitaoIntensa"/>
    <w:uiPriority w:val="30"/>
    <w:rPr>
      <w:i/>
      <w:iCs/>
      <w:color w:val="365F91" w:themeColor="accent1" w:themeShade="BF"/>
    </w:rPr>
  </w:style>
  <w:style w:type="character" w:styleId="RefernciaIntensa">
    <w:name w:val="Intense Reference"/>
    <w:basedOn w:val="Fontepargpadro"/>
    <w:uiPriority w:val="32"/>
    <w:qFormat/>
    <w:rPr>
      <w:b/>
      <w:bCs/>
      <w:smallCaps/>
      <w:color w:val="365F91" w:themeColor="accent1" w:themeShade="BF"/>
      <w:spacing w:val="5"/>
    </w:rPr>
  </w:style>
  <w:style w:type="paragraph" w:styleId="SemEspaamento">
    <w:name w:val="No Spacing"/>
    <w:basedOn w:val="Normal"/>
    <w:uiPriority w:val="1"/>
    <w:qFormat/>
    <w:pPr>
      <w:spacing w:after="0" w:line="240" w:lineRule="auto"/>
    </w:p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Forte">
    <w:name w:val="Strong"/>
    <w:basedOn w:val="Fontepargpadro"/>
    <w:uiPriority w:val="22"/>
    <w:qFormat/>
    <w:rPr>
      <w:b/>
      <w:b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paragraph" w:styleId="Cabealho">
    <w:name w:val="header"/>
    <w:basedOn w:val="Normal"/>
    <w:link w:val="CabealhoChar"/>
    <w:uiPriority w:val="99"/>
    <w:unhideWhenUsed/>
    <w:pPr>
      <w:tabs>
        <w:tab w:val="center" w:pos="4844"/>
        <w:tab w:val="right" w:pos="9689"/>
      </w:tabs>
      <w:spacing w:after="0" w:line="240" w:lineRule="auto"/>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844"/>
        <w:tab w:val="right" w:pos="9689"/>
      </w:tabs>
      <w:spacing w:after="0" w:line="240" w:lineRule="auto"/>
    </w:pPr>
  </w:style>
  <w:style w:type="character" w:customStyle="1" w:styleId="RodapChar">
    <w:name w:val="Rodapé Char"/>
    <w:basedOn w:val="Fontepargpadro"/>
    <w:link w:val="Rodap"/>
    <w:uiPriority w:val="99"/>
  </w:style>
  <w:style w:type="paragraph" w:styleId="Legenda">
    <w:name w:val="caption"/>
    <w:basedOn w:val="Normal"/>
    <w:next w:val="Normal"/>
    <w:uiPriority w:val="35"/>
    <w:unhideWhenUsed/>
    <w:qFormat/>
    <w:pPr>
      <w:spacing w:after="200" w:line="240" w:lineRule="auto"/>
    </w:pPr>
    <w:rPr>
      <w:i/>
      <w:iCs/>
      <w:color w:val="1F497D" w:themeColor="text2"/>
      <w:sz w:val="18"/>
      <w:szCs w:val="18"/>
    </w:rPr>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yperlink">
    <w:name w:val="Hyperlink"/>
    <w:basedOn w:val="Fontepargpadro"/>
    <w:uiPriority w:val="99"/>
    <w:unhideWhenUsed/>
    <w:rPr>
      <w:color w:val="0000FF" w:themeColor="hyperlink"/>
      <w:u w:val="single"/>
    </w:rPr>
  </w:style>
  <w:style w:type="character" w:styleId="HiperlinkVisitado">
    <w:name w:val="FollowedHyperlink"/>
    <w:basedOn w:val="Fontepargpadro"/>
    <w:uiPriority w:val="99"/>
    <w:semiHidden/>
    <w:unhideWhenUsed/>
    <w:rPr>
      <w:color w:val="800080" w:themeColor="followedHyperlink"/>
      <w:u w:val="single"/>
    </w:rPr>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20"/>
    </w:p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style>
  <w:style w:type="paragraph" w:styleId="ndicedeilustraes">
    <w:name w:val="table of figures"/>
    <w:basedOn w:val="Normal"/>
    <w:next w:val="Normal"/>
    <w:uiPriority w:val="99"/>
    <w:unhideWhenUsed/>
    <w:pPr>
      <w:spacing w:after="0"/>
    </w:pPr>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har"/>
    <w:pPr>
      <w:keepNext/>
      <w:keepLines/>
      <w:spacing w:before="480" w:after="120"/>
    </w:pPr>
    <w:rPr>
      <w:b/>
      <w:bCs/>
      <w:sz w:val="72"/>
      <w:szCs w:val="72"/>
    </w:rPr>
  </w:style>
  <w:style w:type="paragraph" w:styleId="Subttulo">
    <w:name w:val="Subtitle"/>
    <w:basedOn w:val="Normal"/>
    <w:next w:val="Normal"/>
    <w:link w:val="SubttuloChar"/>
    <w:pPr>
      <w:keepNext/>
      <w:keepLines/>
      <w:spacing w:before="360" w:after="80"/>
    </w:pPr>
    <w:rPr>
      <w:rFonts w:ascii="Georgia" w:eastAsia="Georgia" w:hAnsi="Georgia" w:cs="Georgia"/>
      <w:i/>
      <w:iCs/>
      <w:color w:val="666666"/>
      <w:sz w:val="48"/>
      <w:szCs w:val="48"/>
    </w:rPr>
  </w:style>
  <w:style w:type="table" w:customStyle="1" w:styleId="StGen0">
    <w:name w:val="StGen0"/>
    <w:basedOn w:val="TableNormal"/>
    <w:tblPr>
      <w:tblStyleRowBandSize w:val="1"/>
      <w:tblStyleColBandSize w:val="1"/>
      <w:tblCellMar>
        <w:top w:w="0" w:type="dxa"/>
        <w:left w:w="0" w:type="dxa"/>
        <w:bottom w:w="0" w:type="dxa"/>
        <w:right w:w="0" w:type="dxa"/>
      </w:tblCellMar>
    </w:tblPr>
  </w:style>
  <w:style w:type="character" w:styleId="MenoPendente">
    <w:name w:val="Unresolved Mention"/>
    <w:basedOn w:val="Fontepargpadro"/>
    <w:uiPriority w:val="99"/>
    <w:semiHidden/>
    <w:unhideWhenUsed/>
    <w:rsid w:val="00F66FCA"/>
    <w:rPr>
      <w:color w:val="605E5C"/>
      <w:shd w:val="clear" w:color="auto" w:fill="E1DFDD"/>
    </w:rPr>
  </w:style>
  <w:style w:type="paragraph" w:styleId="NormalWeb">
    <w:name w:val="Normal (Web)"/>
    <w:basedOn w:val="Normal"/>
    <w:uiPriority w:val="99"/>
    <w:semiHidden/>
    <w:unhideWhenUsed/>
    <w:rsid w:val="00FD1206"/>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customStyle="1" w:styleId="CORPO-CEFETABNT">
    <w:name w:val="CORPO - CEFET ABNT"/>
    <w:basedOn w:val="Bibliografia"/>
    <w:link w:val="CORPO-CEFETABNTChar"/>
    <w:qFormat/>
    <w:rsid w:val="00771C71"/>
    <w:pPr>
      <w:spacing w:after="0" w:line="360" w:lineRule="auto"/>
      <w:ind w:firstLine="709"/>
      <w:jc w:val="both"/>
    </w:pPr>
    <w:rPr>
      <w:rFonts w:ascii="Arial" w:hAnsi="Arial" w:cs="Arial"/>
      <w:sz w:val="24"/>
    </w:rPr>
  </w:style>
  <w:style w:type="paragraph" w:styleId="Bibliografia">
    <w:name w:val="Bibliography"/>
    <w:basedOn w:val="Normal"/>
    <w:next w:val="Normal"/>
    <w:link w:val="BibliografiaChar"/>
    <w:uiPriority w:val="37"/>
    <w:semiHidden/>
    <w:unhideWhenUsed/>
    <w:rsid w:val="00771C71"/>
  </w:style>
  <w:style w:type="character" w:customStyle="1" w:styleId="BibliografiaChar">
    <w:name w:val="Bibliografia Char"/>
    <w:basedOn w:val="Fontepargpadro"/>
    <w:link w:val="Bibliografia"/>
    <w:uiPriority w:val="37"/>
    <w:semiHidden/>
    <w:rsid w:val="00771C71"/>
  </w:style>
  <w:style w:type="character" w:customStyle="1" w:styleId="CORPO-CEFETABNTChar">
    <w:name w:val="CORPO - CEFET ABNT Char"/>
    <w:basedOn w:val="BibliografiaChar"/>
    <w:link w:val="CORPO-CEFETABNT"/>
    <w:rsid w:val="00771C71"/>
    <w:rPr>
      <w:rFonts w:ascii="Arial" w:hAnsi="Arial"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google.com/search?q=https://doi.org/10.1002/jcaf.22721"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researchgate.net"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doi.org/10.1007/s42979-021-00592-x"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1186/s40537-021-00444-8" TargetMode="External"/><Relationship Id="rId5" Type="http://schemas.openxmlformats.org/officeDocument/2006/relationships/settings" Target="settings.xml"/><Relationship Id="rId15" Type="http://schemas.openxmlformats.org/officeDocument/2006/relationships/hyperlink" Target="https://christophm.github.io/interpretable-ml-book/"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bfi.uchicago.edu/wp-content/uploads/2023/07/BFI_WP_2023-10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1jVKvLFriEDEBTfJAWqBczjt8A==">CgMxLjAyD2lkLm9zZ2I2N2h3dmRncTIPaWQueHJnNW55NTNubXM2Mg5oLjhwODdhbDIxbW9mZTIOaC45OTg0d251YmFzcWsyDmguNWZ3ZDNvaG5haWloMg5oLmduaHkzNWlla25yMjIOaC55ODVraGhkaml3NzMyDmguZ2xwaWF0ZjFtZGttMg5oLmFtMWlyMm05MXZyYjIOaC5zdnppdXkxZTRpMDkyDmguNnFncWQyMjl1dTM5Mg5oLnR1amE3NGxuZXI0cjINaC4xYWR4YTVsemw5OTIOaC5uNXVkN24zOGMwcTcyDmgueTh4cHZxdmNjY2ptMg5oLjh3ZjJ0anZzeTVvYjIOaC5qaWViYzc3a3Z0cWs4AHIhMXdxcXNJeUtYbVRpcVpkeEN4RHVRNl9FSmVia0xOY1h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540414-1E2C-4BF6-8493-DAF926C327EC}">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DC83246-2491-4DFF-8BB2-23D6C4B9D79C}">
  <ds:schemaRefs>
    <ds:schemaRef ds:uri="http://schemas.openxmlformats.org/officeDocument/2006/bibliography"/>
  </ds:schemaRefs>
</ds:datastoreItem>
</file>

<file path=docMetadata/LabelInfo.xml><?xml version="1.0" encoding="utf-8"?>
<clbl:labelList xmlns:clbl="http://schemas.microsoft.com/office/2020/mipLabelMetadata">
  <clbl:label id="{725ca717-11da-4935-b601-f527b9741f2e}" enabled="1" method="Standard" siteId="{d852d5cd-724c-4128-8812-ffa5db3f8507}" removed="0"/>
</clbl:labelList>
</file>

<file path=docProps/app.xml><?xml version="1.0" encoding="utf-8"?>
<Properties xmlns="http://schemas.openxmlformats.org/officeDocument/2006/extended-properties" xmlns:vt="http://schemas.openxmlformats.org/officeDocument/2006/docPropsVTypes">
  <Template>Normal.dotm</Template>
  <TotalTime>1950</TotalTime>
  <Pages>45</Pages>
  <Words>12711</Words>
  <Characters>68643</Characters>
  <Application>Microsoft Office Word</Application>
  <DocSecurity>0</DocSecurity>
  <Lines>572</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GUSTAVO ARAUJO ALVES</cp:lastModifiedBy>
  <cp:revision>28</cp:revision>
  <dcterms:created xsi:type="dcterms:W3CDTF">2026-05-04T23:24:00Z</dcterms:created>
  <dcterms:modified xsi:type="dcterms:W3CDTF">2026-05-11T00:45:00Z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5ca717-11da-4935-b601-f527b9741f2e_Enabled">
    <vt:lpwstr>true</vt:lpwstr>
  </property>
  <property fmtid="{D5CDD505-2E9C-101B-9397-08002B2CF9AE}" pid="3" name="MSIP_Label_725ca717-11da-4935-b601-f527b9741f2e_SetDate">
    <vt:lpwstr>2025-10-26T15:11:34Z</vt:lpwstr>
  </property>
  <property fmtid="{D5CDD505-2E9C-101B-9397-08002B2CF9AE}" pid="4" name="MSIP_Label_725ca717-11da-4935-b601-f527b9741f2e_Method">
    <vt:lpwstr>Standard</vt:lpwstr>
  </property>
  <property fmtid="{D5CDD505-2E9C-101B-9397-08002B2CF9AE}" pid="5" name="MSIP_Label_725ca717-11da-4935-b601-f527b9741f2e_Name">
    <vt:lpwstr>C2 - Internal</vt:lpwstr>
  </property>
  <property fmtid="{D5CDD505-2E9C-101B-9397-08002B2CF9AE}" pid="6" name="MSIP_Label_725ca717-11da-4935-b601-f527b9741f2e_SiteId">
    <vt:lpwstr>d852d5cd-724c-4128-8812-ffa5db3f8507</vt:lpwstr>
  </property>
  <property fmtid="{D5CDD505-2E9C-101B-9397-08002B2CF9AE}" pid="7" name="MSIP_Label_725ca717-11da-4935-b601-f527b9741f2e_ActionId">
    <vt:lpwstr>e1b3753e-ddcd-43d1-9b67-fee1811c689c</vt:lpwstr>
  </property>
  <property fmtid="{D5CDD505-2E9C-101B-9397-08002B2CF9AE}" pid="8" name="MSIP_Label_725ca717-11da-4935-b601-f527b9741f2e_ContentBits">
    <vt:lpwstr>0</vt:lpwstr>
  </property>
</Properties>
</file>