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color w:val="222222"/>
          <w:highlight w:val="white"/>
          <w:u w:val="single"/>
          <w:rtl w:val="0"/>
        </w:rPr>
        <w:t xml:space="preserve"> Le dictionnaire de données. 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410"/>
        <w:gridCol w:w="1035"/>
        <w:gridCol w:w="2160"/>
        <w:gridCol w:w="2445"/>
        <w:tblGridChange w:id="0">
          <w:tblGrid>
            <w:gridCol w:w="2145"/>
            <w:gridCol w:w="1410"/>
            <w:gridCol w:w="1035"/>
            <w:gridCol w:w="2160"/>
            <w:gridCol w:w="24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rPr>
                <w:b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Attribut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rPr>
                <w:b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Entité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rPr>
                <w:b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>
                <w:b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domaine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b w:val="1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color w:val="222222"/>
                <w:sz w:val="20"/>
                <w:szCs w:val="20"/>
                <w:highlight w:val="white"/>
                <w:rtl w:val="0"/>
              </w:rPr>
              <w:t xml:space="preserve">commentaire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typologieTumeur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cérébrale primitive ou métabases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gradeGliome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grade1, grade2, grade3 et grade4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refExamen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caractTumeur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taille, ralentissement sur le cerveau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DécisionThérapeutique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TypeLésion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comportementTumeur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IdPathologie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idFichier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métadonnées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ImagerieAnatomique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Modalités d'IRM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pondérationImage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T1,T2, T2*, densitré protons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RefImagerieperfusionnelle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agentConstrate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gadolinium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donnéesRéelles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paramètresCalculées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SignalCapté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intensité ou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TypeParamètres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MTT, TTP, rCVB, rCBF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idCartographie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intensitéPixel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valeurPhysiologique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EcartDroitGaucheCerveau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EchelleRisqueGliome(perfusion et métabolique)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(+1, +3, +5)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TempsEcho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 long, TE court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Taux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Cho/Cr, NAA/Cr, NAA/Cho, Lac, Lip/Cr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NomComprimés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IdLotsComprimés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Idpharmacien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idGroupePatient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IdCommenditaire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PrenomPatient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AgePatient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[25 , 70 ]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SexePatient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Masculin ou féminin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IdTraiement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molécule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posologie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dateDébut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date d’aujourd’hui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dateFin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dateDebut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Id_patient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Nom_Patient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Prenom_Patient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Type_Pathologies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excluante, non excluante, a risque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Type_Traitement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Nom_Molecule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Date_Analyse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RefEssaiClinique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DateDebEssaiC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DurééEssaiC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idMedecin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SpMedecin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neurologue, neurochirurgien, neuro-oncologue, neuro-radiologue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Nom_Med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Prenom_Med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RefIRMs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dateIRM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CaractTumeurs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Date_Proch_Examen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Id_Hopital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Nom_Hopital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Id_Department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Nom_Deparetement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code_Postale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Id_lot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Indice_lot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0&lt;Indice_lot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idInfirmier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poids,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réel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fréquence cardiaque,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réel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List_medicamPris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Enrégistrements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texte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fréquence cardiaque, tension et poids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la tension,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réel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&gt;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