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jc w:val="center"/>
      </w:pPr>
      <w:r>
        <w:rPr/>
        <w:t xml:space="preserve">记录表 / BIÊN BẢN GHI CHÉP ĐỐI THOẠI</w:t>
      </w:r>
    </w:p>
    <w:p>
      <w:r>
        <w:rPr/>
        <w:t xml:space="preserve">超盈纺织（越南）有限公司 — Công ty TNHH Best Pacific Việt Nam</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1512"/>
        <w:gridCol w:w="1512"/>
        <w:gridCol w:w="1512"/>
        <w:gridCol w:w="1512"/>
        <w:gridCol w:w="1512"/>
        <w:gridCol w:w="1512"/>
      </w:tblGrid>
      <w:tr>
        <w:tc>
          <w:tcPr>
            <w:tcW w:w="1512" w:type="dxa"/>
          </w:tcPr>
          <w:p>
            <w:pPr>
              <w:spacing w:before="20" w:after="20" w:line="240" w:lineRule="auto"/>
              <w:rPr>
                <w:sz w:val="17"/>
              </w:rPr>
            </w:pPr>
            <w:r>
              <w:rPr>
                <w:sz w:val="17"/>
                <w:b/>
              </w:rPr>
              <w:t xml:space="preserve">日期 / Ngày</w:t>
            </w:r>
          </w:p>
        </w:tc>
        <w:tc>
          <w:tcPr>
            <w:tcW w:w="1512" w:type="dxa"/>
          </w:tcPr>
          <w:p>
            <w:pPr>
              <w:spacing w:before="20" w:after="20" w:line="240" w:lineRule="auto"/>
              <w:rPr>
                <w:sz w:val="17"/>
              </w:rPr>
            </w:pPr>
            <w:r>
              <w:rPr>
                <w:sz w:val="17"/>
                <w:b/>
              </w:rPr>
              <w:t xml:space="preserve">10/08/2026</w:t>
            </w:r>
          </w:p>
        </w:tc>
        <w:tc>
          <w:tcPr>
            <w:tcW w:w="1512" w:type="dxa"/>
          </w:tcPr>
          <w:p>
            <w:pPr>
              <w:spacing w:before="20" w:after="20" w:line="240" w:lineRule="auto"/>
              <w:rPr>
                <w:sz w:val="17"/>
              </w:rPr>
            </w:pPr>
            <w:r>
              <w:rPr>
                <w:sz w:val="17"/>
                <w:b/>
              </w:rPr>
              <w:t xml:space="preserve">时间 / Thời gian</w:t>
            </w:r>
          </w:p>
        </w:tc>
        <w:tc>
          <w:tcPr>
            <w:tcW w:w="1512" w:type="dxa"/>
          </w:tcPr>
          <w:p>
            <w:pPr>
              <w:spacing w:before="20" w:after="20" w:line="240" w:lineRule="auto"/>
              <w:rPr>
                <w:sz w:val="17"/>
              </w:rPr>
            </w:pPr>
            <w:r>
              <w:rPr>
                <w:sz w:val="17"/>
                <w:b/>
              </w:rPr>
              <w:t xml:space="preserve">14:00 – 16:00</w:t>
            </w:r>
          </w:p>
        </w:tc>
        <w:tc>
          <w:tcPr>
            <w:tcW w:w="1512" w:type="dxa"/>
          </w:tcPr>
          <w:p>
            <w:pPr>
              <w:spacing w:before="20" w:after="20" w:line="240" w:lineRule="auto"/>
              <w:rPr>
                <w:sz w:val="17"/>
              </w:rPr>
            </w:pPr>
            <w:r>
              <w:rPr>
                <w:sz w:val="17"/>
                <w:b/>
              </w:rPr>
              <w:t xml:space="preserve">地方 / Địa điểm</w:t>
            </w:r>
          </w:p>
        </w:tc>
        <w:tc>
          <w:tcPr>
            <w:tcW w:w="1512" w:type="dxa"/>
          </w:tcPr>
          <w:p>
            <w:pPr>
              <w:spacing w:before="20" w:after="20" w:line="240" w:lineRule="auto"/>
              <w:rPr>
                <w:sz w:val="17"/>
              </w:rPr>
            </w:pPr>
            <w:r>
              <w:rPr>
                <w:sz w:val="17"/>
              </w:rPr>
              <w:t xml:space="preserve">培训房间 / Phòng đào tạo</w:t>
            </w:r>
          </w:p>
        </w:tc>
      </w:tr>
      <w:tr>
        <w:tc>
          <w:tcPr>
            <w:tcW w:w="1512" w:type="dxa"/>
          </w:tcPr>
          <w:p>
            <w:pPr>
              <w:spacing w:before="20" w:after="20" w:line="240" w:lineRule="auto"/>
              <w:rPr>
                <w:sz w:val="17"/>
              </w:rPr>
            </w:pPr>
            <w:r>
              <w:rPr>
                <w:sz w:val="17"/>
                <w:b/>
              </w:rPr>
              <w:t xml:space="preserve">讲师 / Người giảng</w:t>
            </w:r>
          </w:p>
        </w:tc>
        <w:tc>
          <w:tcPr>
            <w:tcW w:w="1512" w:type="dxa"/>
          </w:tcPr>
          <w:p>
            <w:pPr>
              <w:spacing w:before="20" w:after="20" w:line="240" w:lineRule="auto"/>
              <w:rPr>
                <w:sz w:val="17"/>
              </w:rPr>
            </w:pPr>
            <w:r>
              <w:rPr>
                <w:sz w:val="17"/>
                <w:b/>
              </w:rPr>
              <w:t xml:space="preserve">Bùi Văn Thiều</w:t>
            </w:r>
          </w:p>
        </w:tc>
        <w:tc>
          <w:tcPr>
            <w:tcW w:w="1512" w:type="dxa"/>
          </w:tcPr>
          <w:p>
            <w:pPr>
              <w:spacing w:before="20" w:after="20" w:line="240" w:lineRule="auto"/>
              <w:rPr>
                <w:sz w:val="17"/>
              </w:rPr>
            </w:pPr>
            <w:r>
              <w:rPr>
                <w:sz w:val="17"/>
                <w:b/>
              </w:rPr>
              <w:t xml:space="preserve">部門 / Bộ phận</w:t>
            </w:r>
          </w:p>
        </w:tc>
        <w:tc>
          <w:tcPr>
            <w:tcW w:w="1512" w:type="dxa"/>
          </w:tcPr>
          <w:p>
            <w:pPr>
              <w:spacing w:before="20" w:after="20" w:line="240" w:lineRule="auto"/>
              <w:rPr>
                <w:sz w:val="17"/>
              </w:rPr>
            </w:pPr>
            <w:r>
              <w:rPr>
                <w:sz w:val="17"/>
                <w:b/>
              </w:rPr>
              <w:t xml:space="preserve">IT</w:t>
            </w:r>
          </w:p>
        </w:tc>
        <w:tc>
          <w:tcPr>
            <w:tcW w:w="1512" w:type="dxa"/>
          </w:tcPr>
          <w:p>
            <w:pPr>
              <w:spacing w:before="20" w:after="20" w:line="240" w:lineRule="auto"/>
              <w:rPr>
                <w:sz w:val="17"/>
              </w:rPr>
            </w:pPr>
            <w:r>
              <w:t xml:space="preserve"/>
            </w:r>
          </w:p>
        </w:tc>
        <w:tc>
          <w:tcPr>
            <w:tcW w:w="1512" w:type="dxa"/>
          </w:tcPr>
          <w:p>
            <w:pPr>
              <w:spacing w:before="20" w:after="20" w:line="240" w:lineRule="auto"/>
              <w:rPr>
                <w:sz w:val="17"/>
              </w:rPr>
            </w:pPr>
            <w:r>
              <w:t xml:space="preserve"/>
            </w:r>
          </w:p>
        </w:tc>
      </w:tr>
    </w:tbl>
    <w:p>
      <w:pPr>
        <w:spacing w:after="0" w:line="120" w:lineRule="auto"/>
      </w:pP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c>
          <w:tcPr>
            <w:tcW w:w="4535" w:type="dxa"/>
          </w:tcPr>
          <w:p>
            <w:pPr>
              <w:spacing w:before="20" w:after="20" w:line="240" w:lineRule="auto"/>
              <w:rPr>
                <w:sz w:val="17"/>
              </w:rPr>
            </w:pPr>
            <w:r>
              <w:rPr>
                <w:sz w:val="17"/>
                <w:b/>
              </w:rPr>
              <w:t xml:space="preserve">教程 / Giáo trình ĐT</w:t>
            </w:r>
          </w:p>
        </w:tc>
        <w:tc>
          <w:tcPr>
            <w:tcW w:w="4535" w:type="dxa"/>
          </w:tcPr>
          <w:p>
            <w:pPr>
              <w:spacing w:before="20" w:after="20" w:line="240" w:lineRule="auto"/>
              <w:rPr>
                <w:sz w:val="17"/>
              </w:rPr>
            </w:pPr>
            <w:r>
              <w:rPr>
                <w:sz w:val="17"/>
              </w:rPr>
              <w:t xml:space="preserve">《DF Connector 系统操作手册》 — Hướng dẫn sử dụng hệ thống DF Connector</w:t>
            </w:r>
          </w:p>
        </w:tc>
      </w:tr>
      <w:tr>
        <w:tc>
          <w:tcPr>
            <w:tcW w:w="4535" w:type="dxa"/>
          </w:tcPr>
          <w:p>
            <w:pPr>
              <w:spacing w:before="20" w:after="20" w:line="240" w:lineRule="auto"/>
              <w:rPr>
                <w:sz w:val="17"/>
              </w:rPr>
            </w:pPr>
            <w:r>
              <w:rPr>
                <w:sz w:val="17"/>
                <w:b/>
              </w:rPr>
              <w:t xml:space="preserve">训练目的 / Mục đích ĐT</w:t>
            </w:r>
          </w:p>
        </w:tc>
        <w:tc>
          <w:tcPr>
            <w:tcW w:w="4535" w:type="dxa"/>
          </w:tcPr>
          <w:p>
            <w:pPr>
              <w:spacing w:before="20" w:after="20" w:line="240" w:lineRule="auto"/>
              <w:rPr>
                <w:sz w:val="17"/>
              </w:rPr>
            </w:pPr>
            <w:r>
              <w:rPr>
                <w:sz w:val="17"/>
              </w:rPr>
              <w:t xml:space="preserve">掌握 DF Connector 系统操作，保证称重数据准确、可追溯，杜绝数据丢失与误操作。 — Nắm vững thao tác hệ thống DF Connector; bảo đảm số liệu cân chính xác, truy vết được; phòng ngừa mất dữ liệu và thao tác sai.</w:t>
            </w:r>
          </w:p>
        </w:tc>
      </w:tr>
    </w:tbl>
    <w:p>
      <w:pPr>
        <w:spacing w:after="0" w:line="120" w:lineRule="auto"/>
      </w:pPr>
    </w:p>
    <w:p>
      <w:r>
        <w:rPr>
          <w:b/>
        </w:rPr>
        <w:t xml:space="preserve">陪训內容 / NỘI DUNG ĐỐI THOẠI — A. 主要内容 / Nội dung chính</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c>
          <w:tcPr>
            <w:tcW w:w="4535" w:type="dxa"/>
          </w:tcPr>
          <w:p>
            <w:pPr>
              <w:spacing w:before="20" w:after="20" w:line="240" w:lineRule="auto"/>
              <w:rPr>
                <w:sz w:val="17"/>
              </w:rPr>
            </w:pPr>
            <w:r>
              <w:rPr>
                <w:sz w:val="17"/>
                <w:b/>
              </w:rPr>
              <w:t xml:space="preserve">I</w:t>
            </w:r>
          </w:p>
        </w:tc>
        <w:tc>
          <w:tcPr>
            <w:tcW w:w="4535" w:type="dxa"/>
          </w:tcPr>
          <w:p>
            <w:pPr>
              <w:spacing w:before="20" w:after="20" w:line="240" w:lineRule="auto"/>
              <w:rPr>
                <w:sz w:val="17"/>
              </w:rPr>
            </w:pPr>
            <w:r>
              <w:rPr>
                <w:sz w:val="17"/>
              </w:rPr>
              <w:t xml:space="preserve">系统概述与班前检查 — Tổng quan hệ thống và kiểm tra đầu ca (cân, DF Agent, máy in tem, mã trạm)</w:t>
            </w:r>
          </w:p>
        </w:tc>
      </w:tr>
      <w:tr>
        <w:tc>
          <w:tcPr>
            <w:tcW w:w="4535" w:type="dxa"/>
          </w:tcPr>
          <w:p>
            <w:pPr>
              <w:spacing w:before="20" w:after="20" w:line="240" w:lineRule="auto"/>
              <w:rPr>
                <w:sz w:val="17"/>
              </w:rPr>
            </w:pPr>
            <w:r>
              <w:rPr>
                <w:sz w:val="17"/>
                <w:b/>
              </w:rPr>
              <w:t xml:space="preserve">II</w:t>
            </w:r>
          </w:p>
        </w:tc>
        <w:tc>
          <w:tcPr>
            <w:tcW w:w="4535" w:type="dxa"/>
          </w:tcPr>
          <w:p>
            <w:pPr>
              <w:spacing w:before="20" w:after="20" w:line="240" w:lineRule="auto"/>
              <w:rPr>
                <w:sz w:val="17"/>
              </w:rPr>
            </w:pPr>
            <w:r>
              <w:rPr>
                <w:sz w:val="17"/>
              </w:rPr>
              <w:t xml:space="preserve">工单录入与标签打印 — Nhập đơn sản xuất và in tem (MainForm, TO_SEND, QR PRINTER 9 dòng)</w:t>
            </w:r>
          </w:p>
        </w:tc>
      </w:tr>
      <w:tr>
        <w:tc>
          <w:tcPr>
            <w:tcW w:w="4535" w:type="dxa"/>
          </w:tcPr>
          <w:p>
            <w:pPr>
              <w:spacing w:before="20" w:after="20" w:line="240" w:lineRule="auto"/>
              <w:rPr>
                <w:sz w:val="17"/>
              </w:rPr>
            </w:pPr>
            <w:r>
              <w:rPr>
                <w:sz w:val="17"/>
                <w:b/>
              </w:rPr>
              <w:t xml:space="preserve">III</w:t>
            </w:r>
          </w:p>
        </w:tc>
        <w:tc>
          <w:tcPr>
            <w:tcW w:w="4535" w:type="dxa"/>
          </w:tcPr>
          <w:p>
            <w:pPr>
              <w:spacing w:before="20" w:after="20" w:line="240" w:lineRule="auto"/>
              <w:rPr>
                <w:sz w:val="17"/>
              </w:rPr>
            </w:pPr>
            <w:r>
              <w:rPr>
                <w:sz w:val="17"/>
              </w:rPr>
              <w:t xml:space="preserve">小秤工位操作（6kg 以下） — Vận hành trạm cân nhỏ dưới 6kg: quét mã, trừ bì, DELTA, TIẾP, LƯU</w:t>
            </w:r>
          </w:p>
        </w:tc>
      </w:tr>
      <w:tr>
        <w:tc>
          <w:tcPr>
            <w:tcW w:w="4535" w:type="dxa"/>
          </w:tcPr>
          <w:p>
            <w:pPr>
              <w:spacing w:before="20" w:after="20" w:line="240" w:lineRule="auto"/>
              <w:rPr>
                <w:sz w:val="17"/>
              </w:rPr>
            </w:pPr>
            <w:r>
              <w:rPr>
                <w:sz w:val="17"/>
                <w:b/>
              </w:rPr>
              <w:t xml:space="preserve">IV</w:t>
            </w:r>
          </w:p>
        </w:tc>
        <w:tc>
          <w:tcPr>
            <w:tcW w:w="4535" w:type="dxa"/>
          </w:tcPr>
          <w:p>
            <w:pPr>
              <w:spacing w:before="20" w:after="20" w:line="240" w:lineRule="auto"/>
              <w:rPr>
                <w:sz w:val="17"/>
              </w:rPr>
            </w:pPr>
            <w:r>
              <w:rPr>
                <w:sz w:val="17"/>
              </w:rPr>
              <w:t xml:space="preserve">大秤工位与 SEND OVER 6 — Vận hành trạm cân to từ 6kg và khối SEND OVER 6 (nút OUT/IN gửi mã rack)</w:t>
            </w:r>
          </w:p>
        </w:tc>
      </w:tr>
      <w:tr>
        <w:tc>
          <w:tcPr>
            <w:tcW w:w="4535" w:type="dxa"/>
          </w:tcPr>
          <w:p>
            <w:pPr>
              <w:spacing w:before="20" w:after="20" w:line="240" w:lineRule="auto"/>
              <w:rPr>
                <w:sz w:val="17"/>
              </w:rPr>
            </w:pPr>
            <w:r>
              <w:rPr>
                <w:sz w:val="17"/>
                <w:b/>
              </w:rPr>
              <w:t xml:space="preserve">V</w:t>
            </w:r>
          </w:p>
        </w:tc>
        <w:tc>
          <w:tcPr>
            <w:tcW w:w="4535" w:type="dxa"/>
          </w:tcPr>
          <w:p>
            <w:pPr>
              <w:spacing w:before="20" w:after="20" w:line="240" w:lineRule="auto"/>
              <w:rPr>
                <w:sz w:val="17"/>
              </w:rPr>
            </w:pPr>
            <w:r>
              <w:rPr>
                <w:sz w:val="17"/>
              </w:rPr>
              <w:t xml:space="preserve">履历查询·补打单据·重复称重 — Tra cứu lịch sử cân, in lại phiếu, nhận biết và báo cáo cân trùng</w:t>
            </w:r>
          </w:p>
        </w:tc>
      </w:tr>
      <w:tr>
        <w:tc>
          <w:tcPr>
            <w:tcW w:w="4535" w:type="dxa"/>
          </w:tcPr>
          <w:p>
            <w:pPr>
              <w:spacing w:before="20" w:after="20" w:line="240" w:lineRule="auto"/>
              <w:rPr>
                <w:sz w:val="17"/>
              </w:rPr>
            </w:pPr>
            <w:r>
              <w:rPr>
                <w:sz w:val="17"/>
                <w:b/>
              </w:rPr>
              <w:t xml:space="preserve">VI</w:t>
            </w:r>
          </w:p>
        </w:tc>
        <w:tc>
          <w:tcPr>
            <w:tcW w:w="4535" w:type="dxa"/>
          </w:tcPr>
          <w:p>
            <w:pPr>
              <w:spacing w:before="20" w:after="20" w:line="240" w:lineRule="auto"/>
              <w:rPr>
                <w:sz w:val="17"/>
              </w:rPr>
            </w:pPr>
            <w:r>
              <w:rPr>
                <w:sz w:val="17"/>
              </w:rPr>
              <w:t xml:space="preserve">异常处理与数据安全禁令 — Xử lý sự cố (mất tín hiệu cân, mất mạng, mẻ chờ gửi) và các điều cấm an toàn dữ liệu</w:t>
            </w:r>
          </w:p>
        </w:tc>
      </w:tr>
    </w:tbl>
    <w:p>
      <w:pPr>
        <w:spacing w:after="0" w:line="120" w:lineRule="auto"/>
      </w:pPr>
    </w:p>
    <w:p>
      <w:r>
        <w:rPr>
          <w:b/>
        </w:rPr>
        <w:t xml:space="preserve">B. 关于培训内容的问答 / Hỏi đáp về nội dung đối thoại</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4535"/>
        <w:gridCol w:w="4535"/>
      </w:tblGrid>
      <w:tr>
        <w:tc>
          <w:tcPr>
            <w:tcW w:w="4535" w:type="dxa"/>
          </w:tcPr>
          <w:p>
            <w:pPr>
              <w:spacing w:before="20" w:after="20" w:line="240" w:lineRule="auto"/>
              <w:rPr>
                <w:sz w:val="17"/>
              </w:rPr>
            </w:pPr>
            <w:r>
              <w:rPr>
                <w:sz w:val="17"/>
                <w:b/>
              </w:rPr>
              <w:t xml:space="preserve">1</w:t>
            </w:r>
          </w:p>
        </w:tc>
        <w:tc>
          <w:tcPr>
            <w:tcW w:w="4535" w:type="dxa"/>
          </w:tcPr>
          <w:p>
            <w:pPr>
              <w:spacing w:before="20" w:after="20" w:line="240" w:lineRule="auto"/>
              <w:rPr>
                <w:sz w:val="17"/>
              </w:rPr>
            </w:pPr>
            <w:r>
              <w:rPr>
                <w:sz w:val="17"/>
              </w:rPr>
              <w:t xml:space="preserve">秤"信号丢失"时不得保存 — Cân báo MẤT TÍN HIỆU thì KHÔNG được bấm LƯU, số đang hiện là số cũ.</w:t>
            </w:r>
          </w:p>
        </w:tc>
      </w:tr>
      <w:tr>
        <w:tc>
          <w:tcPr>
            <w:tcW w:w="4535" w:type="dxa"/>
          </w:tcPr>
          <w:p>
            <w:pPr>
              <w:spacing w:before="20" w:after="20" w:line="240" w:lineRule="auto"/>
              <w:rPr>
                <w:sz w:val="17"/>
              </w:rPr>
            </w:pPr>
            <w:r>
              <w:rPr>
                <w:sz w:val="17"/>
                <w:b/>
              </w:rPr>
              <w:t xml:space="preserve">2</w:t>
            </w:r>
          </w:p>
        </w:tc>
        <w:tc>
          <w:tcPr>
            <w:tcW w:w="4535" w:type="dxa"/>
          </w:tcPr>
          <w:p>
            <w:pPr>
              <w:spacing w:before="20" w:after="20" w:line="240" w:lineRule="auto"/>
              <w:rPr>
                <w:sz w:val="17"/>
              </w:rPr>
            </w:pPr>
            <w:r>
              <w:rPr>
                <w:sz w:val="17"/>
              </w:rPr>
              <w:t xml:space="preserve">严禁清除浏览器数据 — Còn mẻ chờ gửi thì TUYỆT ĐỐI KHÔNG xoá dữ liệu trình duyệt, mất vĩnh viễn.</w:t>
            </w:r>
          </w:p>
        </w:tc>
      </w:tr>
      <w:tr>
        <w:tc>
          <w:tcPr>
            <w:tcW w:w="4535" w:type="dxa"/>
          </w:tcPr>
          <w:p>
            <w:pPr>
              <w:spacing w:before="20" w:after="20" w:line="240" w:lineRule="auto"/>
              <w:rPr>
                <w:sz w:val="17"/>
              </w:rPr>
            </w:pPr>
            <w:r>
              <w:rPr>
                <w:sz w:val="17"/>
                <w:b/>
              </w:rPr>
              <w:t xml:space="preserve">3</w:t>
            </w:r>
          </w:p>
        </w:tc>
        <w:tc>
          <w:tcPr>
            <w:tcW w:w="4535" w:type="dxa"/>
          </w:tcPr>
          <w:p>
            <w:pPr>
              <w:spacing w:before="20" w:after="20" w:line="240" w:lineRule="auto"/>
              <w:rPr>
                <w:sz w:val="17"/>
              </w:rPr>
            </w:pPr>
            <w:r>
              <w:rPr>
                <w:sz w:val="17"/>
              </w:rPr>
              <w:t xml:space="preserve">重复称重 = 颜色+品号+机台+LV — Cân trùng là giống cả 4: Màu, Mã hàng, Máy, LV; phát hiện phải báo tổ trưởng.</w:t>
            </w:r>
          </w:p>
        </w:tc>
      </w:tr>
      <w:tr>
        <w:tc>
          <w:tcPr>
            <w:tcW w:w="4535" w:type="dxa"/>
          </w:tcPr>
          <w:p>
            <w:pPr>
              <w:spacing w:before="20" w:after="20" w:line="240" w:lineRule="auto"/>
              <w:rPr>
                <w:sz w:val="17"/>
              </w:rPr>
            </w:pPr>
            <w:r>
              <w:rPr>
                <w:sz w:val="17"/>
                <w:b/>
              </w:rPr>
              <w:t xml:space="preserve">4</w:t>
            </w:r>
          </w:p>
        </w:tc>
        <w:tc>
          <w:tcPr>
            <w:tcW w:w="4535" w:type="dxa"/>
          </w:tcPr>
          <w:p>
            <w:pPr>
              <w:spacing w:before="20" w:after="20" w:line="240" w:lineRule="auto"/>
              <w:rPr>
                <w:sz w:val="17"/>
              </w:rPr>
            </w:pPr>
            <w:r>
              <w:rPr>
                <w:sz w:val="17"/>
              </w:rPr>
              <w:t xml:space="preserve">扫码掉字符须 CLEAR 后重扫 — Quét rớt ký tự làm khóa SAVE, không gõ tay bù, phải CLEAR rồi quét lại.</w:t>
            </w:r>
          </w:p>
        </w:tc>
      </w:tr>
      <w:tr>
        <w:tc>
          <w:tcPr>
            <w:tcW w:w="4535" w:type="dxa"/>
          </w:tcPr>
          <w:p>
            <w:pPr>
              <w:spacing w:before="20" w:after="20" w:line="240" w:lineRule="auto"/>
              <w:rPr>
                <w:sz w:val="17"/>
              </w:rPr>
            </w:pPr>
            <w:r>
              <w:rPr>
                <w:sz w:val="17"/>
                <w:b/>
              </w:rPr>
              <w:t xml:space="preserve">5</w:t>
            </w:r>
          </w:p>
        </w:tc>
        <w:tc>
          <w:tcPr>
            <w:tcW w:w="4535" w:type="dxa"/>
          </w:tcPr>
          <w:p>
            <w:pPr>
              <w:spacing w:before="20" w:after="20" w:line="240" w:lineRule="auto"/>
              <w:rPr>
                <w:sz w:val="17"/>
              </w:rPr>
            </w:pPr>
            <w:r>
              <w:rPr>
                <w:sz w:val="17"/>
              </w:rPr>
              <w:t xml:space="preserve">补打单据记入审计日志 — In lại phiếu đều được ghi Audit Log kèm tên người thực hiện.</w:t>
            </w:r>
          </w:p>
        </w:tc>
      </w:tr>
    </w:tbl>
    <w:p>
      <w:pPr>
        <w:spacing w:after="0" w:line="120" w:lineRule="auto"/>
      </w:pPr>
    </w:p>
    <w:p>
      <w:r>
        <w:rPr>
          <w:b/>
        </w:rPr>
        <w:t xml:space="preserve">备注 / Ghi chú:</w:t>
      </w:r>
      <w:r>
        <w:rPr/>
        <w:t xml:space="preserve"> 并行运行阶段，学员须同时使用网页与原 Excel 系统，每班对账一次，不一致须上报组长。学员名单见另附签到表。 — Giai đoạn chạy song song: dùng đồng thời hệ thống Web và Excel cũ, đối soát mỗi ca một lần, lệch số báo tổ trưởng ngay. Danh sách học viên theo bảng điểm danh đính kèm.</w:t>
      </w:r>
    </w:p>
    <w:tbl>
      <w:tblPr>
        <w:tblW w:w="5000" w:type="pct"/>
        <w:tblBorders>
          <w:top w:val="single" w:sz="6" w:color="808080"/>
          <w:left w:val="single" w:sz="6" w:color="808080"/>
          <w:bottom w:val="single" w:sz="6" w:color="808080"/>
          <w:right w:val="single" w:sz="6" w:color="808080"/>
          <w:insideH w:val="single" w:sz="6" w:color="808080"/>
          <w:insideV w:val="single" w:sz="6" w:color="808080"/>
        </w:tblBorders>
        <w:tblCellMar>
          <w:top w:w="40" w:type="dxa"/>
          <w:left w:w="80" w:type="dxa"/>
          <w:bottom w:w="40" w:type="dxa"/>
          <w:right w:w="80" w:type="dxa"/>
        </w:tblCellMar>
      </w:tblPr>
      <w:tblGrid>
        <w:gridCol w:w="2268"/>
        <w:gridCol w:w="2268"/>
        <w:gridCol w:w="2268"/>
        <w:gridCol w:w="2268"/>
      </w:tblGrid>
      <w:tr>
        <w:trPr>
          <w:tblHeader/>
        </w:trPr>
        <w:tc>
          <w:tcPr>
            <w:tcW w:w="2268" w:type="dxa"/>
            <w:shd w:val="clear" w:fill="DCE6F1"/>
          </w:tcPr>
          <w:p>
            <w:pPr>
              <w:spacing w:before="20" w:after="20" w:line="240" w:lineRule="auto"/>
              <w:rPr>
                <w:sz w:val="17"/>
              </w:rPr>
            </w:pPr>
            <w:r>
              <w:rPr>
                <w:sz w:val="17"/>
                <w:b/>
              </w:rPr>
              <w:t xml:space="preserve">纪录 / Ghi chép</w:t>
            </w:r>
          </w:p>
        </w:tc>
        <w:tc>
          <w:tcPr>
            <w:tcW w:w="2268" w:type="dxa"/>
            <w:shd w:val="clear" w:fill="DCE6F1"/>
          </w:tcPr>
          <w:p>
            <w:pPr>
              <w:spacing w:before="20" w:after="20" w:line="240" w:lineRule="auto"/>
              <w:rPr>
                <w:sz w:val="17"/>
              </w:rPr>
            </w:pPr>
            <w:r>
              <w:rPr>
                <w:sz w:val="17"/>
                <w:b/>
              </w:rPr>
              <w:t xml:space="preserve">检查 / Kiểm tra</w:t>
            </w:r>
          </w:p>
        </w:tc>
        <w:tc>
          <w:tcPr>
            <w:tcW w:w="2268" w:type="dxa"/>
            <w:shd w:val="clear" w:fill="DCE6F1"/>
          </w:tcPr>
          <w:p>
            <w:pPr>
              <w:spacing w:before="20" w:after="20" w:line="240" w:lineRule="auto"/>
              <w:rPr>
                <w:sz w:val="17"/>
              </w:rPr>
            </w:pPr>
            <w:r>
              <w:rPr>
                <w:sz w:val="17"/>
                <w:b/>
              </w:rPr>
              <w:t xml:space="preserve">培训部门 / BP đào tạo: IT</w:t>
            </w:r>
          </w:p>
        </w:tc>
        <w:tc>
          <w:tcPr>
            <w:tcW w:w="2268" w:type="dxa"/>
            <w:shd w:val="clear" w:fill="DCE6F1"/>
          </w:tcPr>
          <w:p>
            <w:pPr>
              <w:spacing w:before="20" w:after="20" w:line="240" w:lineRule="auto"/>
              <w:rPr>
                <w:sz w:val="17"/>
              </w:rPr>
            </w:pPr>
            <w:r>
              <w:rPr>
                <w:sz w:val="17"/>
                <w:b/>
              </w:rPr>
              <w:t xml:space="preserve">接收部门 / BP tiếp nhận: …………</w:t>
            </w:r>
          </w:p>
        </w:tc>
      </w:tr>
      <w:tr>
        <w:tc>
          <w:tcPr>
            <w:tcW w:w="2268" w:type="dxa"/>
          </w:tcPr>
          <w:p>
            <w:pPr>
              <w:spacing w:before="20" w:after="20" w:line="240" w:lineRule="auto"/>
              <w:rPr>
                <w:sz w:val="17"/>
              </w:rPr>
            </w:pPr>
            <w:r>
              <w:rPr>
                <w:sz w:val="17"/>
                <w:i/>
              </w:rPr>
              <w:t xml:space="preserve">(签名、姓名 / Ký, ghi rõ họ tên)</w:t>
            </w:r>
          </w:p>
        </w:tc>
        <w:tc>
          <w:tcPr>
            <w:tcW w:w="2268" w:type="dxa"/>
          </w:tcPr>
          <w:p>
            <w:pPr>
              <w:spacing w:before="20" w:after="20" w:line="240" w:lineRule="auto"/>
              <w:rPr>
                <w:sz w:val="17"/>
              </w:rPr>
            </w:pPr>
            <w:r>
              <w:rPr>
                <w:sz w:val="17"/>
                <w:i/>
              </w:rPr>
              <w:t xml:space="preserve">(签名、姓名 / Ký, ghi rõ họ tên)</w:t>
            </w:r>
          </w:p>
        </w:tc>
        <w:tc>
          <w:tcPr>
            <w:tcW w:w="2268" w:type="dxa"/>
          </w:tcPr>
          <w:p>
            <w:pPr>
              <w:spacing w:before="20" w:after="20" w:line="240" w:lineRule="auto"/>
              <w:rPr>
                <w:sz w:val="17"/>
              </w:rPr>
            </w:pPr>
            <w:r>
              <w:rPr>
                <w:sz w:val="17"/>
                <w:i/>
              </w:rPr>
              <w:t xml:space="preserve">(主管签名 / Trưởng BP ký)</w:t>
            </w:r>
          </w:p>
        </w:tc>
        <w:tc>
          <w:tcPr>
            <w:tcW w:w="2268" w:type="dxa"/>
          </w:tcPr>
          <w:p>
            <w:pPr>
              <w:spacing w:before="20" w:after="20" w:line="240" w:lineRule="auto"/>
              <w:rPr>
                <w:sz w:val="17"/>
              </w:rPr>
            </w:pPr>
            <w:r>
              <w:rPr>
                <w:sz w:val="17"/>
                <w:i/>
              </w:rPr>
              <w:t xml:space="preserve">(主管签名 / Trưởng BP ký)</w:t>
            </w:r>
          </w:p>
        </w:tc>
      </w:tr>
      <w:tr>
        <w:tc>
          <w:tcPr>
            <w:tcW w:w="2268" w:type="dxa"/>
          </w:tcPr>
          <w:p>
            <w:pPr>
              <w:spacing w:before="20" w:after="20" w:line="240" w:lineRule="auto"/>
              <w:rPr>
                <w:sz w:val="17"/>
              </w:rPr>
            </w:pPr>
            <w:r>
              <w:br/>
            </w:r>
            <w:r>
              <w:br/>
            </w:r>
          </w:p>
        </w:tc>
        <w:tc>
          <w:tcPr>
            <w:tcW w:w="2268" w:type="dxa"/>
          </w:tcPr>
          <w:p>
            <w:pPr>
              <w:spacing w:before="20" w:after="20" w:line="240" w:lineRule="auto"/>
              <w:rPr>
                <w:sz w:val="17"/>
              </w:rPr>
            </w:pPr>
            <w:r>
              <w:br/>
            </w:r>
            <w:r>
              <w:br/>
            </w:r>
          </w:p>
        </w:tc>
        <w:tc>
          <w:tcPr>
            <w:tcW w:w="2268" w:type="dxa"/>
          </w:tcPr>
          <w:p>
            <w:pPr>
              <w:spacing w:before="20" w:after="20" w:line="240" w:lineRule="auto"/>
              <w:rPr>
                <w:sz w:val="17"/>
              </w:rPr>
            </w:pPr>
            <w:r>
              <w:br/>
            </w:r>
            <w:r>
              <w:br/>
            </w:r>
          </w:p>
        </w:tc>
        <w:tc>
          <w:tcPr>
            <w:tcW w:w="2268" w:type="dxa"/>
          </w:tcPr>
          <w:p>
            <w:pPr>
              <w:spacing w:before="20" w:after="20" w:line="240" w:lineRule="auto"/>
              <w:rPr>
                <w:sz w:val="17"/>
              </w:rPr>
            </w:pPr>
            <w:r>
              <w:br/>
            </w:r>
            <w:r>
              <w:br/>
            </w:r>
          </w:p>
        </w:tc>
      </w:tr>
      <w:tr>
        <w:tc>
          <w:tcPr>
            <w:tcW w:w="2268" w:type="dxa"/>
          </w:tcPr>
          <w:p>
            <w:pPr>
              <w:spacing w:before="20" w:after="20" w:line="240" w:lineRule="auto"/>
              <w:rPr>
                <w:sz w:val="17"/>
              </w:rPr>
            </w:pPr>
            <w:r>
              <w:rPr>
                <w:sz w:val="17"/>
              </w:rPr>
              <w:t xml:space="preserve">…………………</w:t>
            </w:r>
          </w:p>
        </w:tc>
        <w:tc>
          <w:tcPr>
            <w:tcW w:w="2268" w:type="dxa"/>
          </w:tcPr>
          <w:p>
            <w:pPr>
              <w:spacing w:before="20" w:after="20" w:line="240" w:lineRule="auto"/>
              <w:rPr>
                <w:sz w:val="17"/>
              </w:rPr>
            </w:pPr>
            <w:r>
              <w:rPr>
                <w:sz w:val="17"/>
              </w:rPr>
              <w:t xml:space="preserve">…………………</w:t>
            </w:r>
          </w:p>
        </w:tc>
        <w:tc>
          <w:tcPr>
            <w:tcW w:w="2268" w:type="dxa"/>
          </w:tcPr>
          <w:p>
            <w:pPr>
              <w:spacing w:before="20" w:after="20" w:line="240" w:lineRule="auto"/>
              <w:rPr>
                <w:sz w:val="17"/>
              </w:rPr>
            </w:pPr>
            <w:r>
              <w:rPr>
                <w:sz w:val="17"/>
              </w:rPr>
              <w:t xml:space="preserve">…………………</w:t>
            </w:r>
          </w:p>
        </w:tc>
        <w:tc>
          <w:tcPr>
            <w:tcW w:w="2268" w:type="dxa"/>
          </w:tcPr>
          <w:p>
            <w:pPr>
              <w:spacing w:before="20" w:after="20" w:line="240" w:lineRule="auto"/>
              <w:rPr>
                <w:sz w:val="17"/>
              </w:rPr>
            </w:pPr>
            <w:r>
              <w:rPr>
                <w:sz w:val="17"/>
              </w:rPr>
              <w:t xml:space="preserve">…………………</w:t>
            </w:r>
          </w:p>
        </w:tc>
      </w:tr>
    </w:tbl>
    <w:p>
      <w:pPr>
        <w:spacing w:after="0" w:line="120" w:lineRule="auto"/>
      </w:pPr>
    </w:p>
    <w:p>
      <w:r>
        <w:rPr>
          <w:i/>
        </w:rPr>
        <w:t xml:space="preserve">BPVN-HR-PR-030 A/1</w:t>
      </w:r>
    </w:p>
    <w:sectPr>
      <w:pgSz w:w="11906" w:h="16838"/>
      <w:pgMar w:top="680" w:right="680" w:bottom="567" w:left="850" w:header="340" w:footer="340" w:gutter="0"/>
    </w:sectPr>
  </w:body>
</w:document>
</file>

<file path=word/settings.xml><?xml version="1.0" encoding="utf-8"?>
<w:settings xmlns:w="http://schemas.openxmlformats.org/wordprocessingml/2006/main" xmlns:w14="http://schemas.microsoft.com/office/word/2010/wordml" xmlns:mc="http://schemas.openxmlformats.org/markup-compatibility/2006" mc:Ignorable="w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vi-VN" w:eastAsia="zh-CN"/>
</w:settings>
</file>

<file path=word/styles.xml><?xml version="1.0" encoding="utf-8"?>
<w:styles xmlns:w="http://schemas.openxmlformats.org/wordprocessingml/2006/main">
  <w:docDefaults>
    <w:rPrDefault>
      <w:rPr>
        <w:rFonts w:ascii="Times New Roman" w:hAnsi="Times New Roman" w:eastAsia="SimSun" w:cs="Times New Roman"/>
        <w:sz w:val="21"/>
        <w:szCs w:val="21"/>
        <w:lang w:val="vi-VN"/>
      </w:rPr>
    </w:rPrDefault>
    <w:pPrDefault>
      <w:pPr>
        <w:spacing w:before="20" w:after="40" w:line="240" w:lineRule="auto"/>
      </w:pPr>
    </w:pPrDefault>
  </w:docDefaults>
  <w:style w:type="paragraph" w:default="1" w:styleId="Normal">
    <w:name w:val="Normal"/>
    <w:qFormat/>
  </w:style>
  <w:style w:type="paragraph" w:styleId="Heading1">
    <w:name w:val="heading 1"/>
    <w:basedOn w:val="Normal"/>
    <w:qFormat/>
    <w:pPr>
      <w:keepNext/>
      <w:outlineLvl w:val="0"/>
      <w:spacing w:before="0" w:after="60"/>
    </w:pPr>
    <w:rPr>
      <w:b/>
      <w:color w:val="16365C"/>
      <w:sz w:val="30"/>
    </w:rPr>
  </w:style>
  <w:style w:type="paragraph" w:styleId="Heading2">
    <w:name w:val="heading 2"/>
    <w:basedOn w:val="Normal"/>
    <w:qFormat/>
    <w:pPr>
      <w:keepNext/>
      <w:outlineLvl w:val="1"/>
      <w:spacing w:before="80" w:after="40"/>
    </w:pPr>
    <w:rPr>
      <w:b/>
      <w:color w:val="1F497D"/>
      <w:sz w:val="24"/>
    </w:rPr>
  </w:style>
  <w:style w:type="paragraph" w:styleId="Heading3">
    <w:name w:val="heading 3"/>
    <w:basedOn w:val="Normal"/>
    <w:qFormat/>
    <w:pPr>
      <w:keepNext/>
      <w:outlineLvl w:val="2"/>
      <w:spacing w:before="60" w:after="30"/>
    </w:pPr>
    <w:rPr>
      <w:b/>
      <w:color w:val="1F497D"/>
      <w:sz w:val="22"/>
    </w:rPr>
  </w:style>
  <w:style w:type="paragraph" w:styleId="Heading4">
    <w:name w:val="heading 4"/>
    <w:basedOn w:val="Normal"/>
    <w:qFormat/>
    <w:pPr>
      <w:keepNext/>
      <w:outlineLvl w:val="3"/>
      <w:spacing w:before="60" w:after="30"/>
    </w:pPr>
    <w:rPr>
      <w:b/>
      <w:i/>
      <w:color w:val="404040"/>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Bien ban dao tao BPVN-HR-PR-030</dc:title>
  <dcterms:created xsi:type="dcterms:W3CDTF">2026-08-12T14:33:22Z</dcterms:created>
  <dcterms:modified xsi:type="dcterms:W3CDTF">2026-08-12T14:33:22Z</dcterms:modified>
</cp:coreProperties>
</file>