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071ED1CB" w:rsidR="00051CF9" w:rsidRDefault="004E284C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Beta-blockers_Optimal</w:t>
            </w: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0DF8E7C5" w:rsidR="00051CF9" w:rsidRDefault="004E284C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Beta-blockers</w:t>
            </w: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7EC03D1D" w:rsidR="00120E6D" w:rsidRDefault="004E284C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5245" w:type="dxa"/>
          </w:tcPr>
          <w:p w14:paraId="192A2D7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397EEF13" w:rsidR="00120E6D" w:rsidRDefault="004E284C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6F2E1F7E" w:rsidR="00120E6D" w:rsidRDefault="004E284C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17B30011" w:rsidR="00120E6D" w:rsidRDefault="004E284C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resources available :</w:t>
            </w:r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72049E" w:rsidRDefault="0072049E" w:rsidP="00D9248E">
            <w:pPr>
              <w:spacing w:line="240" w:lineRule="auto"/>
              <w:rPr>
                <w:color w:val="1155CC"/>
                <w:u w:val="single"/>
              </w:rPr>
            </w:pPr>
            <w:r w:rsidRPr="0072049E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054A81" w:rsidRDefault="00F65085" w:rsidP="0072049E">
            <w:pPr>
              <w:spacing w:line="240" w:lineRule="auto"/>
              <w:rPr>
                <w:color w:val="1155CC"/>
                <w:u w:val="single"/>
              </w:rPr>
            </w:pPr>
            <w:hyperlink r:id="rId10">
              <w:r w:rsidR="0072049E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 xml:space="preserve">Prescribing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054A81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1D32DB7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5C63D230">
        <w:trPr>
          <w:trHeight w:val="1875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 Codelists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color w:val="1155CC"/>
                <w:u w:val="single"/>
              </w:rPr>
              <w:fldChar w:fldCharType="begin"/>
            </w:r>
            <w:r w:rsidRPr="4790708E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72049E">
              <w:rPr>
                <w:color w:val="1155CC"/>
                <w:u w:val="single"/>
              </w:rPr>
              <w:fldChar w:fldCharType="separate"/>
            </w:r>
            <w:r w:rsidRPr="4790708E">
              <w:rPr>
                <w:rStyle w:val="Hyperlink"/>
              </w:rPr>
              <w:t>CPRD product code lists of the potentially prescribed ...</w:t>
            </w:r>
          </w:p>
          <w:p w14:paraId="5AA5AA0A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rStyle w:val="Hyperlink"/>
              </w:rPr>
              <w:t>https://bmjopen.bmj.com › inline-supplementary-material-1</w:t>
            </w:r>
          </w:p>
          <w:p w14:paraId="20791F4C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72049E">
              <w:rPr>
                <w:color w:val="1155CC"/>
                <w:u w:val="single"/>
              </w:rPr>
              <w:fldChar w:fldCharType="end"/>
            </w:r>
          </w:p>
          <w:p w14:paraId="61B25C08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65E9340A" w14:textId="25692D8C" w:rsidR="0072049E" w:rsidRPr="1D32DB7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</w:tc>
      </w:tr>
      <w:tr w:rsidR="008E0772" w14:paraId="5D97C8CE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360233C5" w:rsidR="008E0772" w:rsidRPr="0072049E" w:rsidRDefault="5C63D23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5C63D230">
              <w:rPr>
                <w:color w:val="1155CC"/>
                <w:u w:val="single"/>
              </w:rPr>
              <w:t>https://reference.medscape.com/drugs</w:t>
            </w:r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72049E" w:rsidRDefault="00F65085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 w:rsidR="008E0772" w:rsidRPr="5C63D230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72049E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2521ECD0" w:rsidR="008E0772" w:rsidRPr="0072049E" w:rsidRDefault="5C63D230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5C63D230">
              <w:rPr>
                <w:color w:val="1155CC"/>
                <w:u w:val="single"/>
              </w:rPr>
              <w:t>https://www.diabetes.org.uk/guide-to-diabetes/managing-your-diabetes/treating-your-</w:t>
            </w:r>
            <w:r w:rsidRPr="5C63D230">
              <w:rPr>
                <w:color w:val="1155CC"/>
                <w:u w:val="single"/>
              </w:rPr>
              <w:lastRenderedPageBreak/>
              <w:t>diabetes/tablets-and-medication</w:t>
            </w:r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p w14:paraId="75F40CFD" w14:textId="2EA32D8A" w:rsidR="0072049E" w:rsidRDefault="0072049E"/>
    <w:p w14:paraId="4516C2B3" w14:textId="15383661" w:rsidR="0072049E" w:rsidRDefault="0072049E"/>
    <w:p w14:paraId="288AE98D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72596E" w14:paraId="70C817F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83EC" w14:textId="77777777" w:rsidR="00A17CB4" w:rsidRDefault="00A17CB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Advanced search was used.</w:t>
            </w:r>
          </w:p>
          <w:p w14:paraId="5906B12E" w14:textId="6F696065" w:rsidR="0072596E" w:rsidRDefault="00A17CB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 contains</w:t>
            </w:r>
            <w:r w:rsidR="00336DCD">
              <w:t xml:space="preserve">: </w:t>
            </w:r>
            <w:r w:rsidR="00336DCD" w:rsidRPr="00336DCD">
              <w:t>Celiprolol hydrochloride</w:t>
            </w:r>
            <w:r w:rsidR="00336DCD">
              <w:t xml:space="preserve"> OR </w:t>
            </w:r>
            <w:r w:rsidR="00336DCD" w:rsidRPr="00336DCD">
              <w:t>pindolol</w:t>
            </w:r>
            <w:r w:rsidR="00336DCD">
              <w:t xml:space="preserve"> OR </w:t>
            </w:r>
            <w:r w:rsidR="00336DCD" w:rsidRPr="00336DCD">
              <w:t>acebutolol</w:t>
            </w:r>
            <w:r w:rsidR="00336DCD">
              <w:t xml:space="preserve"> OR </w:t>
            </w:r>
            <w:r w:rsidR="00336DCD" w:rsidRPr="00336DCD">
              <w:t>oxprenolol</w:t>
            </w:r>
            <w:r w:rsidR="00336DCD">
              <w:t xml:space="preserve"> OR </w:t>
            </w:r>
            <w:r w:rsidR="00336DCD" w:rsidRPr="00336DCD">
              <w:t>atenolol</w:t>
            </w:r>
            <w:r w:rsidR="00336DCD">
              <w:t xml:space="preserve"> OR </w:t>
            </w:r>
            <w:r w:rsidR="00336DCD" w:rsidRPr="00336DCD">
              <w:t>nadolol</w:t>
            </w:r>
            <w:r w:rsidR="00336DCD">
              <w:t xml:space="preserve"> OR </w:t>
            </w:r>
            <w:r w:rsidR="00336DCD" w:rsidRPr="00336DCD">
              <w:t>sotalol hydrochloride</w:t>
            </w:r>
            <w:r w:rsidR="00336DCD">
              <w:t xml:space="preserve"> OR </w:t>
            </w:r>
            <w:r w:rsidR="00336DCD" w:rsidRPr="00336DCD">
              <w:t>bisoprolol fumarate</w:t>
            </w:r>
            <w:r w:rsidR="00336DCD">
              <w:t xml:space="preserve"> OR </w:t>
            </w:r>
            <w:r w:rsidR="00336DCD" w:rsidRPr="00336DCD">
              <w:t>Labetalol hydrochloride</w:t>
            </w:r>
            <w:r w:rsidR="00336DCD">
              <w:t xml:space="preserve"> OR carvedilol OR </w:t>
            </w:r>
            <w:r w:rsidR="00336DCD" w:rsidRPr="00336DCD">
              <w:t>nebivolol</w:t>
            </w:r>
            <w:r w:rsidR="00336DCD">
              <w:t xml:space="preserve"> OR </w:t>
            </w:r>
            <w:r w:rsidR="00336DCD" w:rsidRPr="00336DCD">
              <w:t>metoprolol tartrate</w:t>
            </w:r>
            <w:r w:rsidR="00336DCD">
              <w:t xml:space="preserve"> OR </w:t>
            </w:r>
            <w:r w:rsidR="00336DCD" w:rsidRPr="00336DCD">
              <w:t>propranolol hydrochloride</w:t>
            </w:r>
            <w:r w:rsidR="00336DCD">
              <w:t xml:space="preserve"> OR </w:t>
            </w:r>
            <w:r w:rsidR="00336DCD" w:rsidRPr="00336DCD">
              <w:t>timolol maleate</w:t>
            </w:r>
            <w:r w:rsidR="00336DCD">
              <w:t xml:space="preserve"> OR </w:t>
            </w:r>
            <w:r w:rsidR="00336DCD" w:rsidRPr="00336DCD">
              <w:t>Esmolol hydrochloride</w:t>
            </w:r>
            <w:r w:rsidR="00336DCD">
              <w:t xml:space="preserve"> OR </w:t>
            </w:r>
            <w:r w:rsidR="00336DCD" w:rsidRPr="00336DCD">
              <w:t>Betaxolol</w:t>
            </w:r>
            <w:r w:rsidR="00336DCD">
              <w:t xml:space="preserve"> OR </w:t>
            </w:r>
            <w:r w:rsidR="00336DCD" w:rsidRPr="00336DCD">
              <w:t>levobunolol hydrochloride</w:t>
            </w:r>
          </w:p>
        </w:tc>
      </w:tr>
      <w:tr w:rsidR="0072596E" w14:paraId="7448616E" w14:textId="77777777" w:rsidTr="00E91C2B">
        <w:trPr>
          <w:trHeight w:val="79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D1C6D" w14:textId="682086F4" w:rsidR="0072596E" w:rsidRDefault="00E3064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Trandate</w:t>
            </w:r>
          </w:p>
        </w:tc>
      </w:tr>
      <w:tr w:rsidR="0072596E" w14:paraId="6CB71F36" w14:textId="77777777" w:rsidTr="00E91C2B">
        <w:trPr>
          <w:trHeight w:val="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E9F04" w14:textId="1EBCA3DC" w:rsidR="0072596E" w:rsidRDefault="00E91C2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91C2B">
              <w:t>Brevibloc</w:t>
            </w:r>
          </w:p>
        </w:tc>
      </w:tr>
      <w:tr w:rsidR="0072596E" w14:paraId="41012696" w14:textId="77777777" w:rsidTr="00E91C2B">
        <w:trPr>
          <w:trHeight w:val="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54C0" w14:textId="117A98B1" w:rsidR="0072596E" w:rsidRDefault="00E91C2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91C2B">
              <w:t>Kerlone (DSC)</w:t>
            </w:r>
          </w:p>
        </w:tc>
      </w:tr>
      <w:tr w:rsidR="0072596E" w14:paraId="72A9850E" w14:textId="77777777" w:rsidTr="00405486">
        <w:trPr>
          <w:trHeight w:val="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245A" w14:textId="2D0DF05E" w:rsidR="0072596E" w:rsidRDefault="00405486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05486">
              <w:t>Monocor</w:t>
            </w:r>
          </w:p>
        </w:tc>
      </w:tr>
      <w:tr w:rsidR="0072596E" w14:paraId="1715C4BD" w14:textId="77777777" w:rsidTr="00405486">
        <w:trPr>
          <w:trHeight w:val="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6DA8" w14:textId="7B49AFBB" w:rsidR="0072596E" w:rsidRDefault="00405486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05486">
              <w:t>Tenormin</w:t>
            </w:r>
          </w:p>
        </w:tc>
      </w:tr>
      <w:tr w:rsidR="0072596E" w14:paraId="7E8E180A" w14:textId="77777777" w:rsidTr="00405486">
        <w:trPr>
          <w:trHeight w:val="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4022" w14:textId="7FBFEB63" w:rsidR="0072596E" w:rsidRDefault="00405486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05486">
              <w:t>Sectral</w:t>
            </w:r>
          </w:p>
        </w:tc>
      </w:tr>
      <w:tr w:rsidR="0072596E" w14:paraId="4018C69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209C" w14:textId="3978BF53" w:rsidR="0072596E" w:rsidRDefault="00CE4607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607">
              <w:t>Visken</w:t>
            </w:r>
          </w:p>
        </w:tc>
      </w:tr>
      <w:tr w:rsidR="0072596E" w14:paraId="043DCDD1" w14:textId="77777777" w:rsidTr="00CE4607">
        <w:trPr>
          <w:trHeight w:val="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07AA" w14:textId="4E13E9FF" w:rsidR="0072596E" w:rsidRDefault="00CE4607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607">
              <w:lastRenderedPageBreak/>
              <w:t>Blocadren (DSC)</w:t>
            </w:r>
          </w:p>
        </w:tc>
      </w:tr>
      <w:tr w:rsidR="00CE4607" w14:paraId="7046518A" w14:textId="77777777" w:rsidTr="00CE4607">
        <w:trPr>
          <w:trHeight w:val="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0107" w14:textId="47A35237" w:rsidR="00CE4607" w:rsidRPr="00CE4607" w:rsidRDefault="00CE4607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607">
              <w:t>Corgard</w:t>
            </w:r>
          </w:p>
        </w:tc>
      </w:tr>
      <w:tr w:rsidR="00CE4607" w14:paraId="76D8FC3A" w14:textId="77777777" w:rsidTr="00CE4607">
        <w:trPr>
          <w:trHeight w:val="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1FD4" w14:textId="26A04D6B" w:rsidR="00CE4607" w:rsidRPr="00CE4607" w:rsidRDefault="00CE4607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607">
              <w:t>Inderal</w:t>
            </w:r>
          </w:p>
        </w:tc>
      </w:tr>
      <w:tr w:rsidR="00CE4607" w14:paraId="2F132A7D" w14:textId="77777777" w:rsidTr="00CE4607">
        <w:trPr>
          <w:trHeight w:val="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32B4" w14:textId="5027739C" w:rsidR="00CE4607" w:rsidRPr="00CE4607" w:rsidRDefault="0046634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66340">
              <w:t>sotalol</w:t>
            </w:r>
          </w:p>
        </w:tc>
      </w:tr>
      <w:tr w:rsidR="00CE4607" w14:paraId="14DBA508" w14:textId="77777777" w:rsidTr="00CE4607">
        <w:trPr>
          <w:trHeight w:val="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1C412" w14:textId="29B115D9" w:rsidR="00CE4607" w:rsidRPr="00CE4607" w:rsidRDefault="00B7564A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564A">
              <w:t>Celectol</w:t>
            </w:r>
            <w:r>
              <w:t xml:space="preserve"> OR </w:t>
            </w:r>
            <w:r w:rsidRPr="00B7564A">
              <w:t>Viskaldix</w:t>
            </w:r>
            <w:r>
              <w:t xml:space="preserve"> OR </w:t>
            </w:r>
            <w:r w:rsidR="009F58EC" w:rsidRPr="009F58EC">
              <w:t>Sectral</w:t>
            </w:r>
            <w:r w:rsidR="009F58EC">
              <w:t xml:space="preserve"> OR </w:t>
            </w:r>
            <w:r w:rsidR="009F58EC" w:rsidRPr="009F58EC">
              <w:t>Secadrex</w:t>
            </w:r>
            <w:r w:rsidR="009F58EC">
              <w:t xml:space="preserve"> OR </w:t>
            </w:r>
            <w:r w:rsidR="00DF4B12" w:rsidRPr="00DF4B12">
              <w:t>Slow-Trasicor</w:t>
            </w:r>
            <w:r w:rsidR="00DF4B12">
              <w:t xml:space="preserve"> OR </w:t>
            </w:r>
            <w:r w:rsidR="00DF4B12" w:rsidRPr="00DF4B12">
              <w:t>Trasicor</w:t>
            </w:r>
            <w:r w:rsidR="00DF4B12">
              <w:t xml:space="preserve"> OR </w:t>
            </w:r>
            <w:r w:rsidR="00DF4B12" w:rsidRPr="00DF4B12">
              <w:t>Antipressan</w:t>
            </w:r>
            <w:r w:rsidR="00DF4B12">
              <w:t xml:space="preserve"> OR </w:t>
            </w:r>
            <w:r w:rsidR="00DF4B12" w:rsidRPr="00DF4B12">
              <w:t>Atenix</w:t>
            </w:r>
            <w:r w:rsidR="00DF4B12">
              <w:t xml:space="preserve"> OR </w:t>
            </w:r>
            <w:r w:rsidR="00DF4B12" w:rsidRPr="00DF4B12">
              <w:t>Tenormin</w:t>
            </w:r>
            <w:r w:rsidR="00DF4B12">
              <w:t xml:space="preserve"> OR </w:t>
            </w:r>
            <w:r w:rsidR="00DF4B12" w:rsidRPr="00DF4B12">
              <w:t>nadolol</w:t>
            </w:r>
            <w:r w:rsidR="00DF4B12">
              <w:t xml:space="preserve"> OR </w:t>
            </w:r>
            <w:r w:rsidR="00DF4B12" w:rsidRPr="00DF4B12">
              <w:t>Sotacor</w:t>
            </w:r>
            <w:r w:rsidR="00DF4B12">
              <w:t xml:space="preserve"> OR </w:t>
            </w:r>
            <w:r w:rsidR="00DF4B12" w:rsidRPr="00DF4B12">
              <w:t>Beta-Cardone</w:t>
            </w:r>
            <w:r w:rsidR="00DF4B12">
              <w:t xml:space="preserve"> OR </w:t>
            </w:r>
            <w:r w:rsidR="00DF4B12" w:rsidRPr="00DF4B12">
              <w:t>Cardicor</w:t>
            </w:r>
            <w:r w:rsidR="00DF4B12">
              <w:t xml:space="preserve"> OR </w:t>
            </w:r>
            <w:r w:rsidR="00DF4B12" w:rsidRPr="00DF4B12">
              <w:t>Congescor</w:t>
            </w:r>
            <w:r w:rsidR="00DF4B12">
              <w:t xml:space="preserve"> OR </w:t>
            </w:r>
            <w:r w:rsidR="00DF4B12" w:rsidRPr="00DF4B12">
              <w:t>Trandate</w:t>
            </w:r>
            <w:r w:rsidR="00DF4B12">
              <w:t xml:space="preserve"> OR </w:t>
            </w:r>
            <w:r w:rsidR="00DF4B12" w:rsidRPr="00DF4B12">
              <w:t>Eucardic</w:t>
            </w:r>
            <w:r w:rsidR="00DF4B12">
              <w:t xml:space="preserve"> OR </w:t>
            </w:r>
            <w:r w:rsidR="00DF4B12" w:rsidRPr="00DF4B12">
              <w:t>Hypoloc</w:t>
            </w:r>
            <w:r w:rsidR="00DF4B12">
              <w:t xml:space="preserve"> OR </w:t>
            </w:r>
            <w:r w:rsidR="00DF4B12" w:rsidRPr="00DF4B12">
              <w:t>Nebilet</w:t>
            </w:r>
            <w:r w:rsidR="00DF4B12">
              <w:t xml:space="preserve"> OR </w:t>
            </w:r>
            <w:r w:rsidR="00DF4B12" w:rsidRPr="00DF4B12">
              <w:t>Co-Betaloc</w:t>
            </w:r>
            <w:r w:rsidR="00DF4B12">
              <w:t xml:space="preserve"> OR </w:t>
            </w:r>
            <w:r w:rsidR="00DF4B12" w:rsidRPr="00DF4B12">
              <w:t>Betaloc</w:t>
            </w:r>
            <w:r w:rsidR="00DF4B12">
              <w:t xml:space="preserve"> OR </w:t>
            </w:r>
            <w:r w:rsidR="00DF4B12" w:rsidRPr="00DF4B12">
              <w:t>Lopresor</w:t>
            </w:r>
            <w:r w:rsidR="00DF4B12">
              <w:t xml:space="preserve"> OR </w:t>
            </w:r>
            <w:r w:rsidR="00DF4B12" w:rsidRPr="00DF4B12">
              <w:t>Angilol</w:t>
            </w:r>
            <w:r w:rsidR="00DF4B12">
              <w:t xml:space="preserve"> OR </w:t>
            </w:r>
            <w:r w:rsidR="00DF4B12" w:rsidRPr="00DF4B12">
              <w:t>Bedranol</w:t>
            </w:r>
            <w:r w:rsidR="00DF4B12">
              <w:t xml:space="preserve"> OR </w:t>
            </w:r>
            <w:r w:rsidR="00DF4B12" w:rsidRPr="00DF4B12">
              <w:t>Dupromex</w:t>
            </w:r>
            <w:r w:rsidR="00DF4B12">
              <w:t xml:space="preserve"> OR </w:t>
            </w:r>
            <w:r w:rsidR="00DF4B12" w:rsidRPr="00DF4B12">
              <w:t>Inderal</w:t>
            </w:r>
            <w:r w:rsidR="00DF4B12">
              <w:t xml:space="preserve"> OR </w:t>
            </w:r>
            <w:r w:rsidR="00DF4B12" w:rsidRPr="00DF4B12">
              <w:t>Brevibloc</w:t>
            </w:r>
            <w:r w:rsidR="00DF4B12">
              <w:t xml:space="preserve"> OR </w:t>
            </w:r>
            <w:r w:rsidR="00DF4B12" w:rsidRPr="00DF4B12">
              <w:t>Kerlone</w:t>
            </w: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264A25F4" w14:textId="77777777" w:rsidTr="00DF4B12">
        <w:trPr>
          <w:trHeight w:val="293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1BF01648" w:rsidR="0072596E" w:rsidRDefault="00A17CB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Eye drops / gel</w:t>
            </w: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19FECB25" w:rsidR="00E07445" w:rsidRDefault="00DF4B12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Nikita Simms-Williams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44E4837B" w:rsidR="00E07445" w:rsidRDefault="00DF4B12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30/03/2022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43D87" w14:textId="77777777" w:rsidR="00F65085" w:rsidRDefault="00F65085" w:rsidP="00144599">
      <w:pPr>
        <w:spacing w:line="240" w:lineRule="auto"/>
      </w:pPr>
      <w:r>
        <w:separator/>
      </w:r>
    </w:p>
  </w:endnote>
  <w:endnote w:type="continuationSeparator" w:id="0">
    <w:p w14:paraId="0BB164D8" w14:textId="77777777" w:rsidR="00F65085" w:rsidRDefault="00F65085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031D5" w14:textId="77777777" w:rsidR="00F65085" w:rsidRDefault="00F65085" w:rsidP="00144599">
      <w:pPr>
        <w:spacing w:line="240" w:lineRule="auto"/>
      </w:pPr>
      <w:r>
        <w:separator/>
      </w:r>
    </w:p>
  </w:footnote>
  <w:footnote w:type="continuationSeparator" w:id="0">
    <w:p w14:paraId="39E2BA45" w14:textId="77777777" w:rsidR="00F65085" w:rsidRDefault="00F65085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169F0"/>
    <w:multiLevelType w:val="multilevel"/>
    <w:tmpl w:val="CF66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54A81"/>
    <w:rsid w:val="00120E6D"/>
    <w:rsid w:val="00144599"/>
    <w:rsid w:val="00336DCD"/>
    <w:rsid w:val="00374876"/>
    <w:rsid w:val="0040449D"/>
    <w:rsid w:val="00405486"/>
    <w:rsid w:val="0045336B"/>
    <w:rsid w:val="00466340"/>
    <w:rsid w:val="00485700"/>
    <w:rsid w:val="004E284C"/>
    <w:rsid w:val="006B0D9B"/>
    <w:rsid w:val="0072049E"/>
    <w:rsid w:val="0072596E"/>
    <w:rsid w:val="00800B96"/>
    <w:rsid w:val="008A59F7"/>
    <w:rsid w:val="008B1D1D"/>
    <w:rsid w:val="008E0772"/>
    <w:rsid w:val="008F12F5"/>
    <w:rsid w:val="00905EDA"/>
    <w:rsid w:val="009F58EC"/>
    <w:rsid w:val="00A016E0"/>
    <w:rsid w:val="00A17CB4"/>
    <w:rsid w:val="00A479D6"/>
    <w:rsid w:val="00B7564A"/>
    <w:rsid w:val="00C140EC"/>
    <w:rsid w:val="00CE4607"/>
    <w:rsid w:val="00D20DE7"/>
    <w:rsid w:val="00D265C1"/>
    <w:rsid w:val="00DF4B12"/>
    <w:rsid w:val="00DFFB33"/>
    <w:rsid w:val="00E07445"/>
    <w:rsid w:val="00E3064D"/>
    <w:rsid w:val="00E91C2B"/>
    <w:rsid w:val="00F65085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pilepsy.org.uk/info/treatment/uk-anti-epileptic-drugs-list" TargetMode="External"/><Relationship Id="rId5" Type="http://schemas.openxmlformats.org/officeDocument/2006/relationships/styles" Target="styles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7FB39E5C-BF02-49AC-801B-6CAC994839AA}"/>
</file>

<file path=customXml/itemProps2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Nikita Simms-Williams (Applied Health Research)</cp:lastModifiedBy>
  <cp:revision>6</cp:revision>
  <dcterms:created xsi:type="dcterms:W3CDTF">2022-03-30T15:12:00Z</dcterms:created>
  <dcterms:modified xsi:type="dcterms:W3CDTF">2022-03-30T16:12:00Z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