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3DC9EE95" w:rsidR="00322153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 w:rsidRPr="00C02B47">
              <w:rPr>
                <w:i/>
                <w:iCs/>
              </w:rPr>
              <w:t>Anticonvulsants_OPTIMAL</w:t>
            </w:r>
            <w:proofErr w:type="spellEnd"/>
          </w:p>
        </w:tc>
      </w:tr>
      <w:tr w:rsidR="00322153" w14:paraId="724A63D3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67C" w14:textId="0254EFA1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treatment summary </w:t>
            </w:r>
          </w:p>
          <w:p w14:paraId="1F314CDB" w14:textId="77777777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1E9517" w14:textId="54F03BC1" w:rsidR="00322153" w:rsidRPr="00322153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2B47">
              <w:t>https://bnf.nice.org.uk/treatment-summaries/epilepsy/</w:t>
            </w:r>
          </w:p>
        </w:tc>
      </w:tr>
    </w:tbl>
    <w:p w14:paraId="04887522" w14:textId="77777777" w:rsidR="00C02B47" w:rsidRDefault="00C02B47" w:rsidP="00C02B4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Anticonvulsants</w:t>
      </w:r>
    </w:p>
    <w:p w14:paraId="0202468A" w14:textId="77777777" w:rsidR="00C02B47" w:rsidRDefault="00C02B47" w:rsidP="00C02B47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#SNOMED QUERY:</w:t>
      </w:r>
    </w:p>
    <w:p w14:paraId="2C58BD8D" w14:textId="77777777" w:rsidR="00C02B47" w:rsidRDefault="00C02B47" w:rsidP="00C02B47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concept_</w:t>
      </w:r>
      <w:proofErr w:type="gramStart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find</w:t>
      </w:r>
      <w:proofErr w:type="spellEnd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ecl</w:t>
      </w:r>
      <w:proofErr w:type="spellEnd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 xml:space="preserve"> = "&lt;&lt;763158003 : 127489000 |Has active ingredient (attribute) | = &lt;&lt;255632006", limit= 1200)$</w:t>
      </w:r>
      <w:proofErr w:type="spellStart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idAndFsnTerm</w:t>
      </w:r>
      <w:proofErr w:type="spellEnd"/>
    </w:p>
    <w:p w14:paraId="636CA483" w14:textId="77777777" w:rsidR="00C02B47" w:rsidRDefault="00C02B47" w:rsidP="00C02B4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</w:p>
    <w:p w14:paraId="59F021B6" w14:textId="77777777" w:rsidR="00C02B47" w:rsidRDefault="00C02B47" w:rsidP="00C02B4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Alzain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Arbil MR, Ativan, </w:t>
      </w:r>
      <w:proofErr w:type="spellStart"/>
      <w:r>
        <w:rPr>
          <w:rFonts w:ascii="Segoe UI" w:hAnsi="Segoe UI" w:cs="Segoe UI"/>
          <w:color w:val="333333"/>
          <w:spacing w:val="5"/>
        </w:rPr>
        <w:t>Axalid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Belvo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Briviact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Bromazepam, </w:t>
      </w:r>
      <w:proofErr w:type="spellStart"/>
      <w:r>
        <w:rPr>
          <w:rFonts w:ascii="Segoe UI" w:hAnsi="Segoe UI" w:cs="Segoe UI"/>
          <w:color w:val="333333"/>
          <w:spacing w:val="5"/>
        </w:rPr>
        <w:t>Buccolam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Carbagen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Carbamazepine, </w:t>
      </w:r>
      <w:proofErr w:type="spellStart"/>
      <w:r>
        <w:rPr>
          <w:rFonts w:ascii="Segoe UI" w:hAnsi="Segoe UI" w:cs="Segoe UI"/>
          <w:color w:val="333333"/>
          <w:spacing w:val="5"/>
        </w:rPr>
        <w:t>Celontin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Centrax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Chlordiazepoxide, Clobazam, Clomethiazole, Clonazepam, </w:t>
      </w:r>
      <w:proofErr w:type="spellStart"/>
      <w:r>
        <w:rPr>
          <w:rFonts w:ascii="Segoe UI" w:hAnsi="Segoe UI" w:cs="Segoe UI"/>
          <w:color w:val="333333"/>
          <w:spacing w:val="5"/>
        </w:rPr>
        <w:t>Convulex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Dalmane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Depakote, </w:t>
      </w:r>
      <w:proofErr w:type="spellStart"/>
      <w:r>
        <w:rPr>
          <w:rFonts w:ascii="Segoe UI" w:hAnsi="Segoe UI" w:cs="Segoe UI"/>
          <w:color w:val="333333"/>
          <w:spacing w:val="5"/>
        </w:rPr>
        <w:t>Desitrend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Desizon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Diacomit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Diazemuls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Diazepam, </w:t>
      </w:r>
      <w:proofErr w:type="spellStart"/>
      <w:r>
        <w:rPr>
          <w:rFonts w:ascii="Segoe UI" w:hAnsi="Segoe UI" w:cs="Segoe UI"/>
          <w:color w:val="333333"/>
          <w:spacing w:val="5"/>
        </w:rPr>
        <w:t>Dibro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-Be, </w:t>
      </w:r>
      <w:proofErr w:type="spellStart"/>
      <w:r>
        <w:rPr>
          <w:rFonts w:ascii="Segoe UI" w:hAnsi="Segoe UI" w:cs="Segoe UI"/>
          <w:color w:val="333333"/>
          <w:spacing w:val="5"/>
        </w:rPr>
        <w:t>Dilantin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Dormicum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Emeside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Epanutin, </w:t>
      </w:r>
      <w:proofErr w:type="spellStart"/>
      <w:r>
        <w:rPr>
          <w:rFonts w:ascii="Segoe UI" w:hAnsi="Segoe UI" w:cs="Segoe UI"/>
          <w:color w:val="333333"/>
          <w:spacing w:val="5"/>
        </w:rPr>
        <w:t>Epesri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Epimaz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Epistatus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Ethosuximide, Felbamate, </w:t>
      </w:r>
      <w:proofErr w:type="spellStart"/>
      <w:r>
        <w:rPr>
          <w:rFonts w:ascii="Segoe UI" w:hAnsi="Segoe UI" w:cs="Segoe UI"/>
          <w:color w:val="333333"/>
          <w:spacing w:val="5"/>
        </w:rPr>
        <w:t>Felbatol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Frisium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Fycompa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Gabapentin, </w:t>
      </w:r>
      <w:proofErr w:type="spellStart"/>
      <w:r>
        <w:rPr>
          <w:rFonts w:ascii="Segoe UI" w:hAnsi="Segoe UI" w:cs="Segoe UI"/>
          <w:color w:val="333333"/>
          <w:spacing w:val="5"/>
        </w:rPr>
        <w:t>Gabitril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Genlev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Heminevrin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Hypnovel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Inovelon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Keppra, </w:t>
      </w:r>
      <w:proofErr w:type="spellStart"/>
      <w:r>
        <w:rPr>
          <w:rFonts w:ascii="Segoe UI" w:hAnsi="Segoe UI" w:cs="Segoe UI"/>
          <w:color w:val="333333"/>
          <w:spacing w:val="5"/>
        </w:rPr>
        <w:t>Kevesy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Kigabeq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Klonopin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Lamictal, Lamotrigine, </w:t>
      </w:r>
      <w:proofErr w:type="spellStart"/>
      <w:r>
        <w:rPr>
          <w:rFonts w:ascii="Segoe UI" w:hAnsi="Segoe UI" w:cs="Segoe UI"/>
          <w:color w:val="333333"/>
          <w:spacing w:val="5"/>
        </w:rPr>
        <w:t>Lecaent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Levetiracetam, Librium, </w:t>
      </w:r>
      <w:proofErr w:type="spellStart"/>
      <w:r>
        <w:rPr>
          <w:rFonts w:ascii="Segoe UI" w:hAnsi="Segoe UI" w:cs="Segoe UI"/>
          <w:color w:val="333333"/>
          <w:spacing w:val="5"/>
        </w:rPr>
        <w:t>Liskantin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Loprazolam, Lorazepam, Lormetazepam, Lyrica, Magnesium </w:t>
      </w:r>
      <w:proofErr w:type="spellStart"/>
      <w:r>
        <w:rPr>
          <w:rFonts w:ascii="Segoe UI" w:hAnsi="Segoe UI" w:cs="Segoe UI"/>
          <w:color w:val="333333"/>
          <w:spacing w:val="5"/>
        </w:rPr>
        <w:t>sulfate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Matever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Midazolam, </w:t>
      </w:r>
      <w:proofErr w:type="spellStart"/>
      <w:r>
        <w:rPr>
          <w:rFonts w:ascii="Segoe UI" w:hAnsi="Segoe UI" w:cs="Segoe UI"/>
          <w:color w:val="333333"/>
          <w:spacing w:val="5"/>
        </w:rPr>
        <w:t>Miprosed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Mogadon, </w:t>
      </w:r>
      <w:proofErr w:type="spellStart"/>
      <w:r>
        <w:rPr>
          <w:rFonts w:ascii="Segoe UI" w:hAnsi="Segoe UI" w:cs="Segoe UI"/>
          <w:color w:val="333333"/>
          <w:spacing w:val="5"/>
        </w:rPr>
        <w:t>Mysoline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Neurontin, Nitrazepam, </w:t>
      </w:r>
      <w:proofErr w:type="spellStart"/>
      <w:r>
        <w:rPr>
          <w:rFonts w:ascii="Segoe UI" w:hAnsi="Segoe UI" w:cs="Segoe UI"/>
          <w:color w:val="333333"/>
          <w:spacing w:val="5"/>
        </w:rPr>
        <w:t>Nootropil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Orimeten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Ospolot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Oxazepam, Oxcarbazepine, </w:t>
      </w:r>
      <w:proofErr w:type="spellStart"/>
      <w:r>
        <w:rPr>
          <w:rFonts w:ascii="Segoe UI" w:hAnsi="Segoe UI" w:cs="Segoe UI"/>
          <w:color w:val="333333"/>
          <w:spacing w:val="5"/>
        </w:rPr>
        <w:t>Ozalin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Paraldehyde, </w:t>
      </w:r>
      <w:proofErr w:type="spellStart"/>
      <w:r>
        <w:rPr>
          <w:rFonts w:ascii="Segoe UI" w:hAnsi="Segoe UI" w:cs="Segoe UI"/>
          <w:color w:val="333333"/>
          <w:spacing w:val="5"/>
        </w:rPr>
        <w:t>Perampanel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Perizam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Petinutin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Phenobarbital, Phenytoin, Piracetam, Pregabalin, Primidone, Pro-Epanutin, </w:t>
      </w:r>
      <w:proofErr w:type="spellStart"/>
      <w:r>
        <w:rPr>
          <w:rFonts w:ascii="Segoe UI" w:hAnsi="Segoe UI" w:cs="Segoe UI"/>
          <w:color w:val="333333"/>
          <w:spacing w:val="5"/>
        </w:rPr>
        <w:t>Rewisca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Rivotril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Rohypnol, Sabril, </w:t>
      </w:r>
      <w:proofErr w:type="spellStart"/>
      <w:r>
        <w:rPr>
          <w:rFonts w:ascii="Segoe UI" w:hAnsi="Segoe UI" w:cs="Segoe UI"/>
          <w:color w:val="333333"/>
          <w:spacing w:val="5"/>
        </w:rPr>
        <w:t>Somnite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Stesolid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Sultiame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Syonell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Taloxa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Tapclob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Tegretol, Temazepam, </w:t>
      </w:r>
      <w:proofErr w:type="spellStart"/>
      <w:r>
        <w:rPr>
          <w:rFonts w:ascii="Segoe UI" w:hAnsi="Segoe UI" w:cs="Segoe UI"/>
          <w:color w:val="333333"/>
          <w:spacing w:val="5"/>
        </w:rPr>
        <w:t>Tensium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Teril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Retard, Tiagabine, Topamax, Topiramate, </w:t>
      </w:r>
      <w:proofErr w:type="spellStart"/>
      <w:r>
        <w:rPr>
          <w:rFonts w:ascii="Segoe UI" w:hAnsi="Segoe UI" w:cs="Segoe UI"/>
          <w:color w:val="333333"/>
          <w:spacing w:val="5"/>
        </w:rPr>
        <w:t>Tranxene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Trileptal, </w:t>
      </w:r>
      <w:proofErr w:type="spellStart"/>
      <w:r>
        <w:rPr>
          <w:rFonts w:ascii="Segoe UI" w:hAnsi="Segoe UI" w:cs="Segoe UI"/>
          <w:color w:val="333333"/>
          <w:spacing w:val="5"/>
        </w:rPr>
        <w:t>Trobalt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Valclair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Valproic acid, Vigabatrin, Vimpat, Xanax, </w:t>
      </w:r>
      <w:proofErr w:type="spellStart"/>
      <w:r>
        <w:rPr>
          <w:rFonts w:ascii="Segoe UI" w:hAnsi="Segoe UI" w:cs="Segoe UI"/>
          <w:color w:val="333333"/>
          <w:spacing w:val="5"/>
        </w:rPr>
        <w:t>Zacco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Zarontin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Zonegran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Zonisamide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Brivaracetam, Cannabidiol, </w:t>
      </w:r>
      <w:proofErr w:type="spellStart"/>
      <w:r>
        <w:rPr>
          <w:rFonts w:ascii="Segoe UI" w:hAnsi="Segoe UI" w:cs="Segoe UI"/>
          <w:color w:val="333333"/>
          <w:spacing w:val="5"/>
        </w:rPr>
        <w:t>Epidiolex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Epidyolex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Sativex, </w:t>
      </w:r>
      <w:proofErr w:type="spellStart"/>
      <w:r>
        <w:rPr>
          <w:rFonts w:ascii="Segoe UI" w:hAnsi="Segoe UI" w:cs="Segoe UI"/>
          <w:color w:val="333333"/>
          <w:spacing w:val="5"/>
        </w:rPr>
        <w:t>Cenobamate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Ontozry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Eslicarbazepine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Zebinix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Arupsan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fenfluramine, </w:t>
      </w:r>
      <w:proofErr w:type="spellStart"/>
      <w:r>
        <w:rPr>
          <w:rFonts w:ascii="Segoe UI" w:hAnsi="Segoe UI" w:cs="Segoe UI"/>
          <w:color w:val="333333"/>
          <w:spacing w:val="5"/>
        </w:rPr>
        <w:t>fintepla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Lacosamide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vimpat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Rufinamide, </w:t>
      </w:r>
      <w:proofErr w:type="spellStart"/>
      <w:r>
        <w:rPr>
          <w:rFonts w:ascii="Segoe UI" w:hAnsi="Segoe UI" w:cs="Segoe UI"/>
          <w:color w:val="333333"/>
          <w:spacing w:val="5"/>
        </w:rPr>
        <w:t>Inovelon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Sodium valproate, Epilim, </w:t>
      </w:r>
      <w:proofErr w:type="spellStart"/>
      <w:r>
        <w:rPr>
          <w:rFonts w:ascii="Segoe UI" w:hAnsi="Segoe UI" w:cs="Segoe UI"/>
          <w:color w:val="333333"/>
          <w:spacing w:val="5"/>
        </w:rPr>
        <w:t>Episenta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Orlept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Dyzantil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Depakin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Epival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CR, </w:t>
      </w:r>
      <w:proofErr w:type="spellStart"/>
      <w:r>
        <w:rPr>
          <w:rFonts w:ascii="Segoe UI" w:hAnsi="Segoe UI" w:cs="Segoe UI"/>
          <w:color w:val="333333"/>
          <w:spacing w:val="5"/>
        </w:rPr>
        <w:t>stiripentol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Diacomit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fosphenytoin</w:t>
      </w:r>
      <w:proofErr w:type="spellEnd"/>
      <w:r>
        <w:rPr>
          <w:rFonts w:ascii="Segoe UI" w:hAnsi="Segoe UI" w:cs="Segoe UI"/>
          <w:color w:val="333333"/>
          <w:spacing w:val="5"/>
        </w:rPr>
        <w:t>, epanutin</w:t>
      </w:r>
    </w:p>
    <w:p w14:paraId="6C4A2113" w14:textId="77777777" w:rsidR="00C02B47" w:rsidRDefault="00C02B47" w:rsidP="00C02B4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 xml:space="preserve">- Thiamine, </w:t>
      </w:r>
      <w:proofErr w:type="spellStart"/>
      <w:r>
        <w:rPr>
          <w:rFonts w:ascii="Segoe UI" w:hAnsi="Segoe UI" w:cs="Segoe UI"/>
          <w:color w:val="333333"/>
          <w:spacing w:val="5"/>
        </w:rPr>
        <w:t>Athiam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Benerva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Thiadose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ThiamEss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Tyvera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etc. Paracetamol, pyridoxine, </w:t>
      </w:r>
      <w:proofErr w:type="spellStart"/>
      <w:r>
        <w:rPr>
          <w:rFonts w:ascii="Segoe UI" w:hAnsi="Segoe UI" w:cs="Segoe UI"/>
          <w:color w:val="333333"/>
          <w:spacing w:val="5"/>
        </w:rPr>
        <w:t>Numark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Epsom Salts,</w:t>
      </w:r>
      <w:r>
        <w:rPr>
          <w:rFonts w:ascii="Segoe UI" w:hAnsi="Segoe UI" w:cs="Segoe UI"/>
          <w:color w:val="333333"/>
          <w:spacing w:val="5"/>
        </w:rPr>
        <w:br/>
        <w:t>- Gabapentin creams/</w:t>
      </w:r>
      <w:proofErr w:type="spellStart"/>
      <w:r>
        <w:rPr>
          <w:rFonts w:ascii="Segoe UI" w:hAnsi="Segoe UI" w:cs="Segoe UI"/>
          <w:color w:val="333333"/>
          <w:spacing w:val="5"/>
        </w:rPr>
        <w:t>gel,Nasal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spray, Alcohols </w:t>
      </w:r>
      <w:proofErr w:type="spellStart"/>
      <w:r>
        <w:rPr>
          <w:rFonts w:ascii="Segoe UI" w:hAnsi="Segoe UI" w:cs="Segoe UI"/>
          <w:color w:val="333333"/>
          <w:spacing w:val="5"/>
        </w:rPr>
        <w:t>ointments,inhaler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/inhalation powders, Ipratropium/nebuliser/‘neb’/(typos: </w:t>
      </w:r>
      <w:proofErr w:type="spellStart"/>
      <w:r>
        <w:rPr>
          <w:rFonts w:ascii="Segoe UI" w:hAnsi="Segoe UI" w:cs="Segoe UI"/>
          <w:color w:val="333333"/>
          <w:spacing w:val="5"/>
        </w:rPr>
        <w:lastRenderedPageBreak/>
        <w:t>nebuilser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), Enema, </w:t>
      </w:r>
      <w:proofErr w:type="spellStart"/>
      <w:r>
        <w:rPr>
          <w:rFonts w:ascii="Segoe UI" w:hAnsi="Segoe UI" w:cs="Segoe UI"/>
          <w:color w:val="333333"/>
          <w:spacing w:val="5"/>
        </w:rPr>
        <w:t>Tropium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Magnesium </w:t>
      </w:r>
      <w:proofErr w:type="spellStart"/>
      <w:r>
        <w:rPr>
          <w:rFonts w:ascii="Segoe UI" w:hAnsi="Segoe UI" w:cs="Segoe UI"/>
          <w:color w:val="333333"/>
          <w:spacing w:val="5"/>
        </w:rPr>
        <w:t>sulfate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powder/mixture/paste/</w:t>
      </w:r>
      <w:proofErr w:type="spellStart"/>
      <w:r>
        <w:rPr>
          <w:rFonts w:ascii="Segoe UI" w:hAnsi="Segoe UI" w:cs="Segoe UI"/>
          <w:color w:val="333333"/>
          <w:spacing w:val="5"/>
        </w:rPr>
        <w:t>oralx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unsure about intravenous/injections as I can see they can be used as anti-convulsant?, </w:t>
      </w:r>
      <w:proofErr w:type="spellStart"/>
      <w:r>
        <w:rPr>
          <w:rFonts w:ascii="Segoe UI" w:hAnsi="Segoe UI" w:cs="Segoe UI"/>
          <w:color w:val="333333"/>
          <w:spacing w:val="5"/>
        </w:rPr>
        <w:t>Miprose</w:t>
      </w:r>
      <w:proofErr w:type="spellEnd"/>
      <w:r>
        <w:rPr>
          <w:rFonts w:ascii="Segoe UI" w:hAnsi="Segoe UI" w:cs="Segoe UI"/>
          <w:color w:val="333333"/>
          <w:spacing w:val="5"/>
        </w:rPr>
        <w:t>, Oils, Temazepam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 </w:t>
      </w:r>
      <w:r>
        <w:rPr>
          <w:rStyle w:val="Emphasis"/>
          <w:rFonts w:ascii="Segoe UI" w:hAnsi="Segoe UI" w:cs="Segoe UI"/>
          <w:color w:val="333333"/>
          <w:spacing w:val="5"/>
        </w:rPr>
        <w:t>(using BNF)</w:t>
      </w:r>
      <w:r>
        <w:rPr>
          <w:rFonts w:ascii="Segoe UI" w:hAnsi="Segoe UI" w:cs="Segoe UI"/>
          <w:color w:val="333333"/>
          <w:spacing w:val="5"/>
        </w:rPr>
        <w:t xml:space="preserve"> Brivaracetam, Cannabidiol, </w:t>
      </w:r>
      <w:proofErr w:type="spellStart"/>
      <w:r>
        <w:rPr>
          <w:rFonts w:ascii="Segoe UI" w:hAnsi="Segoe UI" w:cs="Segoe UI"/>
          <w:color w:val="333333"/>
          <w:spacing w:val="5"/>
        </w:rPr>
        <w:t>Epidiolex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Epidyolex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Sativex, </w:t>
      </w:r>
      <w:proofErr w:type="spellStart"/>
      <w:r>
        <w:rPr>
          <w:rFonts w:ascii="Segoe UI" w:hAnsi="Segoe UI" w:cs="Segoe UI"/>
          <w:color w:val="333333"/>
          <w:spacing w:val="5"/>
        </w:rPr>
        <w:t>Cenobamate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Ontozry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Eslicarbazepine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Zebinix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Arupsan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fenfluramine, </w:t>
      </w:r>
      <w:proofErr w:type="spellStart"/>
      <w:r>
        <w:rPr>
          <w:rFonts w:ascii="Segoe UI" w:hAnsi="Segoe UI" w:cs="Segoe UI"/>
          <w:color w:val="333333"/>
          <w:spacing w:val="5"/>
        </w:rPr>
        <w:t>fintepla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Lacosamide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vimpat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Rufinamide, </w:t>
      </w:r>
      <w:proofErr w:type="spellStart"/>
      <w:r>
        <w:rPr>
          <w:rFonts w:ascii="Segoe UI" w:hAnsi="Segoe UI" w:cs="Segoe UI"/>
          <w:color w:val="333333"/>
          <w:spacing w:val="5"/>
        </w:rPr>
        <w:t>Inovelon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Sodium valproate, Epilim, </w:t>
      </w:r>
      <w:proofErr w:type="spellStart"/>
      <w:r>
        <w:rPr>
          <w:rFonts w:ascii="Segoe UI" w:hAnsi="Segoe UI" w:cs="Segoe UI"/>
          <w:color w:val="333333"/>
          <w:spacing w:val="5"/>
        </w:rPr>
        <w:t>Episenta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Orlept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Dyzantil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Depakin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Epival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CR, </w:t>
      </w:r>
      <w:proofErr w:type="spellStart"/>
      <w:r>
        <w:rPr>
          <w:rFonts w:ascii="Segoe UI" w:hAnsi="Segoe UI" w:cs="Segoe UI"/>
          <w:color w:val="333333"/>
          <w:spacing w:val="5"/>
        </w:rPr>
        <w:t>stiripentol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Diacomit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fosphenytoin</w:t>
      </w:r>
      <w:proofErr w:type="spellEnd"/>
      <w:r>
        <w:rPr>
          <w:rFonts w:ascii="Segoe UI" w:hAnsi="Segoe UI" w:cs="Segoe UI"/>
          <w:color w:val="333333"/>
          <w:spacing w:val="5"/>
        </w:rPr>
        <w:t>, epanutin. Non-oral preparations of diazepam, Diazepam enemas</w:t>
      </w:r>
    </w:p>
    <w:p w14:paraId="72E3CD8F" w14:textId="77777777" w:rsidR="00C02B47" w:rsidRDefault="00C02B47" w:rsidP="00C02B47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Further notes: Some rarely used medications in the list were sprays: </w:t>
      </w:r>
      <w:proofErr w:type="spellStart"/>
      <w:r>
        <w:rPr>
          <w:rFonts w:ascii="Segoe UI" w:hAnsi="Segoe UI" w:cs="Segoe UI"/>
          <w:color w:val="333333"/>
          <w:spacing w:val="5"/>
        </w:rPr>
        <w:t>eg.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Cannabidiol 2.5mg/dose </w:t>
      </w:r>
      <w:proofErr w:type="spellStart"/>
      <w:r>
        <w:rPr>
          <w:rFonts w:ascii="Segoe UI" w:hAnsi="Segoe UI" w:cs="Segoe UI"/>
          <w:color w:val="333333"/>
          <w:spacing w:val="5"/>
        </w:rPr>
        <w:t>oromucosal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spray. However, no examples were found for nasal sprays specifically used for epilepsy.</w:t>
      </w:r>
    </w:p>
    <w:p w14:paraId="2851EA4D" w14:textId="77777777" w:rsidR="00C02B47" w:rsidRDefault="00C02B47" w:rsidP="00C02B4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Removals at review stage:</w:t>
      </w:r>
    </w:p>
    <w:p w14:paraId="69964F7B" w14:textId="77777777" w:rsidR="00C02B47" w:rsidRDefault="00C02B47" w:rsidP="00C02B4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Dexfenfluramine - different to fenfluramine (which is an </w:t>
      </w:r>
      <w:proofErr w:type="spellStart"/>
      <w:r>
        <w:rPr>
          <w:rFonts w:ascii="Segoe UI" w:hAnsi="Segoe UI" w:cs="Segoe UI"/>
          <w:color w:val="333333"/>
          <w:spacing w:val="5"/>
        </w:rPr>
        <w:t>anticonvusant</w:t>
      </w:r>
      <w:proofErr w:type="spellEnd"/>
      <w:r>
        <w:rPr>
          <w:rFonts w:ascii="Segoe UI" w:hAnsi="Segoe UI" w:cs="Segoe UI"/>
          <w:color w:val="333333"/>
          <w:spacing w:val="5"/>
        </w:rPr>
        <w:t>) with different indication</w:t>
      </w:r>
      <w:r>
        <w:rPr>
          <w:rFonts w:ascii="Segoe UI" w:hAnsi="Segoe UI" w:cs="Segoe UI"/>
          <w:color w:val="333333"/>
          <w:spacing w:val="5"/>
        </w:rPr>
        <w:br/>
        <w:t>Oral Benzodiazepines,</w:t>
      </w:r>
      <w:r>
        <w:rPr>
          <w:rFonts w:ascii="Segoe UI" w:hAnsi="Segoe UI" w:cs="Segoe UI"/>
          <w:color w:val="333333"/>
          <w:spacing w:val="5"/>
        </w:rPr>
        <w:br/>
        <w:t>Chlordiazepoxide - it is anticonvulsant but not licensed to be used except for in alcohol withdrawal regimes</w:t>
      </w:r>
      <w:r>
        <w:rPr>
          <w:rFonts w:ascii="Segoe UI" w:hAnsi="Segoe UI" w:cs="Segoe UI"/>
          <w:color w:val="333333"/>
          <w:spacing w:val="5"/>
        </w:rPr>
        <w:br/>
        <w:t xml:space="preserve">Librium, </w:t>
      </w:r>
      <w:proofErr w:type="spellStart"/>
      <w:r>
        <w:rPr>
          <w:rFonts w:ascii="Segoe UI" w:hAnsi="Segoe UI" w:cs="Segoe UI"/>
          <w:color w:val="333333"/>
          <w:spacing w:val="5"/>
        </w:rPr>
        <w:t>limbritol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libraxin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(chlordiazepoxide brands)</w:t>
      </w:r>
      <w:r>
        <w:rPr>
          <w:rFonts w:ascii="Segoe UI" w:hAnsi="Segoe UI" w:cs="Segoe UI"/>
          <w:color w:val="333333"/>
          <w:spacing w:val="5"/>
        </w:rPr>
        <w:br/>
        <w:t>Clomethiazole (</w:t>
      </w:r>
      <w:proofErr w:type="spellStart"/>
      <w:r>
        <w:rPr>
          <w:rFonts w:ascii="Segoe UI" w:hAnsi="Segoe UI" w:cs="Segoe UI"/>
          <w:color w:val="333333"/>
          <w:spacing w:val="5"/>
        </w:rPr>
        <w:t>Heminevrin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brand)</w:t>
      </w:r>
      <w:r>
        <w:rPr>
          <w:rFonts w:ascii="Segoe UI" w:hAnsi="Segoe UI" w:cs="Segoe UI"/>
          <w:color w:val="333333"/>
          <w:spacing w:val="5"/>
        </w:rPr>
        <w:br/>
        <w:t>Alprazolam (Xanax brand name)</w:t>
      </w:r>
      <w:r>
        <w:rPr>
          <w:rFonts w:ascii="Segoe UI" w:hAnsi="Segoe UI" w:cs="Segoe UI"/>
          <w:color w:val="333333"/>
          <w:spacing w:val="5"/>
        </w:rPr>
        <w:br/>
        <w:t>Bromazepam - not BNF licensed for seizure control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Lexotan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(bromazepam brands)</w:t>
      </w:r>
      <w:r>
        <w:rPr>
          <w:rFonts w:ascii="Segoe UI" w:hAnsi="Segoe UI" w:cs="Segoe UI"/>
          <w:color w:val="333333"/>
          <w:spacing w:val="5"/>
        </w:rPr>
        <w:br/>
        <w:t>Flurazepam - like temazepam - used for sleep rather than seizure prevention</w:t>
      </w:r>
      <w:r>
        <w:rPr>
          <w:rFonts w:ascii="Segoe UI" w:hAnsi="Segoe UI" w:cs="Segoe UI"/>
          <w:color w:val="333333"/>
          <w:spacing w:val="5"/>
        </w:rPr>
        <w:br/>
        <w:t xml:space="preserve">Flunitrazepam - as per </w:t>
      </w:r>
      <w:proofErr w:type="spellStart"/>
      <w:r>
        <w:rPr>
          <w:rFonts w:ascii="Segoe UI" w:hAnsi="Segoe UI" w:cs="Segoe UI"/>
          <w:color w:val="333333"/>
          <w:spacing w:val="5"/>
        </w:rPr>
        <w:t>flurazepman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and temazepam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Dalmane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(flurazepam brand)</w:t>
      </w:r>
      <w:r>
        <w:rPr>
          <w:rFonts w:ascii="Segoe UI" w:hAnsi="Segoe UI" w:cs="Segoe UI"/>
          <w:color w:val="333333"/>
          <w:spacing w:val="5"/>
        </w:rPr>
        <w:br/>
        <w:t>Loprazolam (</w:t>
      </w:r>
      <w:proofErr w:type="spellStart"/>
      <w:r>
        <w:rPr>
          <w:rFonts w:ascii="Segoe UI" w:hAnsi="Segoe UI" w:cs="Segoe UI"/>
          <w:color w:val="333333"/>
          <w:spacing w:val="5"/>
        </w:rPr>
        <w:t>Dormonoct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brand)</w:t>
      </w:r>
      <w:r>
        <w:rPr>
          <w:rFonts w:ascii="Segoe UI" w:hAnsi="Segoe UI" w:cs="Segoe UI"/>
          <w:color w:val="333333"/>
          <w:spacing w:val="5"/>
        </w:rPr>
        <w:br/>
        <w:t>Nitrazepam - (</w:t>
      </w:r>
      <w:proofErr w:type="spellStart"/>
      <w:r>
        <w:rPr>
          <w:rFonts w:ascii="Segoe UI" w:hAnsi="Segoe UI" w:cs="Segoe UI"/>
          <w:color w:val="333333"/>
          <w:spacing w:val="5"/>
        </w:rPr>
        <w:t>mogadon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Somnite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brand)</w:t>
      </w:r>
      <w:r>
        <w:rPr>
          <w:rFonts w:ascii="Segoe UI" w:hAnsi="Segoe UI" w:cs="Segoe UI"/>
          <w:color w:val="333333"/>
          <w:spacing w:val="5"/>
        </w:rPr>
        <w:br/>
        <w:t>Lormetazepam - (</w:t>
      </w:r>
      <w:proofErr w:type="spellStart"/>
      <w:r>
        <w:rPr>
          <w:rFonts w:ascii="Segoe UI" w:hAnsi="Segoe UI" w:cs="Segoe UI"/>
          <w:color w:val="333333"/>
          <w:spacing w:val="5"/>
        </w:rPr>
        <w:t>loramet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noctamid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brand)</w:t>
      </w:r>
      <w:r>
        <w:rPr>
          <w:rFonts w:ascii="Segoe UI" w:hAnsi="Segoe UI" w:cs="Segoe UI"/>
          <w:color w:val="333333"/>
          <w:spacing w:val="5"/>
        </w:rPr>
        <w:br/>
        <w:t>Oxazepam (</w:t>
      </w:r>
      <w:proofErr w:type="spellStart"/>
      <w:r>
        <w:rPr>
          <w:rFonts w:ascii="Segoe UI" w:hAnsi="Segoe UI" w:cs="Segoe UI"/>
          <w:color w:val="333333"/>
          <w:spacing w:val="5"/>
        </w:rPr>
        <w:t>oxanid</w:t>
      </w:r>
      <w:proofErr w:type="spellEnd"/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Chlorazepate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</w:t>
      </w:r>
      <w:proofErr w:type="spellStart"/>
      <w:r>
        <w:rPr>
          <w:rFonts w:ascii="Segoe UI" w:hAnsi="Segoe UI" w:cs="Segoe UI"/>
          <w:color w:val="333333"/>
          <w:spacing w:val="5"/>
        </w:rPr>
        <w:t>tranxene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brand)</w:t>
      </w:r>
      <w:r>
        <w:rPr>
          <w:rFonts w:ascii="Segoe UI" w:hAnsi="Segoe UI" w:cs="Segoe UI"/>
          <w:color w:val="333333"/>
          <w:spacing w:val="5"/>
        </w:rPr>
        <w:br/>
        <w:t>Lorazepam - orally</w:t>
      </w:r>
      <w:r>
        <w:rPr>
          <w:rFonts w:ascii="Segoe UI" w:hAnsi="Segoe UI" w:cs="Segoe UI"/>
          <w:color w:val="333333"/>
          <w:spacing w:val="5"/>
        </w:rPr>
        <w:br/>
        <w:t>Diazepam orally (</w:t>
      </w:r>
      <w:proofErr w:type="spellStart"/>
      <w:r>
        <w:rPr>
          <w:rFonts w:ascii="Segoe UI" w:hAnsi="Segoe UI" w:cs="Segoe UI"/>
          <w:color w:val="333333"/>
          <w:spacing w:val="5"/>
        </w:rPr>
        <w:t>tensium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brand)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Dormicum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oral midazolam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Izinova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bowel prep</w:t>
      </w:r>
      <w:r>
        <w:rPr>
          <w:rFonts w:ascii="Segoe UI" w:hAnsi="Segoe UI" w:cs="Segoe UI"/>
          <w:color w:val="333333"/>
          <w:spacing w:val="5"/>
        </w:rPr>
        <w:br/>
        <w:t>Magnesium - cutaneous or orally</w:t>
      </w:r>
      <w:r>
        <w:rPr>
          <w:rFonts w:ascii="Segoe UI" w:hAnsi="Segoe UI" w:cs="Segoe UI"/>
          <w:color w:val="333333"/>
          <w:spacing w:val="5"/>
        </w:rPr>
        <w:br/>
        <w:t>Belladonna alkaloids with phenobarbital aluminium hydroxide and magnesium trisilicate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Fonts w:ascii="Segoe UI" w:hAnsi="Segoe UI" w:cs="Segoe UI"/>
          <w:color w:val="333333"/>
          <w:spacing w:val="5"/>
        </w:rPr>
        <w:t>Orimeten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- a steroid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lastRenderedPageBreak/>
        <w:t xml:space="preserve">Potassium chloride 0.075% (potassium 5mmol/500ml) / Glucose 10% / Calcium gluconate 0.21% / Sodium chloride 0.029% / Magnesium </w:t>
      </w:r>
      <w:proofErr w:type="spellStart"/>
      <w:r>
        <w:rPr>
          <w:rFonts w:ascii="Segoe UI" w:hAnsi="Segoe UI" w:cs="Segoe UI"/>
          <w:color w:val="333333"/>
          <w:spacing w:val="5"/>
        </w:rPr>
        <w:t>sulfate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0.025% - fluid replacement solution</w:t>
      </w:r>
    </w:p>
    <w:p w14:paraId="467414C6" w14:textId="77777777" w:rsidR="00C02B47" w:rsidRDefault="00C02B47" w:rsidP="00C02B4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6E4DC9C4" w14:textId="77777777" w:rsidR="00C02B47" w:rsidRDefault="00C02B47" w:rsidP="00C02B4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Anticonvulsants_MM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(MM)</w:t>
      </w:r>
    </w:p>
    <w:p w14:paraId="39425C3D" w14:textId="77777777" w:rsidR="00C02B47" w:rsidRDefault="00C02B47" w:rsidP="00C02B4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Anticonvulsants_MM_mod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(MM)</w:t>
      </w:r>
    </w:p>
    <w:p w14:paraId="41D969B3" w14:textId="77777777" w:rsidR="00C02B47" w:rsidRDefault="00C02B47" w:rsidP="00C02B4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Anticonvulsants_OPTIMAL</w:t>
      </w:r>
      <w:proofErr w:type="spellEnd"/>
    </w:p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451977BE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3.4.23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7"/>
  </w:num>
  <w:num w:numId="3" w16cid:durableId="1949265536">
    <w:abstractNumId w:val="2"/>
  </w:num>
  <w:num w:numId="4" w16cid:durableId="1195077260">
    <w:abstractNumId w:val="4"/>
  </w:num>
  <w:num w:numId="5" w16cid:durableId="1347635109">
    <w:abstractNumId w:val="5"/>
  </w:num>
  <w:num w:numId="6" w16cid:durableId="446654937">
    <w:abstractNumId w:val="3"/>
  </w:num>
  <w:num w:numId="7" w16cid:durableId="50085293">
    <w:abstractNumId w:val="1"/>
  </w:num>
  <w:num w:numId="8" w16cid:durableId="1187938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322153"/>
    <w:rsid w:val="003D1D26"/>
    <w:rsid w:val="004E7589"/>
    <w:rsid w:val="00585997"/>
    <w:rsid w:val="0067365B"/>
    <w:rsid w:val="008A2065"/>
    <w:rsid w:val="008A4C04"/>
    <w:rsid w:val="00C02B47"/>
    <w:rsid w:val="00C73DA0"/>
    <w:rsid w:val="00E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6372FD4-DF94-482B-8973-EA854C796701}"/>
</file>

<file path=customXml/itemProps2.xml><?xml version="1.0" encoding="utf-8"?>
<ds:datastoreItem xmlns:ds="http://schemas.openxmlformats.org/officeDocument/2006/customXml" ds:itemID="{F20E688A-6B91-41D0-8473-AB1188E40A75}"/>
</file>

<file path=customXml/itemProps3.xml><?xml version="1.0" encoding="utf-8"?>
<ds:datastoreItem xmlns:ds="http://schemas.openxmlformats.org/officeDocument/2006/customXml" ds:itemID="{A01EBC69-A3D2-4C46-886B-4EC3CD42C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 ID=****81)</cp:lastModifiedBy>
  <cp:revision>2</cp:revision>
  <dcterms:created xsi:type="dcterms:W3CDTF">2023-04-03T16:33:00Z</dcterms:created>
  <dcterms:modified xsi:type="dcterms:W3CDTF">2023-04-03T16:33:00Z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