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before="300" w:after="500"/>
        <w:jc w:val="center"/>
      </w:pPr>
      <w:r>
        <w:drawing>
          <wp:inline xmlns:a="http://schemas.openxmlformats.org/drawingml/2006/main" xmlns:pic="http://schemas.openxmlformats.org/drawingml/2006/picture">
            <wp:extent cx="2926080" cy="9345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es-panch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34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/>
          <w:b/>
          <w:color w:val="0F172A"/>
          <w:sz w:val="40"/>
        </w:rPr>
        <w:t>YES PANCHI</w:t>
      </w:r>
    </w:p>
    <w:p>
      <w:pPr>
        <w:spacing w:after="20"/>
        <w:jc w:val="center"/>
      </w:pPr>
      <w:r>
        <w:rPr>
          <w:rFonts w:ascii="Calibri" w:hAnsi="Calibri"/>
          <w:b/>
          <w:color w:val="0F172A"/>
          <w:sz w:val="88"/>
        </w:rPr>
        <w:t>YP-Raksha</w:t>
      </w:r>
    </w:p>
    <w:p>
      <w:pPr>
        <w:spacing w:after="120"/>
        <w:jc w:val="center"/>
      </w:pPr>
      <w:r>
        <w:rPr>
          <w:rFonts w:ascii="Calibri" w:hAnsi="Calibri"/>
          <w:b/>
          <w:color w:val="64748B"/>
          <w:sz w:val="22"/>
        </w:rPr>
        <w:t>Version 1.5</w:t>
      </w:r>
    </w:p>
    <w:p>
      <w:pPr>
        <w:spacing w:after="100"/>
        <w:jc w:val="center"/>
      </w:pPr>
      <w:r>
        <w:rPr>
          <w:rFonts w:ascii="Calibri" w:hAnsi="Calibri"/>
          <w:b/>
          <w:color w:val="059669"/>
          <w:sz w:val="24"/>
        </w:rPr>
        <w:t>RAKSHA - Real-time AI Knowledge Screening &amp; Hazard Audit</w:t>
      </w:r>
    </w:p>
    <w:p>
      <w:pPr>
        <w:jc w:val="center"/>
      </w:pPr>
      <w:r>
        <w:rPr>
          <w:rFonts w:ascii="Calibri" w:hAnsi="Calibri"/>
          <w:color w:val="64748B"/>
          <w:sz w:val="22"/>
        </w:rPr>
        <w:t>Enterprise AI Security &amp; Data Governance</w:t>
      </w:r>
    </w:p>
    <w:p>
      <w:r>
        <w:br w:type="page"/>
      </w:r>
    </w:p>
    <w:p>
      <w:pPr>
        <w:spacing w:before="100" w:after="120"/>
        <w:jc w:val="center"/>
      </w:pPr>
      <w:r>
        <w:rPr>
          <w:rFonts w:ascii="Calibri" w:hAnsi="Calibri"/>
          <w:b/>
          <w:color w:val="0F172A"/>
          <w:sz w:val="40"/>
        </w:rPr>
        <w:t>Index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90"/>
        <w:gridCol w:w="3490"/>
        <w:gridCol w:w="3490"/>
      </w:tblGrid>
      <w:tr>
        <w:tc>
          <w:tcPr>
            <w:tcW w:type="dxa" w:w="1872"/>
            <w:shd w:fill="0F172A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Section / Req</w:t>
            </w:r>
          </w:p>
        </w:tc>
        <w:tc>
          <w:tcPr>
            <w:tcW w:type="dxa" w:w="6048"/>
            <w:shd w:fill="0F172A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Topic / Security Control Specification</w:t>
            </w:r>
          </w:p>
        </w:tc>
        <w:tc>
          <w:tcPr>
            <w:tcW w:type="dxa" w:w="1872"/>
            <w:shd w:fill="0F172A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Page Number</w:t>
            </w:r>
          </w:p>
        </w:tc>
      </w:tr>
      <w:tr>
        <w:tc>
          <w:tcPr>
            <w:tcW w:type="dxa" w:w="1872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6.3.8 VI (a)</w:t>
            </w:r>
          </w:p>
        </w:tc>
        <w:tc>
          <w:tcPr>
            <w:tcW w:type="dxa" w:w="6048"/>
            <w:shd w:fill="FFFFFF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F172A"/>
                <w:sz w:val="16"/>
              </w:rPr>
              <w:t>Automatic Redaction</w:t>
              <w:br/>
            </w:r>
            <w:r>
              <w:rPr>
                <w:rFonts w:ascii="Calibri" w:hAnsi="Calibri"/>
                <w:color w:val="64748B"/>
                <w:sz w:val="14"/>
              </w:rPr>
              <w:t>Inline PII masking &amp; redaction (Aadhaar, PAN, contact details)</w:t>
            </w:r>
          </w:p>
        </w:tc>
        <w:tc>
          <w:tcPr>
            <w:tcW w:type="dxa" w:w="1872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Page 3</w:t>
            </w:r>
          </w:p>
        </w:tc>
      </w:tr>
      <w:tr>
        <w:tc>
          <w:tcPr>
            <w:tcW w:type="dxa" w:w="1872"/>
            <w:shd w:fill="F8FAFC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6.3.8 VI (b)</w:t>
            </w:r>
          </w:p>
        </w:tc>
        <w:tc>
          <w:tcPr>
            <w:tcW w:type="dxa" w:w="6048"/>
            <w:shd w:fill="F8FAFC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F172A"/>
                <w:sz w:val="16"/>
              </w:rPr>
              <w:t>Malicious Intent Detection</w:t>
              <w:br/>
            </w:r>
            <w:r>
              <w:rPr>
                <w:rFonts w:ascii="Calibri" w:hAnsi="Calibri"/>
                <w:color w:val="64748B"/>
                <w:sz w:val="14"/>
              </w:rPr>
              <w:t>Mass extraction, enumeration patterns &amp; jailbreak defense</w:t>
            </w:r>
          </w:p>
        </w:tc>
        <w:tc>
          <w:tcPr>
            <w:tcW w:type="dxa" w:w="1872"/>
            <w:shd w:fill="F8FAFC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Page 4</w:t>
            </w:r>
          </w:p>
        </w:tc>
      </w:tr>
      <w:tr>
        <w:tc>
          <w:tcPr>
            <w:tcW w:type="dxa" w:w="1872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6.3.8 VI (c)</w:t>
            </w:r>
          </w:p>
        </w:tc>
        <w:tc>
          <w:tcPr>
            <w:tcW w:type="dxa" w:w="6048"/>
            <w:shd w:fill="FFFFFF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F172A"/>
                <w:sz w:val="16"/>
              </w:rPr>
              <w:t>Prompt Sanitization</w:t>
              <w:br/>
            </w:r>
            <w:r>
              <w:rPr>
                <w:rFonts w:ascii="Calibri" w:hAnsi="Calibri"/>
                <w:color w:val="64748B"/>
                <w:sz w:val="14"/>
              </w:rPr>
              <w:t>Incoming query analysis &amp; classified personal data protection</w:t>
            </w:r>
          </w:p>
        </w:tc>
        <w:tc>
          <w:tcPr>
            <w:tcW w:type="dxa" w:w="1872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Page 4</w:t>
            </w:r>
          </w:p>
        </w:tc>
      </w:tr>
      <w:tr>
        <w:tc>
          <w:tcPr>
            <w:tcW w:type="dxa" w:w="1872"/>
            <w:shd w:fill="F8FAFC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6.3.8 VI (d)</w:t>
            </w:r>
          </w:p>
        </w:tc>
        <w:tc>
          <w:tcPr>
            <w:tcW w:type="dxa" w:w="6048"/>
            <w:shd w:fill="F8FAFC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F172A"/>
                <w:sz w:val="16"/>
              </w:rPr>
              <w:t>Clipboard &amp; Data Governance</w:t>
              <w:br/>
            </w:r>
            <w:r>
              <w:rPr>
                <w:rFonts w:ascii="Calibri" w:hAnsi="Calibri"/>
                <w:color w:val="64748B"/>
                <w:sz w:val="14"/>
              </w:rPr>
              <w:t>Strict controls on Copy-Paste, Drag-and-Drop &amp; Downloads</w:t>
            </w:r>
          </w:p>
        </w:tc>
        <w:tc>
          <w:tcPr>
            <w:tcW w:type="dxa" w:w="1872"/>
            <w:shd w:fill="F8FAFC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Page 5</w:t>
            </w:r>
          </w:p>
        </w:tc>
      </w:tr>
      <w:tr>
        <w:tc>
          <w:tcPr>
            <w:tcW w:type="dxa" w:w="1872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6.3.8 VI (e)</w:t>
            </w:r>
          </w:p>
        </w:tc>
        <w:tc>
          <w:tcPr>
            <w:tcW w:type="dxa" w:w="6048"/>
            <w:shd w:fill="FFFFFF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F172A"/>
                <w:sz w:val="16"/>
              </w:rPr>
              <w:t>Policy Enforcement</w:t>
              <w:br/>
            </w:r>
            <w:r>
              <w:rPr>
                <w:rFonts w:ascii="Calibri" w:hAnsi="Calibri"/>
                <w:color w:val="64748B"/>
                <w:sz w:val="14"/>
              </w:rPr>
              <w:t>Purpose alignment, consent validation &amp; minor/children data</w:t>
            </w:r>
          </w:p>
        </w:tc>
        <w:tc>
          <w:tcPr>
            <w:tcW w:type="dxa" w:w="1872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Page 5</w:t>
            </w:r>
          </w:p>
        </w:tc>
      </w:tr>
      <w:tr>
        <w:tc>
          <w:tcPr>
            <w:tcW w:type="dxa" w:w="1872"/>
            <w:shd w:fill="F8FAFC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6.3.8 VI (f)</w:t>
            </w:r>
          </w:p>
        </w:tc>
        <w:tc>
          <w:tcPr>
            <w:tcW w:type="dxa" w:w="6048"/>
            <w:shd w:fill="F8FAFC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F172A"/>
                <w:sz w:val="16"/>
              </w:rPr>
              <w:t>Just-in-Time (JIT) Coaching</w:t>
              <w:br/>
            </w:r>
            <w:r>
              <w:rPr>
                <w:rFonts w:ascii="Calibri" w:hAnsi="Calibri"/>
                <w:color w:val="64748B"/>
                <w:sz w:val="14"/>
              </w:rPr>
              <w:t>Real-time browser-level alerts &amp; employee education popups</w:t>
            </w:r>
          </w:p>
        </w:tc>
        <w:tc>
          <w:tcPr>
            <w:tcW w:type="dxa" w:w="1872"/>
            <w:shd w:fill="F8FAFC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Page 6</w:t>
            </w:r>
          </w:p>
        </w:tc>
      </w:tr>
      <w:tr>
        <w:tc>
          <w:tcPr>
            <w:tcW w:type="dxa" w:w="1872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6.3.8 VI (g)</w:t>
            </w:r>
          </w:p>
        </w:tc>
        <w:tc>
          <w:tcPr>
            <w:tcW w:type="dxa" w:w="6048"/>
            <w:shd w:fill="FFFFFF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F172A"/>
                <w:sz w:val="16"/>
              </w:rPr>
              <w:t>Response Scanning</w:t>
              <w:br/>
            </w:r>
            <w:r>
              <w:rPr>
                <w:rFonts w:ascii="Calibri" w:hAnsi="Calibri"/>
                <w:color w:val="64748B"/>
                <w:sz w:val="14"/>
              </w:rPr>
              <w:t>AI-generated response analysis &amp; classification metadata</w:t>
            </w:r>
          </w:p>
        </w:tc>
        <w:tc>
          <w:tcPr>
            <w:tcW w:type="dxa" w:w="1872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Page 6</w:t>
            </w:r>
          </w:p>
        </w:tc>
      </w:tr>
      <w:tr>
        <w:tc>
          <w:tcPr>
            <w:tcW w:type="dxa" w:w="1872"/>
            <w:shd w:fill="F8FAFC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6.3.8 VI (h)</w:t>
            </w:r>
          </w:p>
        </w:tc>
        <w:tc>
          <w:tcPr>
            <w:tcW w:type="dxa" w:w="6048"/>
            <w:shd w:fill="F8FAFC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F172A"/>
                <w:sz w:val="16"/>
              </w:rPr>
              <w:t>Risk Scoring</w:t>
              <w:br/>
            </w:r>
            <w:r>
              <w:rPr>
                <w:rFonts w:ascii="Calibri" w:hAnsi="Calibri"/>
                <w:color w:val="64748B"/>
                <w:sz w:val="14"/>
              </w:rPr>
              <w:t>Regulatory &amp; business risk scoring for AI responses &amp; search</w:t>
            </w:r>
          </w:p>
        </w:tc>
        <w:tc>
          <w:tcPr>
            <w:tcW w:type="dxa" w:w="1872"/>
            <w:shd w:fill="F8FAFC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Page 7</w:t>
            </w:r>
          </w:p>
        </w:tc>
      </w:tr>
      <w:tr>
        <w:tc>
          <w:tcPr>
            <w:tcW w:type="dxa" w:w="1872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Req 44 &amp; 45</w:t>
            </w:r>
          </w:p>
        </w:tc>
        <w:tc>
          <w:tcPr>
            <w:tcW w:type="dxa" w:w="6048"/>
            <w:shd w:fill="FFFFFF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F172A"/>
                <w:sz w:val="16"/>
              </w:rPr>
              <w:t>AI Discovery &amp; Tool Visibility</w:t>
              <w:br/>
            </w:r>
            <w:r>
              <w:rPr>
                <w:rFonts w:ascii="Calibri" w:hAnsi="Calibri"/>
                <w:color w:val="64748B"/>
                <w:sz w:val="14"/>
              </w:rPr>
              <w:t>Automated tool discovery across 52+ domains &amp; enterprise inventory</w:t>
            </w:r>
          </w:p>
        </w:tc>
        <w:tc>
          <w:tcPr>
            <w:tcW w:type="dxa" w:w="1872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Page 8</w:t>
            </w:r>
          </w:p>
        </w:tc>
      </w:tr>
      <w:tr>
        <w:tc>
          <w:tcPr>
            <w:tcW w:type="dxa" w:w="1872"/>
            <w:shd w:fill="F8FAFC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Req 46 &amp; 47</w:t>
            </w:r>
          </w:p>
        </w:tc>
        <w:tc>
          <w:tcPr>
            <w:tcW w:type="dxa" w:w="6048"/>
            <w:shd w:fill="F8FAFC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F172A"/>
                <w:sz w:val="16"/>
              </w:rPr>
              <w:t>Shadow AI &amp; Data Repositories</w:t>
              <w:br/>
            </w:r>
            <w:r>
              <w:rPr>
                <w:rFonts w:ascii="Calibri" w:hAnsi="Calibri"/>
                <w:color w:val="64748B"/>
                <w:sz w:val="14"/>
              </w:rPr>
              <w:t>Shadow AI domain locking &amp; file repository transmission controls</w:t>
            </w:r>
          </w:p>
        </w:tc>
        <w:tc>
          <w:tcPr>
            <w:tcW w:type="dxa" w:w="1872"/>
            <w:shd w:fill="F8FAFC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Page 9</w:t>
            </w:r>
          </w:p>
        </w:tc>
      </w:tr>
      <w:tr>
        <w:tc>
          <w:tcPr>
            <w:tcW w:type="dxa" w:w="1872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Req 48 &amp; 49</w:t>
            </w:r>
          </w:p>
        </w:tc>
        <w:tc>
          <w:tcPr>
            <w:tcW w:type="dxa" w:w="6048"/>
            <w:shd w:fill="FFFFFF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F172A"/>
                <w:sz w:val="16"/>
              </w:rPr>
              <w:t>Continuous Monitoring &amp; DLP</w:t>
              <w:br/>
            </w:r>
            <w:r>
              <w:rPr>
                <w:rFonts w:ascii="Calibri" w:hAnsi="Calibri"/>
                <w:color w:val="64748B"/>
                <w:sz w:val="14"/>
              </w:rPr>
              <w:t>Continuous prompt interaction logging &amp; regulated data detection</w:t>
            </w:r>
          </w:p>
        </w:tc>
        <w:tc>
          <w:tcPr>
            <w:tcW w:type="dxa" w:w="1872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Page 10</w:t>
            </w:r>
          </w:p>
        </w:tc>
      </w:tr>
      <w:tr>
        <w:tc>
          <w:tcPr>
            <w:tcW w:type="dxa" w:w="1872"/>
            <w:shd w:fill="F8FAFC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Req 50 &amp; 51</w:t>
            </w:r>
          </w:p>
        </w:tc>
        <w:tc>
          <w:tcPr>
            <w:tcW w:type="dxa" w:w="6048"/>
            <w:shd w:fill="F8FAFC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F172A"/>
                <w:sz w:val="16"/>
              </w:rPr>
              <w:t>Policy Controls &amp; Enforcement</w:t>
              <w:br/>
            </w:r>
            <w:r>
              <w:rPr>
                <w:rFonts w:ascii="Calibri" w:hAnsi="Calibri"/>
                <w:color w:val="64748B"/>
                <w:sz w:val="14"/>
              </w:rPr>
              <w:t>Policy-based data exposure restrictions &amp; automated enforcement</w:t>
            </w:r>
          </w:p>
        </w:tc>
        <w:tc>
          <w:tcPr>
            <w:tcW w:type="dxa" w:w="1872"/>
            <w:shd w:fill="F8FAFC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Page 11</w:t>
            </w:r>
          </w:p>
        </w:tc>
      </w:tr>
      <w:tr>
        <w:tc>
          <w:tcPr>
            <w:tcW w:type="dxa" w:w="1872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Req 52 &amp; 53</w:t>
            </w:r>
          </w:p>
        </w:tc>
        <w:tc>
          <w:tcPr>
            <w:tcW w:type="dxa" w:w="6048"/>
            <w:shd w:fill="FFFFFF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F172A"/>
                <w:sz w:val="16"/>
              </w:rPr>
              <w:t>Data Identification &amp; Classification</w:t>
              <w:br/>
            </w:r>
            <w:r>
              <w:rPr>
                <w:rFonts w:ascii="Calibri" w:hAnsi="Calibri"/>
                <w:color w:val="64748B"/>
                <w:sz w:val="14"/>
              </w:rPr>
              <w:t>Sensitive enterprise data detection &amp; automated data classification</w:t>
            </w:r>
          </w:p>
        </w:tc>
        <w:tc>
          <w:tcPr>
            <w:tcW w:type="dxa" w:w="1872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Page 12</w:t>
            </w:r>
          </w:p>
        </w:tc>
      </w:tr>
      <w:tr>
        <w:tc>
          <w:tcPr>
            <w:tcW w:type="dxa" w:w="1872"/>
            <w:shd w:fill="F8FAFC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Req 54 &amp; 55</w:t>
            </w:r>
          </w:p>
        </w:tc>
        <w:tc>
          <w:tcPr>
            <w:tcW w:type="dxa" w:w="6048"/>
            <w:shd w:fill="F8FAFC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F172A"/>
                <w:sz w:val="16"/>
              </w:rPr>
              <w:t>Risk Scoring &amp; Access Boundaries</w:t>
              <w:br/>
            </w:r>
            <w:r>
              <w:rPr>
                <w:rFonts w:ascii="Calibri" w:hAnsi="Calibri"/>
                <w:color w:val="64748B"/>
                <w:sz w:val="14"/>
              </w:rPr>
              <w:t>Data-sensitivity AI risk scoring &amp; excessive query detection</w:t>
            </w:r>
          </w:p>
        </w:tc>
        <w:tc>
          <w:tcPr>
            <w:tcW w:type="dxa" w:w="1872"/>
            <w:shd w:fill="F8FAFC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Page 13</w:t>
            </w:r>
          </w:p>
        </w:tc>
      </w:tr>
      <w:tr>
        <w:tc>
          <w:tcPr>
            <w:tcW w:type="dxa" w:w="1872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Req 56 &amp; 57</w:t>
            </w:r>
          </w:p>
        </w:tc>
        <w:tc>
          <w:tcPr>
            <w:tcW w:type="dxa" w:w="6048"/>
            <w:shd w:fill="FFFFFF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F172A"/>
                <w:sz w:val="16"/>
              </w:rPr>
              <w:t>Dataset Access &amp; Anomaly Detection</w:t>
              <w:br/>
            </w:r>
            <w:r>
              <w:rPr>
                <w:rFonts w:ascii="Calibri" w:hAnsi="Calibri"/>
                <w:color w:val="64748B"/>
                <w:sz w:val="14"/>
              </w:rPr>
              <w:t>Restricted dataset prevention policies &amp; anomalous pattern monitoring</w:t>
            </w:r>
          </w:p>
        </w:tc>
        <w:tc>
          <w:tcPr>
            <w:tcW w:type="dxa" w:w="1872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Page 14</w:t>
            </w:r>
          </w:p>
        </w:tc>
      </w:tr>
      <w:tr>
        <w:tc>
          <w:tcPr>
            <w:tcW w:type="dxa" w:w="1872"/>
            <w:shd w:fill="F8FAFC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Req 58 &amp; 59</w:t>
            </w:r>
          </w:p>
        </w:tc>
        <w:tc>
          <w:tcPr>
            <w:tcW w:type="dxa" w:w="6048"/>
            <w:shd w:fill="F8FAFC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F172A"/>
                <w:sz w:val="16"/>
              </w:rPr>
              <w:t>Suspicious Data &amp; Exfiltration Alerts</w:t>
              <w:br/>
            </w:r>
            <w:r>
              <w:rPr>
                <w:rFonts w:ascii="Calibri" w:hAnsi="Calibri"/>
                <w:color w:val="64748B"/>
                <w:sz w:val="14"/>
              </w:rPr>
              <w:t>Suspicious AI interaction detection &amp; automated exfiltration alerts</w:t>
            </w:r>
          </w:p>
        </w:tc>
        <w:tc>
          <w:tcPr>
            <w:tcW w:type="dxa" w:w="1872"/>
            <w:shd w:fill="F8FAFC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Page 15</w:t>
            </w:r>
          </w:p>
        </w:tc>
      </w:tr>
      <w:tr>
        <w:tc>
          <w:tcPr>
            <w:tcW w:type="dxa" w:w="1872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Req 60 &amp; 61</w:t>
            </w:r>
          </w:p>
        </w:tc>
        <w:tc>
          <w:tcPr>
            <w:tcW w:type="dxa" w:w="6048"/>
            <w:shd w:fill="FFFFFF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F172A"/>
                <w:sz w:val="16"/>
              </w:rPr>
              <w:t>Scraping Mitigation &amp; Workflows</w:t>
              <w:br/>
            </w:r>
            <w:r>
              <w:rPr>
                <w:rFonts w:ascii="Calibri" w:hAnsi="Calibri"/>
                <w:color w:val="64748B"/>
                <w:sz w:val="14"/>
              </w:rPr>
              <w:t>Automated prompt scraping mitigation &amp; analyst investigation tools</w:t>
            </w:r>
          </w:p>
        </w:tc>
        <w:tc>
          <w:tcPr>
            <w:tcW w:type="dxa" w:w="1872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Page 16</w:t>
            </w:r>
          </w:p>
        </w:tc>
      </w:tr>
      <w:tr>
        <w:tc>
          <w:tcPr>
            <w:tcW w:type="dxa" w:w="1872"/>
            <w:shd w:fill="F8FAFC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Req 62 &amp; 63</w:t>
            </w:r>
          </w:p>
        </w:tc>
        <w:tc>
          <w:tcPr>
            <w:tcW w:type="dxa" w:w="6048"/>
            <w:shd w:fill="F8FAFC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F172A"/>
                <w:sz w:val="16"/>
              </w:rPr>
              <w:t>Audit Logging &amp; Governance Controls</w:t>
              <w:br/>
            </w:r>
            <w:r>
              <w:rPr>
                <w:rFonts w:ascii="Calibri" w:hAnsi="Calibri"/>
                <w:color w:val="64748B"/>
                <w:sz w:val="14"/>
              </w:rPr>
              <w:t>Detailed immutable AI audit logs &amp; policy-aligned workspace governance</w:t>
            </w:r>
          </w:p>
        </w:tc>
        <w:tc>
          <w:tcPr>
            <w:tcW w:type="dxa" w:w="1872"/>
            <w:shd w:fill="F8FAFC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Page 17</w:t>
            </w:r>
          </w:p>
        </w:tc>
      </w:tr>
      <w:tr>
        <w:tc>
          <w:tcPr>
            <w:tcW w:type="dxa" w:w="1872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Req 64 &amp; 65</w:t>
            </w:r>
          </w:p>
        </w:tc>
        <w:tc>
          <w:tcPr>
            <w:tcW w:type="dxa" w:w="6048"/>
            <w:shd w:fill="FFFFFF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F172A"/>
                <w:sz w:val="16"/>
              </w:rPr>
              <w:t>Compliance Reports &amp; Risk Posture</w:t>
              <w:br/>
            </w:r>
            <w:r>
              <w:rPr>
                <w:rFonts w:ascii="Calibri" w:hAnsi="Calibri"/>
                <w:color w:val="64748B"/>
                <w:sz w:val="14"/>
              </w:rPr>
              <w:t>AI compliance telemetry reports &amp; fleet risk posture dashboards</w:t>
            </w:r>
          </w:p>
        </w:tc>
        <w:tc>
          <w:tcPr>
            <w:tcW w:type="dxa" w:w="1872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Page 18</w:t>
            </w:r>
          </w:p>
        </w:tc>
      </w:tr>
      <w:tr>
        <w:tc>
          <w:tcPr>
            <w:tcW w:type="dxa" w:w="1872"/>
            <w:shd w:fill="F8FAFC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Req 66 &amp; 67</w:t>
            </w:r>
          </w:p>
        </w:tc>
        <w:tc>
          <w:tcPr>
            <w:tcW w:type="dxa" w:w="6048"/>
            <w:shd w:fill="F8FAFC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F172A"/>
                <w:sz w:val="16"/>
              </w:rPr>
              <w:t>Audit Reporting &amp; Dataset Protection</w:t>
              <w:br/>
            </w:r>
            <w:r>
              <w:rPr>
                <w:rFonts w:ascii="Calibri" w:hAnsi="Calibri"/>
                <w:color w:val="64748B"/>
                <w:sz w:val="14"/>
              </w:rPr>
              <w:t>Search activity audit reporting &amp; classified dataset access prevention</w:t>
            </w:r>
          </w:p>
        </w:tc>
        <w:tc>
          <w:tcPr>
            <w:tcW w:type="dxa" w:w="1872"/>
            <w:shd w:fill="F8FAFC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Page 19</w:t>
            </w:r>
          </w:p>
        </w:tc>
      </w:tr>
      <w:tr>
        <w:tc>
          <w:tcPr>
            <w:tcW w:type="dxa" w:w="1872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Req 68 &amp; 69</w:t>
            </w:r>
          </w:p>
        </w:tc>
        <w:tc>
          <w:tcPr>
            <w:tcW w:type="dxa" w:w="6048"/>
            <w:shd w:fill="FFFFFF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F172A"/>
                <w:sz w:val="16"/>
              </w:rPr>
              <w:t>Runtime Monitoring &amp; Threat Defense</w:t>
              <w:br/>
            </w:r>
            <w:r>
              <w:rPr>
                <w:rFonts w:ascii="Calibri" w:hAnsi="Calibri"/>
                <w:color w:val="64748B"/>
                <w:sz w:val="14"/>
              </w:rPr>
              <w:t>Runtime proxy data inspection &amp; prompt injection attack defense</w:t>
            </w:r>
          </w:p>
        </w:tc>
        <w:tc>
          <w:tcPr>
            <w:tcW w:type="dxa" w:w="1872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Page 20</w:t>
            </w:r>
          </w:p>
        </w:tc>
      </w:tr>
      <w:tr>
        <w:tc>
          <w:tcPr>
            <w:tcW w:type="dxa" w:w="1872"/>
            <w:shd w:fill="F8FAFC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Req 70 &amp; 71</w:t>
            </w:r>
          </w:p>
        </w:tc>
        <w:tc>
          <w:tcPr>
            <w:tcW w:type="dxa" w:w="6048"/>
            <w:shd w:fill="F8FAFC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F172A"/>
                <w:sz w:val="16"/>
              </w:rPr>
              <w:t>Output Protection &amp; Remediation</w:t>
              <w:br/>
            </w:r>
            <w:r>
              <w:rPr>
                <w:rFonts w:ascii="Calibri" w:hAnsi="Calibri"/>
                <w:color w:val="64748B"/>
                <w:sz w:val="14"/>
              </w:rPr>
              <w:t>Sensitive token output leakage prevention &amp; automated blocking actions</w:t>
            </w:r>
          </w:p>
        </w:tc>
        <w:tc>
          <w:tcPr>
            <w:tcW w:type="dxa" w:w="1872"/>
            <w:shd w:fill="F8FAFC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Page 21</w:t>
            </w:r>
          </w:p>
        </w:tc>
      </w:tr>
      <w:tr>
        <w:tc>
          <w:tcPr>
            <w:tcW w:type="dxa" w:w="1872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Req 72 &amp; 73</w:t>
            </w:r>
          </w:p>
        </w:tc>
        <w:tc>
          <w:tcPr>
            <w:tcW w:type="dxa" w:w="6048"/>
            <w:shd w:fill="FFFFFF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F172A"/>
                <w:sz w:val="16"/>
              </w:rPr>
              <w:t>Multi-Asset Risk &amp; Adoption Trends</w:t>
              <w:br/>
            </w:r>
            <w:r>
              <w:rPr>
                <w:rFonts w:ascii="Calibri" w:hAnsi="Calibri"/>
                <w:color w:val="64748B"/>
                <w:sz w:val="14"/>
              </w:rPr>
              <w:t>Workstation hardware telemetry &amp; enterprise AI adoption analytics</w:t>
            </w:r>
          </w:p>
        </w:tc>
        <w:tc>
          <w:tcPr>
            <w:tcW w:type="dxa" w:w="1872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Page 22</w:t>
            </w:r>
          </w:p>
        </w:tc>
      </w:tr>
      <w:tr>
        <w:tc>
          <w:tcPr>
            <w:tcW w:type="dxa" w:w="1872"/>
            <w:shd w:fill="F8FAFC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Req 74 &amp; 75</w:t>
            </w:r>
          </w:p>
        </w:tc>
        <w:tc>
          <w:tcPr>
            <w:tcW w:type="dxa" w:w="6048"/>
            <w:shd w:fill="F8FAFC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F172A"/>
                <w:sz w:val="16"/>
              </w:rPr>
              <w:t>Behavioral Scoring &amp; Executive Reports</w:t>
              <w:br/>
            </w:r>
            <w:r>
              <w:rPr>
                <w:rFonts w:ascii="Calibri" w:hAnsi="Calibri"/>
                <w:color w:val="64748B"/>
                <w:sz w:val="14"/>
              </w:rPr>
              <w:t>Behavioral contextual risk scoring &amp; executive leadership briefings</w:t>
            </w:r>
          </w:p>
        </w:tc>
        <w:tc>
          <w:tcPr>
            <w:tcW w:type="dxa" w:w="1872"/>
            <w:shd w:fill="F8FAFC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Page 23</w:t>
            </w:r>
          </w:p>
        </w:tc>
      </w:tr>
    </w:tbl>
    <w:p>
      <w:r>
        <w:br w:type="page"/>
      </w:r>
    </w:p>
    <w:p>
      <w:pPr>
        <w:spacing w:before="40" w:after="40"/>
      </w:pPr>
      <w:r>
        <w:rPr>
          <w:rFonts w:ascii="Calibri" w:hAnsi="Calibri"/>
          <w:b/>
          <w:color w:val="0F172A"/>
          <w:sz w:val="26"/>
        </w:rPr>
        <w:t>6.3.8 VI (a): Automatic Redaction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6.3.8 VI (a)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"Automatic Redaction: The solution must automatically block or redact PII (e.g., Aadhaar, PAN, contact details) from natural language prompts before transmission to any AI service."</w:t>
            </w:r>
          </w:p>
        </w:tc>
      </w:tr>
    </w:tbl>
    <w:p>
      <w:pPr>
        <w:spacing w:before="40" w:after="60"/>
      </w:pPr>
      <w:r>
        <w:rPr>
          <w:color w:val="1E293B"/>
          <w:sz w:val="15"/>
        </w:rPr>
        <w:t>Technical Compliance &amp; Architecture: YP-Raksha intercepts prompt submissions at the browser runtime and proxy layer before payload dispatch. High-performance regex evaluators and named-entity recognition (NER) models scan the buffer for Indian and international PII formats, ensuring zero leakage to external LLMs.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59985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img1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99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1.1: YP-Raksha Guard Rules Engine with active PII redaction patterns for Aadhaar, PAN, and Contact Details.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59423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img2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94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1.2: Audit verification log displaying automatic inline masking applied to employee prompt before proxy transmission.</w:t>
            </w:r>
          </w:p>
        </w:tc>
      </w:tr>
    </w:tbl>
    <w:p>
      <w:r>
        <w:br w:type="page"/>
      </w:r>
    </w:p>
    <w:p>
      <w:pPr>
        <w:spacing w:before="40" w:after="40"/>
      </w:pPr>
      <w:r>
        <w:rPr>
          <w:rFonts w:ascii="Calibri" w:hAnsi="Calibri"/>
          <w:b/>
          <w:color w:val="0F172A"/>
          <w:sz w:val="26"/>
        </w:rPr>
        <w:t>6.3.8 VI (b) &amp; (c): Malicious Intent Detection &amp; Prompt Sanitization</w:t>
      </w: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Malicious Intent Detection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6.3.8 VI (b)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must detect and block queries exhibiting malicious intent, such as mass extraction attempts, enumeration, and adversarial jailbreaks."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YP-Raksha deploys heuristic token evaluators to intercept jailbreak attempts (DAN, prompt override) and token velocity rate limiters.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63639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img1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36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2.1: Interception of adversarial jailbreak and mass enumeration attempts at the gateway layer.</w:t>
            </w:r>
          </w:p>
        </w:tc>
      </w:tr>
    </w:tbl>
    <w:p>
      <w:pPr>
        <w:spacing w:after="40"/>
      </w:pP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Prompt Sanitization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6.3.8 VI (c)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must inspect and sanitize incoming prompts to prevent the injection of classified, confidential, or sensitive personal data into public AI services."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Scans input streams for proprietary source code, internal IPs, connection strings, and classified operational assets before dispatch.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59985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img2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99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2.2: Prompt sanitization inspection log showing scrubbed credentials and sanitized technical payloads.</w:t>
            </w:r>
          </w:p>
        </w:tc>
      </w:tr>
    </w:tbl>
    <w:p>
      <w:r>
        <w:br w:type="page"/>
      </w:r>
    </w:p>
    <w:p>
      <w:pPr>
        <w:spacing w:before="40" w:after="40"/>
      </w:pPr>
      <w:r>
        <w:rPr>
          <w:rFonts w:ascii="Calibri" w:hAnsi="Calibri"/>
          <w:b/>
          <w:color w:val="0F172A"/>
          <w:sz w:val="26"/>
        </w:rPr>
        <w:t>6.3.8 VI (d) &amp; (e): Clipboard Governance &amp; Policy Enforcement</w:t>
      </w: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Clipboard &amp; Data Governance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6.3.8 VI (d)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must enforce strict controls to prevent unauthorized copy-paste, drag-and-drop, or bulk insertion of sensitive enterprise data into AI interfaces."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In-browser DOM event listeners hook clipboard operations, terminating unauthorized copy-paste or file drop.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63077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_img1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30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3.1: Browser Settings console enforcing strict Copy-Paste, Drag-and-Drop, and File Download blocking.</w:t>
            </w:r>
          </w:p>
        </w:tc>
      </w:tr>
    </w:tbl>
    <w:p>
      <w:pPr>
        <w:spacing w:after="40"/>
      </w:pP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Policy Enforcement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6.3.8 VI (e)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must validate that AI requests align with declared enterprise purpose and block prompts involving expired/withdrawn consent or children's data."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Validates session tokens and prompt context against purpose tags; prompts referencing minors are dropped.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63358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_img2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335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3.2: Real-time policy enforcement engine terminating prompt submission due to missing consent authorization.</w:t>
            </w:r>
          </w:p>
        </w:tc>
      </w:tr>
    </w:tbl>
    <w:p>
      <w:r>
        <w:br w:type="page"/>
      </w:r>
    </w:p>
    <w:p>
      <w:pPr>
        <w:spacing w:before="40" w:after="40"/>
      </w:pPr>
      <w:r>
        <w:rPr>
          <w:rFonts w:ascii="Calibri" w:hAnsi="Calibri"/>
          <w:b/>
          <w:color w:val="0F172A"/>
          <w:sz w:val="26"/>
        </w:rPr>
        <w:t>6.3.8 VI (f) &amp; (g): Just-in-Time (JIT) Coaching &amp; Response Scanning</w:t>
      </w: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Just-in-Time (JIT) Coaching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6.3.8 VI (f)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must deliver real-time, context-aware policy alerts directly to users upon violation to reinforce safe AI usage."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Dynamic floating alert banners inform users why their interaction violated policy, providing educational coaching.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59423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_img1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94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4.1: Real-time JIT coaching banner displayed to employee explaining policy violation at the moment of entry.</w:t>
            </w:r>
          </w:p>
        </w:tc>
      </w:tr>
    </w:tbl>
    <w:p>
      <w:pPr>
        <w:spacing w:after="40"/>
      </w:pP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Response Scanning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6.3.8 VI (g)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"All AI-generated responses must be analysed for PII or sensitive content and evaluated against established classification metadata."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Captures inbound LLM completions, inspecting for toxicity, hallucinated instructions, and attaching safety metadata.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448068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_img2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480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4.2: AI Response Scanning dashboard showing real-time toxicity analysis and compliance metadata tagging.</w:t>
            </w:r>
          </w:p>
        </w:tc>
      </w:tr>
    </w:tbl>
    <w:p>
      <w:r>
        <w:br w:type="page"/>
      </w:r>
    </w:p>
    <w:p>
      <w:pPr>
        <w:spacing w:before="40" w:after="40"/>
      </w:pPr>
      <w:r>
        <w:rPr>
          <w:rFonts w:ascii="Calibri" w:hAnsi="Calibri"/>
          <w:b/>
          <w:color w:val="0F172A"/>
          <w:sz w:val="26"/>
        </w:rPr>
        <w:t>6.3.8 VI (h): Risk Scoring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6.3.8 VI (h)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"Risk Scoring: The solution shall assign a regulatory and business risk score to each AI-generated response, search result, and synthesized output, enabling risk-based blocking or human review."</w:t>
            </w:r>
          </w:p>
        </w:tc>
      </w:tr>
    </w:tbl>
    <w:p>
      <w:pPr>
        <w:spacing w:before="40" w:after="60"/>
      </w:pPr>
      <w:r>
        <w:rPr>
          <w:color w:val="1E293B"/>
          <w:sz w:val="15"/>
        </w:rPr>
        <w:t>Technical Compliance &amp; Architecture: YP-Raksha calculates a multidimensional composite risk score (0 to 100) weighing data sensitivity, user role, platform sensitivity, and prompt toxicity. Interactions exceeding tolerance thresholds trigger automated containment (Low: Allowed, Medium: JIT Alert, High: Hard Block).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60828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5_img1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082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5.1: Multi-factor Risk Scoring engine matrix mapping weights across data sensitivity and platform security.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60547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5_img2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054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5.2: Detailed Interaction Log and Risk Scoring table assigning risk ratings to every prompt and response.</w:t>
            </w:r>
          </w:p>
        </w:tc>
      </w:tr>
    </w:tbl>
    <w:p>
      <w:r>
        <w:br w:type="page"/>
      </w:r>
    </w:p>
    <w:p>
      <w:pPr>
        <w:spacing w:before="40" w:after="40"/>
      </w:pPr>
      <w:r>
        <w:rPr>
          <w:rFonts w:ascii="Calibri" w:hAnsi="Calibri"/>
          <w:b/>
          <w:color w:val="0F172A"/>
          <w:sz w:val="26"/>
        </w:rPr>
        <w:t>AI Discovery &amp; Tool Visibility</w:t>
      </w: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Automated AI Tools Discovery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AI DISCOVERY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must automatically discover AI tools, AI agents, AI chatbots, and AI model integrations used across the enterprise environment."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Continuous discovery pipeline identifies enterprise access across 52+ commercial and emerging AI domains including ChatGPT, Claude, and Gemini.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59565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_image2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956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6.1: Target Web AI Platforms console showing automated discovery and active monitoring across 52 AI domains.</w:t>
            </w:r>
          </w:p>
        </w:tc>
      </w:tr>
    </w:tbl>
    <w:p>
      <w:pPr>
        <w:spacing w:after="40"/>
      </w:pP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Enterprise-Wide AI Tool Visibility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VISIBILITY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should provide visibility into AI tool usage across users, applications, and data repositories."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Centralized endpoint inventory tracks desktop agents and browser extensions, logging machine hostname, IP, MAC address, and active user accounts.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61284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image2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128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6.2: Centralized Guard Agents management dashboard tracking endpoint hostnames, IP, MAC, version, and status.</w:t>
            </w:r>
          </w:p>
        </w:tc>
      </w:tr>
    </w:tbl>
    <w:p>
      <w:r>
        <w:br w:type="page"/>
      </w:r>
    </w:p>
    <w:p>
      <w:pPr>
        <w:spacing w:before="40" w:after="40"/>
      </w:pPr>
      <w:r>
        <w:rPr>
          <w:rFonts w:ascii="Calibri" w:hAnsi="Calibri"/>
          <w:b/>
          <w:color w:val="0F172A"/>
          <w:sz w:val="26"/>
        </w:rPr>
        <w:t>Shadow AI &amp; Data Repositories</w:t>
      </w: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Shadow AI Identification &amp; Containment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SHADOW AI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must identify shadow AI usage, including unauthorized AI applications and browser-based AI tools."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Detects unapproved AI domains and browser AI tools; enables administrators to immediately enforce domain-level locking (Block entire website).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62156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_image2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215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7.1: Monitored AI Domains dashboard featuring one-click 'Block entire website' toggle to contain shadow AI.</w:t>
            </w:r>
          </w:p>
        </w:tc>
      </w:tr>
    </w:tbl>
    <w:p>
      <w:pPr>
        <w:spacing w:after="40"/>
      </w:pP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Data Repositories Interaction Monitoring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REPOSITORY MONITORING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should monitor AI interactions with enterprise data repositories including file systems, collaboration platforms, and cloud storage."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Monitors file uploads, cloud attachments, and document drag-and-drop into external AI services, blocking unauthorized transmissions.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62729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image2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27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7.2: Connected enterprise data repositories and cloud connector proxy monitoring console.</w:t>
            </w:r>
          </w:p>
        </w:tc>
      </w:tr>
    </w:tbl>
    <w:p>
      <w:r>
        <w:br w:type="page"/>
      </w:r>
    </w:p>
    <w:p>
      <w:pPr>
        <w:spacing w:before="40" w:after="40"/>
      </w:pPr>
      <w:r>
        <w:rPr>
          <w:rFonts w:ascii="Calibri" w:hAnsi="Calibri"/>
          <w:b/>
          <w:color w:val="0F172A"/>
          <w:sz w:val="26"/>
        </w:rPr>
        <w:t>Continuous Monitoring &amp; DLP</w:t>
      </w: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Continuous User Interaction Monitoring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RUNTIME MONITORING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must provide continuous monitoring of user interactions with AI tools to detect potential data leakage risks."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Every prompt submission is intercepted inline, recording user prompts, tokens, execution cost, and security actions in live audit logs.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63129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_image26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312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8.1: Prompt &amp; Chat History audit log displaying live intercepted requests, tokens, costs, and policy actions.</w:t>
            </w:r>
          </w:p>
        </w:tc>
      </w:tr>
    </w:tbl>
    <w:p>
      <w:pPr>
        <w:spacing w:after="40"/>
      </w:pP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Sensitive &amp; Regulated Data Detection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DATA DETECTION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should detect when sensitive or regulated data is being accessed or transmitted through AI applications."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High-speed pattern engine flags Aadhaar, mobile numbers, PAN, 18+ content, and confidential company tokens across all prompt dispatches.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59580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_image27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95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8.2: Active DLP Guard Rules console enforcing automated classification, 18+ content filters, and PII masking.</w:t>
            </w:r>
          </w:p>
        </w:tc>
      </w:tr>
    </w:tbl>
    <w:p>
      <w:r>
        <w:br w:type="page"/>
      </w:r>
    </w:p>
    <w:p>
      <w:pPr>
        <w:spacing w:before="40" w:after="40"/>
      </w:pPr>
      <w:r>
        <w:rPr>
          <w:rFonts w:ascii="Calibri" w:hAnsi="Calibri"/>
          <w:b/>
          <w:color w:val="0F172A"/>
          <w:sz w:val="26"/>
        </w:rPr>
        <w:t>Policy Controls &amp; Enforcement</w:t>
      </w: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Policy-Based Data Exposure Controls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POLICY CONTROL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must provide policy-based controls to restrict the exposure of sensitive data to AI tools and services."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Enforces granular policies (Block vs. Redact) preventing classified datasets and confidential employee credentials from reaching external LLMs.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63077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_img1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30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9.1: Browser Guard Settings console enforcing strict copy-paste, drag-and-drop, and download exposure controls.</w:t>
            </w:r>
          </w:p>
        </w:tc>
      </w:tr>
    </w:tbl>
    <w:p>
      <w:pPr>
        <w:spacing w:after="40"/>
      </w:pP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Automated Policy Enforcement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AUTOMATED ENFORCEMENT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should support automated enforcement of AI data protection policies."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Enforces policy decisions within 5 milliseconds at runtime, terminating unauthorized operations without requiring manual analyst intervention.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59580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_image27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95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9.2: Guard Rules policy manager mapping critical severity actions (Block vs. Redact) across enterprise targets.</w:t>
            </w:r>
          </w:p>
        </w:tc>
      </w:tr>
    </w:tbl>
    <w:p>
      <w:r>
        <w:br w:type="page"/>
      </w:r>
    </w:p>
    <w:p>
      <w:pPr>
        <w:spacing w:before="40" w:after="40"/>
      </w:pPr>
      <w:r>
        <w:rPr>
          <w:rFonts w:ascii="Calibri" w:hAnsi="Calibri"/>
          <w:b/>
          <w:color w:val="0F172A"/>
          <w:sz w:val="26"/>
        </w:rPr>
        <w:t>Data Identification &amp; Classification</w:t>
      </w: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Sensitive Enterprise Data Identification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DATA IDENTIFICATION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must identify sensitive enterprise data accessed by AI systems, including personal data, financial data, and intellectual property."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Detects proprietary intellectual property, customer financial records, and PII before text is uploaded into third-party AI interfaces.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594235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img2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94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10.1: Live interaction audit trail identifying personal identifiers and proprietary corporate tokens.</w:t>
            </w:r>
          </w:p>
        </w:tc>
      </w:tr>
    </w:tbl>
    <w:p>
      <w:pPr>
        <w:spacing w:after="40"/>
      </w:pP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Automated Data Classification Mechanisms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CLASSIFICATION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should classify sensitive data accessed by AI systems using automated classification mechanisms."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Assigns contextual data classifications (Confidential, Restricted, PII) in real time and masks detected tokens prior to proxy transmission.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61011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image28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10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10.2: Guard Insights telemetry dashboard showing automated classification trends across enterprise prompts.</w:t>
            </w:r>
          </w:p>
        </w:tc>
      </w:tr>
    </w:tbl>
    <w:p>
      <w:r>
        <w:br w:type="page"/>
      </w:r>
    </w:p>
    <w:p>
      <w:pPr>
        <w:spacing w:before="40" w:after="40"/>
      </w:pPr>
      <w:r>
        <w:rPr>
          <w:rFonts w:ascii="Calibri" w:hAnsi="Calibri"/>
          <w:b/>
          <w:color w:val="0F172A"/>
          <w:sz w:val="26"/>
        </w:rPr>
        <w:t>Risk Scoring &amp; Access Boundaries</w:t>
      </w: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Data-Sensitivity-Driven AI Risk Scoring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RISK SCORING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must provide risk scoring for AI systems based on the sensitivity of data they access."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Computes continuous risk scores reflecting the sensitivity of data repositories accessed by each AI system or employee profile.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504225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_image2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04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11.1: LLM Interaction Log tracking request tokens, latency, cost metrics, and dynamic risk scoring.</w:t>
            </w:r>
          </w:p>
        </w:tc>
      </w:tr>
    </w:tbl>
    <w:p>
      <w:pPr>
        <w:spacing w:after="40"/>
      </w:pP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Excessive &amp; Unnecessary Data Access Detection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ANOMALY DETECTION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should detect when AI tools attempt to access excessive or unnecessary data."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Monitors query volume and scope; excessive requests trigger instant JIT notification banners and prompt rate-limiting.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636395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img1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36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11.2: Gateway interception of excessive query bursts, jailbreak patterns, and mass data extraction.</w:t>
            </w:r>
          </w:p>
        </w:tc>
      </w:tr>
    </w:tbl>
    <w:p>
      <w:r>
        <w:br w:type="page"/>
      </w:r>
    </w:p>
    <w:p>
      <w:pPr>
        <w:spacing w:before="40" w:after="40"/>
      </w:pPr>
      <w:r>
        <w:rPr>
          <w:rFonts w:ascii="Calibri" w:hAnsi="Calibri"/>
          <w:b/>
          <w:color w:val="0F172A"/>
          <w:sz w:val="26"/>
        </w:rPr>
        <w:t>Dataset Access &amp; Anomaly Detection</w:t>
      </w: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Policy-Based AI Dataset Access Restriction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DATASET RESTRICTION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must provide the ability to restrict AI model access to sensitive datasets based on predefined policies."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Restricts access to confidential documents by disabling clipboard copy, file attachments, and download exports inside AI tool interfaces.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652117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_setu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521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12.1: Gateway Administration console enforcing dataset isolation, SSL certificates, and tenant domain locking.</w:t>
            </w:r>
          </w:p>
        </w:tc>
      </w:tr>
    </w:tbl>
    <w:p>
      <w:pPr>
        <w:spacing w:after="40"/>
      </w:pP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Anomalous AI Data Access Pattern Monitoring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ACCESS PATTERN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should monitor and detect anomalous AI data access patterns that may indicate misuse or compromise."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Tracks token velocity, prompt cadence, and behavioral deviations to detect credential compromise and automated prompt harvesting.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609255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_guard_insights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092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12.2: Guard Insights anomalous activity monitor tracking real-time policy breach spikes and threat trends.</w:t>
            </w:r>
          </w:p>
        </w:tc>
      </w:tr>
    </w:tbl>
    <w:p>
      <w:r>
        <w:br w:type="page"/>
      </w:r>
    </w:p>
    <w:p>
      <w:pPr>
        <w:spacing w:before="40" w:after="40"/>
      </w:pPr>
      <w:r>
        <w:rPr>
          <w:rFonts w:ascii="Calibri" w:hAnsi="Calibri"/>
          <w:b/>
          <w:color w:val="0F172A"/>
          <w:sz w:val="26"/>
        </w:rPr>
        <w:t>Suspicious Data &amp; Exfiltration Alerts</w:t>
      </w: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Suspicious Data Interaction Detection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INTERACTION DETECTION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must detect abnormal or suspicious interactions between AI systems and enterprise data sources."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Inspects interactions passing between users and external models, flagging abnormal query structures and classified file queries.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61461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_guard_inspect_modal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146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13.1: Suspicious Interaction Inspector dialog providing deep packet payload analysis and rule evaluation history.</w:t>
            </w:r>
          </w:p>
        </w:tc>
      </w:tr>
    </w:tbl>
    <w:p>
      <w:pPr>
        <w:spacing w:after="40"/>
      </w:pP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Automated Data Exfiltration Alerting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EXFILTRATION ALERT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should generate alerts for potential data exfiltration attempts through AI applications."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Instantly triggers browser popups, telemetry alerts, and SOC incident notifications when bulk data extraction is detected.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609255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_img_2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092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13.2: High-priority security incident console logging automated exfiltration triggers and containment actions.</w:t>
            </w:r>
          </w:p>
        </w:tc>
      </w:tr>
    </w:tbl>
    <w:p>
      <w:r>
        <w:br w:type="page"/>
      </w:r>
    </w:p>
    <w:p>
      <w:pPr>
        <w:spacing w:before="40" w:after="40"/>
      </w:pPr>
      <w:r>
        <w:rPr>
          <w:rFonts w:ascii="Calibri" w:hAnsi="Calibri"/>
          <w:b/>
          <w:color w:val="0F172A"/>
          <w:sz w:val="26"/>
        </w:rPr>
        <w:t>Scraping Mitigation &amp; Workflows</w:t>
      </w: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Abnormal Usage &amp; Automated Scraping Mitigation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SCRAPING DEFENSE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must detect abnormal AI usage patterns such as excessive prompts, automated extraction attempts, or data scraping behaviour."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Rate-limits rapid query generation, terminates automated bot sessions, and logs enumeration sequences at the proxy gateway.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61997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_img_1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19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14.1: LLM Gateway policy engine enforcing rate limits, token quotas, and prompt scraping defense.</w:t>
            </w:r>
          </w:p>
        </w:tc>
      </w:tr>
    </w:tbl>
    <w:p>
      <w:pPr>
        <w:spacing w:after="40"/>
      </w:pP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Security Analyst Investigation Workflows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ANALYST WORKFLOW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should support investigation workflows for security analysts to review AI-related security events."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Equips security analysts with granular search, domain filters, status filters (Allowed vs. Blocked), and complete prompt payload inspection.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63068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_search_logs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306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14.2: Security Analyst Search &amp; Investigation console with granular search queries, engine filters, and threat scores.</w:t>
            </w:r>
          </w:p>
        </w:tc>
      </w:tr>
    </w:tbl>
    <w:p>
      <w:r>
        <w:br w:type="page"/>
      </w:r>
    </w:p>
    <w:p>
      <w:pPr>
        <w:spacing w:before="40" w:after="40"/>
      </w:pPr>
      <w:r>
        <w:rPr>
          <w:rFonts w:ascii="Calibri" w:hAnsi="Calibri"/>
          <w:b/>
          <w:color w:val="0F172A"/>
          <w:sz w:val="26"/>
        </w:rPr>
        <w:t>Audit Logging &amp; Governance Controls</w:t>
      </w: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Detailed Immutable AI Audit Logging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AUDIT LOGGING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must maintain detailed audit logs of AI activity and data access events."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Captures immutable records detailing date, time, endpoint hostname, AI platform, user prompt, token usage, cost, and exact enforcement decision.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60547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5_img2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054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15.1: Comprehensive immutable audit log table detailing timestamps, user sessions, prompt risk, and verdicts.</w:t>
            </w:r>
          </w:p>
        </w:tc>
      </w:tr>
    </w:tbl>
    <w:p>
      <w:pPr>
        <w:spacing w:after="40"/>
      </w:pP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Policy-Aligned Enterprise Governance Controls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GOVERNANCE CONTROL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must provide governance controls for enterprise AI usage aligned with organizational security policies."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Enforces corporate workspace domain authorization (@yespanchi.com), enterprise license quotas, and centralized workstation sync.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609255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_img_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092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15.2: Enterprise Governance &amp; Compliance configuration console aligning AI tool permissions with corporate security policies.</w:t>
            </w:r>
          </w:p>
        </w:tc>
      </w:tr>
    </w:tbl>
    <w:p>
      <w:r>
        <w:br w:type="page"/>
      </w:r>
    </w:p>
    <w:p>
      <w:pPr>
        <w:spacing w:before="40" w:after="40"/>
      </w:pPr>
      <w:r>
        <w:rPr>
          <w:rFonts w:ascii="Calibri" w:hAnsi="Calibri"/>
          <w:b/>
          <w:color w:val="0F172A"/>
          <w:sz w:val="26"/>
        </w:rPr>
        <w:t>Compliance Reports &amp; Risk Dashboards</w:t>
      </w: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AI Data Access Compliance Reporting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COMPLIANCE REPORTING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should generate compliance reports related to AI data access and AI system usage."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Provides dynamic executive compliance telemetry capturing total prompts intercepted, high-risk flags, and real-time report export options.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61997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_img_3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19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16.1: MCP Gateway tools &amp; compliance telemetry dashboard tracking connector requests and export summaries.</w:t>
            </w:r>
          </w:p>
        </w:tc>
      </w:tr>
    </w:tbl>
    <w:p>
      <w:pPr>
        <w:spacing w:after="40"/>
      </w:pP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Enterprise AI Risk Posture Dashboards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RISK POSTURE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must provide dashboards for security teams showing AI risk posture across the enterprise."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Displays fleet-wide endpoint agent health, policy interception hit counts (Allowed vs. Blocked), and active workstation risk status.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491383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_overview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913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16.2: Executive AI Risk Posture overview dashboard displaying daily active agents, intercepted prompts, and threat scores.</w:t>
            </w:r>
          </w:p>
        </w:tc>
      </w:tr>
    </w:tbl>
    <w:p>
      <w:r>
        <w:br w:type="page"/>
      </w:r>
    </w:p>
    <w:p>
      <w:pPr>
        <w:spacing w:before="40" w:after="40"/>
      </w:pPr>
      <w:r>
        <w:rPr>
          <w:rFonts w:ascii="Calibri" w:hAnsi="Calibri"/>
          <w:b/>
          <w:color w:val="0F172A"/>
          <w:sz w:val="26"/>
        </w:rPr>
        <w:t>Audit Reporting &amp; Dataset Protection</w:t>
      </w: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Regulatory &amp; Internal Audit Reporting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AUDIT REPORTING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should support audit reporting for regulatory or internal governance requirements."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Captures forensic compliance trails across web and search queries, logging browser engines, destination result clicks, and threat risk ratings.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63068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_search_logs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306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17.1: Enterprise Search Activity &amp; Governance Audit log detailing query text, destination URLs, and threat ratings.</w:t>
            </w:r>
          </w:p>
        </w:tc>
      </w:tr>
    </w:tbl>
    <w:p>
      <w:pPr>
        <w:spacing w:after="40"/>
      </w:pP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Restricted &amp; Classified Dataset Access Prevention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DATASET PROTECTION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must enable policy enforcement to prevent AI tools from accessing restricted or classified datasets."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Enforces strict prevention policies blocking upload, copy-paste, and drag-and-drop of restricted source files into AI interfaces.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62729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image2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27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17.2: Connected repository permissions console preventing unauthorized AI tool ingestion of sensitive file stores.</w:t>
            </w:r>
          </w:p>
        </w:tc>
      </w:tr>
    </w:tbl>
    <w:p>
      <w:r>
        <w:br w:type="page"/>
      </w:r>
    </w:p>
    <w:p>
      <w:pPr>
        <w:spacing w:before="40" w:after="40"/>
      </w:pPr>
      <w:r>
        <w:rPr>
          <w:rFonts w:ascii="Calibri" w:hAnsi="Calibri"/>
          <w:b/>
          <w:color w:val="0F172A"/>
          <w:sz w:val="26"/>
        </w:rPr>
        <w:t>Runtime Monitoring &amp; Threat Defense</w:t>
      </w: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Runtime Monitoring of AI Interactions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RUNTIME MONITORING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must support runtime monitoring of AI interactions with enterprise data."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Inline proxy broker inspects live data exchanges, evaluating prompt tokens, response safety, and model actions in sub-5ms latency.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652117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_setu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521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18.1: Gateway Runtime Proxy architecture console configuring real-time data inspection and TLS termination.</w:t>
            </w:r>
          </w:p>
        </w:tc>
      </w:tr>
    </w:tbl>
    <w:p>
      <w:pPr>
        <w:spacing w:after="40"/>
      </w:pP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Prompt Injection &amp; Adversarial Attack Detection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THREAT DEFENSE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should detect prompt-based attacks such as prompt injection or manipulation attempts."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Identifies adversarial syntax, recursive prompt injection strings, and instruction overrides, dropping hostile payloads at the socket layer.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636395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img1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36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18.2: Real-time defense log intercepting prompt injection payloads, system overrides, and adversarial exploits.</w:t>
            </w:r>
          </w:p>
        </w:tc>
      </w:tr>
    </w:tbl>
    <w:p>
      <w:r>
        <w:br w:type="page"/>
      </w:r>
    </w:p>
    <w:p>
      <w:pPr>
        <w:spacing w:before="40" w:after="40"/>
      </w:pPr>
      <w:r>
        <w:rPr>
          <w:rFonts w:ascii="Calibri" w:hAnsi="Calibri"/>
          <w:b/>
          <w:color w:val="0F172A"/>
          <w:sz w:val="26"/>
        </w:rPr>
        <w:t>Output Protection &amp; Remediation</w:t>
      </w: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Sensitive Output Leakage Prevention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OUTPUT PROTECTION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must prevent AI systems from exposing sensitive information through responses or outputs."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Bidirectional output filter scrubs sensitive tokens, PII, and credentials from downstream model completions before rendering in the browser.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448068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_img2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480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19.1: Response Scanning dashboard tagging safety classifications and masking leaked output tokens.</w:t>
            </w:r>
          </w:p>
        </w:tc>
      </w:tr>
    </w:tbl>
    <w:p>
      <w:pPr>
        <w:spacing w:after="40"/>
      </w:pP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Automated Remediation Actions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AUTOMATED REMEDIATION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should support automated remediation actions such as blocking AI requests, restricting access, or generating alerts."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Automatically executes inline request blocking, drops active TCP sessions, and triggers instant telemetry alerts upon critical policy breaches.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630774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_img1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30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19.2: Browser Guard enforcement console displaying active automated blocking rules for unauthorized actions.</w:t>
            </w:r>
          </w:p>
        </w:tc>
      </w:tr>
    </w:tbl>
    <w:p>
      <w:r>
        <w:br w:type="page"/>
      </w:r>
    </w:p>
    <w:p>
      <w:pPr>
        <w:spacing w:before="40" w:after="40"/>
      </w:pPr>
      <w:r>
        <w:rPr>
          <w:rFonts w:ascii="Calibri" w:hAnsi="Calibri"/>
          <w:b/>
          <w:color w:val="0F172A"/>
          <w:sz w:val="26"/>
        </w:rPr>
        <w:t>Multi-Asset Risk &amp; Adoption Trends</w:t>
      </w: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Centralized Multi-Asset Risk Exposure Dashboards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RISK EXPOSURE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must provide centralized dashboards displaying AI risk exposure across users, systems, and data assets."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Inspects individual endpoint workstations, detailing hardware identity, physical MAC, OS version, and granular telemetry audit logs.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625328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_img_5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253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20.1: Multi-Asset Hardware &amp; Workstation telemetry monitor tracking CPU, memory, OS versions, and agent health.</w:t>
            </w:r>
          </w:p>
        </w:tc>
      </w:tr>
    </w:tbl>
    <w:p>
      <w:pPr>
        <w:spacing w:after="40"/>
      </w:pP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AI Adoption Trends &amp; Risk Indicator Analytics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ADOPTION ANALYTICS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should provide analytics on AI adoption trends, usage patterns, and risk indicators."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Analyzes query volume growth, cost per user, token consumption, and risk indicator trends across commercial and internal AI platforms.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491383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_overview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913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20.2: Enterprise AI Adoption trends console mapping active daily users, prompt distribution, and model consumption.</w:t>
            </w:r>
          </w:p>
        </w:tc>
      </w:tr>
    </w:tbl>
    <w:p>
      <w:r>
        <w:br w:type="page"/>
      </w:r>
    </w:p>
    <w:p>
      <w:pPr>
        <w:spacing w:before="40" w:after="40"/>
      </w:pPr>
      <w:r>
        <w:rPr>
          <w:rFonts w:ascii="Calibri" w:hAnsi="Calibri"/>
          <w:b/>
          <w:color w:val="0F172A"/>
          <w:sz w:val="26"/>
        </w:rPr>
        <w:t>Behavioral Scoring &amp; Executive Reports</w:t>
      </w: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Behavioral &amp; Contextual AI Risk Scoring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BEHAVIORAL SCORING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must provide risk scoring for AI activities based on data sensitivity and user behaviour."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Evaluates contextual risk dynamically using historical user behavior, query intent, and search privacy modes.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608289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5_img1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082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21.1: Multi-factor contextual risk matrix weighting user behavior, data classification, and platform security.</w:t>
            </w:r>
          </w:p>
        </w:tc>
      </w:tr>
    </w:tbl>
    <w:p>
      <w:pPr>
        <w:spacing w:after="40"/>
      </w:pPr>
    </w:p>
    <w:p>
      <w:pPr>
        <w:spacing w:before="20" w:after="20"/>
      </w:pPr>
      <w:r>
        <w:rPr>
          <w:rFonts w:ascii="Calibri" w:hAnsi="Calibri"/>
          <w:b/>
          <w:color w:val="0F172A"/>
          <w:sz w:val="19"/>
        </w:rPr>
        <w:t>Executive Leadership &amp; Risk Committee Reporting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9792"/>
            <w:shd w:fill="F0FDF4"/>
            <w:tcMar>
              <w:top w:w="35" w:type="dxa"/>
              <w:bottom w:w="35" w:type="dxa"/>
              <w:left w:w="90" w:type="dxa"/>
              <w:right w:w="90" w:type="dxa"/>
            </w:tcMar>
            <w:tcBorders>
              <w:top w:val="single" w:sz="4" w:space="0" w:color="86EFAC"/>
              <w:left w:val="single" w:sz="18" w:space="0" w:color="059669"/>
              <w:bottom w:val="single" w:sz="4" w:space="0" w:color="86EFAC"/>
              <w:right w:val="single" w:sz="4" w:space="0" w:color="86EFAC"/>
            </w:tcBorders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59669"/>
                <w:sz w:val="15"/>
              </w:rPr>
              <w:t>EXECUTIVE REPORTING SPECIFICATION  |  MANDATORY SECURITY SPECIFICATION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i/>
                <w:color w:val="1E293B"/>
                <w:sz w:val="16"/>
              </w:rPr>
              <w:t>"The solution should support executive reporting for security leadership and risk management teams."</w:t>
            </w:r>
          </w:p>
        </w:tc>
      </w:tr>
    </w:tbl>
    <w:p>
      <w:pPr>
        <w:spacing w:before="20" w:after="40"/>
      </w:pPr>
      <w:r>
        <w:rPr>
          <w:rFonts w:ascii="Calibri" w:hAnsi="Calibri"/>
          <w:b/>
          <w:sz w:val="15"/>
        </w:rPr>
        <w:t xml:space="preserve">Technical Compliance &amp; Architecture: </w:t>
      </w:r>
      <w:r>
        <w:rPr>
          <w:rFonts w:ascii="Calibri" w:hAnsi="Calibri"/>
          <w:color w:val="1E293B"/>
          <w:sz w:val="15"/>
        </w:rPr>
        <w:t>Summarizes enterprise AI compliance posture, blocked data leakage attempts, and cost telemetry into executive-level summaries.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8784"/>
            <w:shd w:fill="F8FAFC"/>
            <w:tcMar>
              <w:top w:w="25" w:type="dxa"/>
              <w:bottom w:w="10" w:type="dxa"/>
              <w:left w:w="25" w:type="dxa"/>
              <w:right w:w="25" w:type="dxa"/>
            </w:tcMar>
            <w:tcBorders>
              <w:top w:val="single" w:sz="4" w:space="0" w:color="CBD5E1"/>
              <w:left w:val="single" w:sz="4" w:space="0" w:color="CBD5E1"/>
              <w:bottom w:val="none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609255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ra_img_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092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784"/>
            <w:shd w:fill="F8FAFC"/>
            <w:tcMar>
              <w:top w:w="8" w:type="dxa"/>
              <w:bottom w:w="25" w:type="dxa"/>
              <w:left w:w="40" w:type="dxa"/>
              <w:right w:w="40" w:type="dxa"/>
            </w:tcMar>
            <w:tcBorders>
              <w:top w:val="none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Figure 21.2: Executive Compliance &amp; Governance summary report designed for enterprise risk committee review.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pBdr>
        <w:top w:val="single" w:sz="4" w:space="4" w:color="E2E8F0"/>
      </w:pBdr>
      <w:tabs>
        <w:tab w:val="right" w:pos="10080"/>
      </w:tabs>
      <w:spacing w:before="60" w:after="0"/>
    </w:pPr>
    <w:r>
      <w:rPr>
        <w:rFonts w:ascii="Calibri" w:hAnsi="Calibri"/>
        <w:b/>
        <w:sz w:val="17"/>
        <w:color w:val="0F172A"/>
      </w:rPr>
      <w:t>YES PANCHI</w:t>
    </w:r>
    <w:r>
      <w:rPr>
        <w:rFonts w:ascii="Calibri" w:hAnsi="Calibri"/>
        <w:sz w:val="17"/>
        <w:color w:val="64748B"/>
      </w:rPr>
      <w:t xml:space="preserve">  |  YP-Raksha</w:t>
    </w:r>
    <w:r>
      <w:rPr>
        <w:rFonts w:ascii="Calibri" w:hAnsi="Calibri"/>
        <w:sz w:val="17"/>
      </w:rPr>
      <w:tab/>
    </w:r>
    <w:r>
      <w:rPr>
        <w:rFonts w:ascii="Calibri" w:hAnsi="Calibri"/>
        <w:b/>
        <w:sz w:val="17"/>
        <w:color w:val="0F172A"/>
      </w:rPr>
      <w:t xml:space="preserve">Page </w:t>
    </w:r>
    <w:fldSimple w:instr="PAGE">
      <w:r>
        <w:rPr>
          <w:rFonts w:ascii="Calibri" w:hAnsi="Calibri"/>
          <w:b/>
          <w:sz w:val="17"/>
          <w:color w:val="0F172A"/>
        </w:rPr>
        <w:t>1</w:t>
      </w:r>
    </w:fldSimple>
    <w:r>
      <w:rPr>
        <w:rFonts w:ascii="Calibri" w:hAnsi="Calibri"/>
        <w:b/>
        <w:sz w:val="17"/>
        <w:color w:val="0F172A"/>
      </w:rPr>
      <w:t xml:space="preserve"> of </w:t>
    </w:r>
    <w:fldSimple w:instr="NUMPAGES">
      <w:r>
        <w:rPr>
          <w:rFonts w:ascii="Calibri" w:hAnsi="Calibri"/>
          <w:b/>
          <w:sz w:val="17"/>
          <w:color w:val="0F172A"/>
        </w:rPr>
        <w:t>23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E2E8F0"/>
      </w:pBdr>
    </w:pPr>
    <w:r>
      <w:rPr>
        <w:rFonts w:ascii="Calibri" w:hAnsi="Calibri"/>
        <w:b/>
        <w:color w:val="1E293B"/>
        <w:sz w:val="17"/>
      </w:rPr>
      <w:t>YP-Raksha  |  Security &amp; Compliance Verification</w:t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Relationship Id="rId17" Type="http://schemas.openxmlformats.org/officeDocument/2006/relationships/image" Target="media/image7.jpeg"/><Relationship Id="rId18" Type="http://schemas.openxmlformats.org/officeDocument/2006/relationships/image" Target="media/image8.jpeg"/><Relationship Id="rId19" Type="http://schemas.openxmlformats.org/officeDocument/2006/relationships/image" Target="media/image9.jpeg"/><Relationship Id="rId20" Type="http://schemas.openxmlformats.org/officeDocument/2006/relationships/image" Target="media/image10.jpeg"/><Relationship Id="rId21" Type="http://schemas.openxmlformats.org/officeDocument/2006/relationships/image" Target="media/image11.jpe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