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280"/>
        <w:jc w:val="center"/>
      </w:pPr>
      <w:r>
        <w:drawing>
          <wp:inline xmlns:a="http://schemas.openxmlformats.org/drawingml/2006/main" xmlns:pic="http://schemas.openxmlformats.org/drawingml/2006/picture">
            <wp:extent cx="2743200" cy="876123"/>
            <wp:docPr id="1" name="Picture 1"/>
            <wp:cNvGraphicFramePr>
              <a:graphicFrameLocks noChangeAspect="1"/>
            </wp:cNvGraphicFramePr>
            <a:graphic>
              <a:graphicData uri="http://schemas.openxmlformats.org/drawingml/2006/picture">
                <pic:pic>
                  <pic:nvPicPr>
                    <pic:cNvPr id="0" name="yes-panchi-logo.png"/>
                    <pic:cNvPicPr/>
                  </pic:nvPicPr>
                  <pic:blipFill>
                    <a:blip r:embed="rId11"/>
                    <a:stretch>
                      <a:fillRect/>
                    </a:stretch>
                  </pic:blipFill>
                  <pic:spPr>
                    <a:xfrm>
                      <a:off x="0" y="0"/>
                      <a:ext cx="2743200" cy="876123"/>
                    </a:xfrm>
                    <a:prstGeom prst="rect"/>
                  </pic:spPr>
                </pic:pic>
              </a:graphicData>
            </a:graphic>
          </wp:inline>
        </w:drawing>
      </w:r>
    </w:p>
    <w:p>
      <w:pPr>
        <w:spacing w:after="40"/>
        <w:jc w:val="center"/>
      </w:pPr>
      <w:r>
        <w:rPr>
          <w:rFonts w:ascii="Calibri" w:hAnsi="Calibri"/>
          <w:b/>
          <w:i w:val="0"/>
          <w:color w:val="0F172A"/>
          <w:sz w:val="30"/>
        </w:rPr>
        <w:t>YES PANCHI</w:t>
      </w:r>
    </w:p>
    <w:p>
      <w:pPr>
        <w:spacing w:after="40"/>
        <w:jc w:val="center"/>
      </w:pPr>
      <w:r>
        <w:rPr>
          <w:rFonts w:ascii="Calibri" w:hAnsi="Calibri"/>
          <w:b/>
          <w:i w:val="0"/>
          <w:color w:val="0F172A"/>
          <w:sz w:val="68"/>
        </w:rPr>
        <w:t>YP-RAKSHA</w:t>
      </w:r>
    </w:p>
    <w:p>
      <w:pPr>
        <w:spacing w:after="160"/>
        <w:jc w:val="center"/>
      </w:pPr>
      <w:r>
        <w:rPr>
          <w:rFonts w:ascii="Calibri" w:hAnsi="Calibri"/>
          <w:b/>
          <w:i w:val="0"/>
          <w:color w:val="059669"/>
          <w:sz w:val="20"/>
        </w:rPr>
        <w:t>RAKSHA — REAL-TIME AI KNOWLEDGE SCREENING &amp; HAZARD AUDIT</w:t>
      </w:r>
    </w:p>
    <w:p>
      <w:pPr>
        <w:spacing w:after="40"/>
        <w:jc w:val="center"/>
      </w:pPr>
      <w:r>
        <w:rPr>
          <w:rFonts w:ascii="Calibri" w:hAnsi="Calibri"/>
          <w:b/>
          <w:i w:val="0"/>
          <w:color w:val="0F172A"/>
          <w:sz w:val="44"/>
        </w:rPr>
        <w:t>Product Datasheet &amp; Technical Document</w:t>
      </w:r>
    </w:p>
    <w:p>
      <w:pPr>
        <w:spacing w:after="200"/>
        <w:jc w:val="center"/>
      </w:pPr>
      <w:r>
        <w:rPr>
          <w:rFonts w:ascii="Calibri" w:hAnsi="Calibri"/>
          <w:b/>
          <w:i w:val="0"/>
          <w:color w:val="64748B"/>
          <w:sz w:val="26"/>
        </w:rPr>
        <w:t>Version 1.5</w:t>
      </w:r>
    </w:p>
    <w:p>
      <w:pPr>
        <w:spacing w:after="400"/>
        <w:jc w:val="center"/>
      </w:pPr>
      <w:r>
        <w:rPr>
          <w:rFonts w:ascii="Calibri" w:hAnsi="Calibri"/>
          <w:b w:val="0"/>
          <w:i/>
          <w:color w:val="334155"/>
          <w:sz w:val="18"/>
        </w:rPr>
        <w:t>Enterprise-grade AI security, continuous prompt inspection, zero-trust data loss prevention (DLP), and centralized usage governance for enterprise artificial intelligence applications.</w:t>
      </w:r>
    </w:p>
    <w:tbl>
      <w:tblPr>
        <w:tblW w:type="auto" w:w="0"/>
        <w:jc w:val="center"/>
        <w:tblLook w:firstColumn="1" w:firstRow="1" w:lastColumn="0" w:lastRow="0" w:noHBand="0" w:noVBand="1" w:val="04A0"/>
      </w:tblPr>
      <w:tblGrid>
        <w:gridCol w:w="5090"/>
        <w:gridCol w:w="5090"/>
      </w:tblGrid>
      <w:tr>
        <w:tc>
          <w:tcPr>
            <w:tcW w:type="dxa" w:w="2880"/>
            <w:shd w:fill="F8FAFC"/>
            <w:tcMar>
              <w:top w:w="50" w:type="dxa"/>
              <w:bottom w:w="50" w:type="dxa"/>
              <w:left w:w="80" w:type="dxa"/>
              <w:right w:w="80" w:type="dxa"/>
            </w:tcMar>
          </w:tcPr>
          <w:p>
            <w:pPr>
              <w:spacing w:after="0"/>
            </w:pPr>
            <w:r>
              <w:rPr>
                <w:rFonts w:ascii="Calibri" w:hAnsi="Calibri"/>
                <w:b/>
                <w:i w:val="0"/>
                <w:color w:val="0F172A"/>
                <w:sz w:val="16"/>
              </w:rPr>
              <w:t>Product Name</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YP-Raksha (YesPanchi Raksha AI Security Platform)</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Expansion Name</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RAKSHA — Real-time AI Knowledge Screening &amp; Hazard Audit</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Document Type</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Enterprise Product Datasheet &amp; Technical Specification Document</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Document Version</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Version 1.5 (Enterprise Baseline Edition)</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Security Classification</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Confidential — Enterprise Internal &amp; Partner Technical Audit</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Target Audience</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Chief Information Security Officers (CISO), Enterprise Architects, SecOps, InfoSec Compliance Auditors</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Publishing Organization</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YesPanchi Group of Companies — Cyber Defense &amp; Enterprise AI Division</w:t>
            </w:r>
          </w:p>
        </w:tc>
      </w:tr>
      <w:tr>
        <w:tc>
          <w:tcPr>
            <w:tcW w:type="dxa" w:w="2880"/>
            <w:shd w:fill="F8FAFC"/>
            <w:tcMar>
              <w:top w:w="50" w:type="dxa"/>
              <w:bottom w:w="50" w:type="dxa"/>
              <w:left w:w="80" w:type="dxa"/>
              <w:right w:w="80" w:type="dxa"/>
            </w:tcMar>
          </w:tcPr>
          <w:p>
            <w:pPr>
              <w:spacing w:after="0"/>
            </w:pPr>
            <w:r>
              <w:rPr>
                <w:rFonts w:ascii="Calibri" w:hAnsi="Calibri"/>
                <w:b/>
                <w:i w:val="0"/>
                <w:color w:val="0F172A"/>
                <w:sz w:val="16"/>
              </w:rPr>
              <w:t>Document Status</w:t>
            </w:r>
          </w:p>
        </w:tc>
        <w:tc>
          <w:tcPr>
            <w:tcW w:type="dxa" w:w="7301"/>
            <w:shd w:fill="FFFFFF"/>
            <w:tcMar>
              <w:top w:w="50" w:type="dxa"/>
              <w:bottom w:w="50" w:type="dxa"/>
              <w:left w:w="80" w:type="dxa"/>
              <w:right w:w="80" w:type="dxa"/>
            </w:tcMar>
          </w:tcPr>
          <w:p>
            <w:pPr>
              <w:spacing w:after="0"/>
            </w:pPr>
            <w:r>
              <w:rPr>
                <w:rFonts w:ascii="Calibri" w:hAnsi="Calibri"/>
                <w:b w:val="0"/>
                <w:i w:val="0"/>
                <w:color w:val="334155"/>
                <w:sz w:val="16"/>
              </w:rPr>
              <w:t>Approved Enterprise Baseline Technical Specification (Incremental Series)</w:t>
            </w:r>
          </w:p>
        </w:tc>
      </w:tr>
    </w:tbl>
    <w:p>
      <w:pPr>
        <w:spacing w:before="400" w:after="0"/>
        <w:jc w:val="center"/>
      </w:pPr>
      <w:r>
        <w:rPr>
          <w:rFonts w:ascii="Calibri" w:hAnsi="Calibri"/>
          <w:b w:val="0"/>
          <w:i/>
          <w:color w:val="64748B"/>
          <w:sz w:val="15"/>
        </w:rPr>
        <w:t>© 2026 YesPanchi Group of Companies. All rights reserved. Proprietary and Confidential.</w:t>
      </w:r>
    </w:p>
    <w:p>
      <w:r>
        <w:br w:type="page"/>
      </w:r>
    </w:p>
    <w:p>
      <w:pPr>
        <w:spacing w:after="40"/>
        <w:jc w:val="center"/>
      </w:pPr>
      <w:r>
        <w:rPr>
          <w:rFonts w:ascii="Calibri" w:hAnsi="Calibri"/>
          <w:b/>
          <w:i w:val="0"/>
          <w:color w:val="0F172A"/>
          <w:sz w:val="36"/>
        </w:rPr>
        <w:t>Table of Contents</w:t>
      </w:r>
    </w:p>
    <w:p>
      <w:pPr>
        <w:spacing w:after="240"/>
        <w:jc w:val="center"/>
      </w:pPr>
      <w:r>
        <w:rPr>
          <w:rFonts w:ascii="Calibri" w:hAnsi="Calibri"/>
          <w:b w:val="0"/>
          <w:i/>
          <w:color w:val="64748B"/>
          <w:sz w:val="18"/>
        </w:rPr>
        <w:t>YP-Raksha v1.5 — Enterprise Product Datasheet Architecture Index</w:t>
      </w:r>
    </w:p>
    <w:tbl>
      <w:tblPr>
        <w:tblW w:type="auto" w:w="0"/>
        <w:jc w:val="center"/>
        <w:tblLook w:firstColumn="1" w:firstRow="1" w:lastColumn="0" w:lastRow="0" w:noHBand="0" w:noVBand="1" w:val="04A0"/>
      </w:tblPr>
      <w:tblGrid>
        <w:gridCol w:w="2545"/>
        <w:gridCol w:w="2545"/>
        <w:gridCol w:w="2545"/>
        <w:gridCol w:w="2545"/>
      </w:tblGrid>
      <w:tr>
        <w:tc>
          <w:tcPr>
            <w:tcW w:type="dxa" w:w="2545"/>
            <w:shd w:fill="0F172A"/>
            <w:tcMar>
              <w:top w:w="60" w:type="dxa"/>
              <w:bottom w:w="60" w:type="dxa"/>
              <w:left w:w="60" w:type="dxa"/>
              <w:right w:w="60" w:type="dxa"/>
            </w:tcMar>
          </w:tcPr>
          <w:p>
            <w:pPr>
              <w:spacing w:after="0"/>
              <w:jc w:val="center"/>
            </w:pPr>
            <w:r>
              <w:rPr>
                <w:rFonts w:ascii="Calibri" w:hAnsi="Calibri"/>
                <w:b/>
                <w:i w:val="0"/>
                <w:color w:val="FFFFFF"/>
                <w:sz w:val="16"/>
              </w:rPr>
              <w:t>Sec</w:t>
            </w:r>
          </w:p>
        </w:tc>
        <w:tc>
          <w:tcPr>
            <w:tcW w:type="dxa" w:w="2545"/>
            <w:shd w:fill="0F172A"/>
            <w:tcMar>
              <w:top w:w="60" w:type="dxa"/>
              <w:bottom w:w="60" w:type="dxa"/>
              <w:left w:w="60" w:type="dxa"/>
              <w:right w:w="60" w:type="dxa"/>
            </w:tcMar>
          </w:tcPr>
          <w:p>
            <w:pPr>
              <w:spacing w:after="0"/>
            </w:pPr>
            <w:r>
              <w:rPr>
                <w:rFonts w:ascii="Calibri" w:hAnsi="Calibri"/>
                <w:b/>
                <w:i w:val="0"/>
                <w:color w:val="FFFFFF"/>
                <w:sz w:val="16"/>
              </w:rPr>
              <w:t>Datasheet Module &amp; Topic Specification</w:t>
            </w:r>
          </w:p>
        </w:tc>
        <w:tc>
          <w:tcPr>
            <w:tcW w:type="dxa" w:w="2545"/>
            <w:shd w:fill="0F172A"/>
            <w:tcMar>
              <w:top w:w="60" w:type="dxa"/>
              <w:bottom w:w="60" w:type="dxa"/>
              <w:left w:w="60" w:type="dxa"/>
              <w:right w:w="60" w:type="dxa"/>
            </w:tcMar>
          </w:tcPr>
          <w:p>
            <w:pPr>
              <w:spacing w:after="0"/>
            </w:pPr>
            <w:r>
              <w:rPr>
                <w:rFonts w:ascii="Calibri" w:hAnsi="Calibri"/>
                <w:b/>
                <w:i w:val="0"/>
                <w:color w:val="FFFFFF"/>
                <w:sz w:val="16"/>
              </w:rPr>
              <w:t>Detailed Subtopics &amp; Scope Description</w:t>
            </w:r>
          </w:p>
        </w:tc>
        <w:tc>
          <w:tcPr>
            <w:tcW w:type="dxa" w:w="2545"/>
            <w:shd w:fill="0F172A"/>
            <w:tcMar>
              <w:top w:w="60" w:type="dxa"/>
              <w:bottom w:w="60" w:type="dxa"/>
              <w:left w:w="60" w:type="dxa"/>
              <w:right w:w="60" w:type="dxa"/>
            </w:tcMar>
          </w:tcPr>
          <w:p>
            <w:pPr>
              <w:spacing w:after="0"/>
              <w:jc w:val="center"/>
            </w:pPr>
            <w:r>
              <w:rPr>
                <w:rFonts w:ascii="Calibri" w:hAnsi="Calibri"/>
                <w:b/>
                <w:i w:val="0"/>
                <w:color w:val="FFFFFF"/>
                <w:sz w:val="16"/>
              </w:rPr>
              <w:t>Status / Page</w:t>
            </w:r>
          </w:p>
        </w:tc>
      </w:tr>
      <w:tr>
        <w:tc>
          <w:tcPr>
            <w:tcW w:type="dxa" w:w="648"/>
            <w:shd w:fill="FFFFFF"/>
            <w:tcMar>
              <w:top w:w="45" w:type="dxa"/>
              <w:bottom w:w="45" w:type="dxa"/>
              <w:left w:w="60" w:type="dxa"/>
              <w:right w:w="60" w:type="dxa"/>
            </w:tcMar>
          </w:tcPr>
          <w:p>
            <w:pPr>
              <w:spacing w:after="0"/>
              <w:jc w:val="center"/>
            </w:pPr>
            <w:r>
              <w:rPr>
                <w:rFonts w:ascii="Calibri" w:hAnsi="Calibri"/>
                <w:b/>
                <w:i w:val="0"/>
                <w:color w:val="0F172A"/>
                <w:sz w:val="15"/>
              </w:rPr>
              <w:t>1.0</w:t>
            </w:r>
          </w:p>
        </w:tc>
        <w:tc>
          <w:tcPr>
            <w:tcW w:type="dxa" w:w="2664"/>
            <w:shd w:fill="FFFFFF"/>
            <w:tcMar>
              <w:top w:w="45" w:type="dxa"/>
              <w:bottom w:w="45" w:type="dxa"/>
              <w:left w:w="60" w:type="dxa"/>
              <w:right w:w="60" w:type="dxa"/>
            </w:tcMar>
          </w:tcPr>
          <w:p>
            <w:pPr>
              <w:spacing w:after="0"/>
            </w:pPr>
            <w:r>
              <w:rPr>
                <w:rFonts w:ascii="Calibri" w:hAnsi="Calibri"/>
                <w:b/>
                <w:i w:val="0"/>
                <w:color w:val="0F172A"/>
                <w:sz w:val="15"/>
              </w:rPr>
              <w:t>Product Overview</w:t>
            </w:r>
          </w:p>
        </w:tc>
        <w:tc>
          <w:tcPr>
            <w:tcW w:type="dxa" w:w="4997"/>
            <w:shd w:fill="FFFFFF"/>
            <w:tcMar>
              <w:top w:w="45" w:type="dxa"/>
              <w:bottom w:w="45" w:type="dxa"/>
              <w:left w:w="60" w:type="dxa"/>
              <w:right w:w="60" w:type="dxa"/>
            </w:tcMar>
          </w:tcPr>
          <w:p>
            <w:pPr>
              <w:spacing w:after="0"/>
            </w:pPr>
            <w:r>
              <w:rPr>
                <w:rFonts w:ascii="Calibri" w:hAnsi="Calibri"/>
                <w:b w:val="0"/>
                <w:i w:val="0"/>
                <w:color w:val="334155"/>
                <w:sz w:val="14"/>
              </w:rPr>
              <w:t>1.1 Intro to Raksha | 1.2 Purpose &amp; Objectives | 1.3 Key Features | 1.4 Use Cases &amp; Benefits | 1.5 Scope &amp; Limitations</w:t>
            </w:r>
          </w:p>
        </w:tc>
        <w:tc>
          <w:tcPr>
            <w:tcW w:type="dxa" w:w="1872"/>
            <w:shd w:fill="FFFFFF"/>
            <w:tcMar>
              <w:top w:w="45" w:type="dxa"/>
              <w:bottom w:w="45" w:type="dxa"/>
              <w:left w:w="60" w:type="dxa"/>
              <w:right w:w="60" w:type="dxa"/>
            </w:tcMar>
          </w:tcPr>
          <w:p>
            <w:pPr>
              <w:spacing w:after="0"/>
              <w:jc w:val="center"/>
            </w:pPr>
            <w:r>
              <w:rPr>
                <w:rFonts w:ascii="Calibri" w:hAnsi="Calibri"/>
                <w:b/>
                <w:i w:val="0"/>
                <w:color w:val="059669"/>
                <w:sz w:val="14"/>
              </w:rPr>
              <w:t>Pages 3 – 5 (Active)</w:t>
            </w:r>
          </w:p>
        </w:tc>
      </w:tr>
      <w:tr>
        <w:tc>
          <w:tcPr>
            <w:tcW w:type="dxa" w:w="648"/>
            <w:shd w:fill="F8FAFC"/>
            <w:tcMar>
              <w:top w:w="45" w:type="dxa"/>
              <w:bottom w:w="45" w:type="dxa"/>
              <w:left w:w="60" w:type="dxa"/>
              <w:right w:w="60" w:type="dxa"/>
            </w:tcMar>
          </w:tcPr>
          <w:p>
            <w:pPr>
              <w:spacing w:after="0"/>
              <w:jc w:val="center"/>
            </w:pPr>
            <w:r>
              <w:rPr>
                <w:rFonts w:ascii="Calibri" w:hAnsi="Calibri"/>
                <w:b/>
                <w:i w:val="0"/>
                <w:color w:val="0F172A"/>
                <w:sz w:val="15"/>
              </w:rPr>
              <w:t>2.0</w:t>
            </w:r>
          </w:p>
        </w:tc>
        <w:tc>
          <w:tcPr>
            <w:tcW w:type="dxa" w:w="2664"/>
            <w:shd w:fill="F8FAFC"/>
            <w:tcMar>
              <w:top w:w="45" w:type="dxa"/>
              <w:bottom w:w="45" w:type="dxa"/>
              <w:left w:w="60" w:type="dxa"/>
              <w:right w:w="60" w:type="dxa"/>
            </w:tcMar>
          </w:tcPr>
          <w:p>
            <w:pPr>
              <w:spacing w:after="0"/>
            </w:pPr>
            <w:r>
              <w:rPr>
                <w:rFonts w:ascii="Calibri" w:hAnsi="Calibri"/>
                <w:b/>
                <w:i w:val="0"/>
                <w:color w:val="0F172A"/>
                <w:sz w:val="15"/>
              </w:rPr>
              <w:t>Key Features</w:t>
            </w:r>
          </w:p>
        </w:tc>
        <w:tc>
          <w:tcPr>
            <w:tcW w:type="dxa" w:w="4997"/>
            <w:shd w:fill="F8FAFC"/>
            <w:tcMar>
              <w:top w:w="45" w:type="dxa"/>
              <w:bottom w:w="45" w:type="dxa"/>
              <w:left w:w="60" w:type="dxa"/>
              <w:right w:w="60" w:type="dxa"/>
            </w:tcMar>
          </w:tcPr>
          <w:p>
            <w:pPr>
              <w:spacing w:after="0"/>
            </w:pPr>
            <w:r>
              <w:rPr>
                <w:rFonts w:ascii="Calibri" w:hAnsi="Calibri"/>
                <w:b w:val="0"/>
                <w:i w:val="0"/>
                <w:color w:val="334155"/>
                <w:sz w:val="14"/>
              </w:rPr>
              <w:t>Comprehensive feature matrices, core capabilities, real-time detection, gateway controls &amp; administrative oversight</w:t>
            </w:r>
          </w:p>
        </w:tc>
        <w:tc>
          <w:tcPr>
            <w:tcW w:type="dxa" w:w="1872"/>
            <w:shd w:fill="F8FAFC"/>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FFFFF"/>
            <w:tcMar>
              <w:top w:w="45" w:type="dxa"/>
              <w:bottom w:w="45" w:type="dxa"/>
              <w:left w:w="60" w:type="dxa"/>
              <w:right w:w="60" w:type="dxa"/>
            </w:tcMar>
          </w:tcPr>
          <w:p>
            <w:pPr>
              <w:spacing w:after="0"/>
              <w:jc w:val="center"/>
            </w:pPr>
            <w:r>
              <w:rPr>
                <w:rFonts w:ascii="Calibri" w:hAnsi="Calibri"/>
                <w:b/>
                <w:i w:val="0"/>
                <w:color w:val="0F172A"/>
                <w:sz w:val="15"/>
              </w:rPr>
              <w:t>3.0</w:t>
            </w:r>
          </w:p>
        </w:tc>
        <w:tc>
          <w:tcPr>
            <w:tcW w:type="dxa" w:w="2664"/>
            <w:shd w:fill="FFFFFF"/>
            <w:tcMar>
              <w:top w:w="45" w:type="dxa"/>
              <w:bottom w:w="45" w:type="dxa"/>
              <w:left w:w="60" w:type="dxa"/>
              <w:right w:w="60" w:type="dxa"/>
            </w:tcMar>
          </w:tcPr>
          <w:p>
            <w:pPr>
              <w:spacing w:after="0"/>
            </w:pPr>
            <w:r>
              <w:rPr>
                <w:rFonts w:ascii="Calibri" w:hAnsi="Calibri"/>
                <w:b/>
                <w:i w:val="0"/>
                <w:color w:val="0F172A"/>
                <w:sz w:val="15"/>
              </w:rPr>
              <w:t>Product Architecture</w:t>
            </w:r>
          </w:p>
        </w:tc>
        <w:tc>
          <w:tcPr>
            <w:tcW w:type="dxa" w:w="4997"/>
            <w:shd w:fill="FFFFFF"/>
            <w:tcMar>
              <w:top w:w="45" w:type="dxa"/>
              <w:bottom w:w="45" w:type="dxa"/>
              <w:left w:w="60" w:type="dxa"/>
              <w:right w:w="60" w:type="dxa"/>
            </w:tcMar>
          </w:tcPr>
          <w:p>
            <w:pPr>
              <w:spacing w:after="0"/>
            </w:pPr>
            <w:r>
              <w:rPr>
                <w:rFonts w:ascii="Calibri" w:hAnsi="Calibri"/>
                <w:b w:val="0"/>
                <w:i w:val="0"/>
                <w:color w:val="334155"/>
                <w:sz w:val="14"/>
              </w:rPr>
              <w:t>Dual data planes, endpoint proxy interception, gateway fabric, cryptographic boundaries &amp; storage tiers</w:t>
            </w:r>
          </w:p>
        </w:tc>
        <w:tc>
          <w:tcPr>
            <w:tcW w:type="dxa" w:w="1872"/>
            <w:shd w:fill="FFFFFF"/>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8FAFC"/>
            <w:tcMar>
              <w:top w:w="45" w:type="dxa"/>
              <w:bottom w:w="45" w:type="dxa"/>
              <w:left w:w="60" w:type="dxa"/>
              <w:right w:w="60" w:type="dxa"/>
            </w:tcMar>
          </w:tcPr>
          <w:p>
            <w:pPr>
              <w:spacing w:after="0"/>
              <w:jc w:val="center"/>
            </w:pPr>
            <w:r>
              <w:rPr>
                <w:rFonts w:ascii="Calibri" w:hAnsi="Calibri"/>
                <w:b/>
                <w:i w:val="0"/>
                <w:color w:val="0F172A"/>
                <w:sz w:val="15"/>
              </w:rPr>
              <w:t>4.0</w:t>
            </w:r>
          </w:p>
        </w:tc>
        <w:tc>
          <w:tcPr>
            <w:tcW w:type="dxa" w:w="2664"/>
            <w:shd w:fill="F8FAFC"/>
            <w:tcMar>
              <w:top w:w="45" w:type="dxa"/>
              <w:bottom w:w="45" w:type="dxa"/>
              <w:left w:w="60" w:type="dxa"/>
              <w:right w:w="60" w:type="dxa"/>
            </w:tcMar>
          </w:tcPr>
          <w:p>
            <w:pPr>
              <w:spacing w:after="0"/>
            </w:pPr>
            <w:r>
              <w:rPr>
                <w:rFonts w:ascii="Calibri" w:hAnsi="Calibri"/>
                <w:b/>
                <w:i w:val="0"/>
                <w:color w:val="0F172A"/>
                <w:sz w:val="15"/>
              </w:rPr>
              <w:t>Functional Specifications</w:t>
            </w:r>
          </w:p>
        </w:tc>
        <w:tc>
          <w:tcPr>
            <w:tcW w:type="dxa" w:w="4997"/>
            <w:shd w:fill="F8FAFC"/>
            <w:tcMar>
              <w:top w:w="45" w:type="dxa"/>
              <w:bottom w:w="45" w:type="dxa"/>
              <w:left w:w="60" w:type="dxa"/>
              <w:right w:w="60" w:type="dxa"/>
            </w:tcMar>
          </w:tcPr>
          <w:p>
            <w:pPr>
              <w:spacing w:after="0"/>
            </w:pPr>
            <w:r>
              <w:rPr>
                <w:rFonts w:ascii="Calibri" w:hAnsi="Calibri"/>
                <w:b w:val="0"/>
                <w:i w:val="0"/>
                <w:color w:val="334155"/>
                <w:sz w:val="14"/>
              </w:rPr>
              <w:t>Inline packet interception, payload token scanning, regex/CEL rule execution &amp; latency overhead benchmarks</w:t>
            </w:r>
          </w:p>
        </w:tc>
        <w:tc>
          <w:tcPr>
            <w:tcW w:type="dxa" w:w="1872"/>
            <w:shd w:fill="F8FAFC"/>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FFFFF"/>
            <w:tcMar>
              <w:top w:w="45" w:type="dxa"/>
              <w:bottom w:w="45" w:type="dxa"/>
              <w:left w:w="60" w:type="dxa"/>
              <w:right w:w="60" w:type="dxa"/>
            </w:tcMar>
          </w:tcPr>
          <w:p>
            <w:pPr>
              <w:spacing w:after="0"/>
              <w:jc w:val="center"/>
            </w:pPr>
            <w:r>
              <w:rPr>
                <w:rFonts w:ascii="Calibri" w:hAnsi="Calibri"/>
                <w:b/>
                <w:i w:val="0"/>
                <w:color w:val="0F172A"/>
                <w:sz w:val="15"/>
              </w:rPr>
              <w:t>5.0</w:t>
            </w:r>
          </w:p>
        </w:tc>
        <w:tc>
          <w:tcPr>
            <w:tcW w:type="dxa" w:w="2664"/>
            <w:shd w:fill="FFFFFF"/>
            <w:tcMar>
              <w:top w:w="45" w:type="dxa"/>
              <w:bottom w:w="45" w:type="dxa"/>
              <w:left w:w="60" w:type="dxa"/>
              <w:right w:w="60" w:type="dxa"/>
            </w:tcMar>
          </w:tcPr>
          <w:p>
            <w:pPr>
              <w:spacing w:after="0"/>
            </w:pPr>
            <w:r>
              <w:rPr>
                <w:rFonts w:ascii="Calibri" w:hAnsi="Calibri"/>
                <w:b/>
                <w:i w:val="0"/>
                <w:color w:val="0F172A"/>
                <w:sz w:val="15"/>
              </w:rPr>
              <w:t>Security and DLP Features</w:t>
            </w:r>
          </w:p>
        </w:tc>
        <w:tc>
          <w:tcPr>
            <w:tcW w:type="dxa" w:w="4997"/>
            <w:shd w:fill="FFFFFF"/>
            <w:tcMar>
              <w:top w:w="45" w:type="dxa"/>
              <w:bottom w:w="45" w:type="dxa"/>
              <w:left w:w="60" w:type="dxa"/>
              <w:right w:w="60" w:type="dxa"/>
            </w:tcMar>
          </w:tcPr>
          <w:p>
            <w:pPr>
              <w:spacing w:after="0"/>
            </w:pPr>
            <w:r>
              <w:rPr>
                <w:rFonts w:ascii="Calibri" w:hAnsi="Calibri"/>
                <w:b w:val="0"/>
                <w:i w:val="0"/>
                <w:color w:val="334155"/>
                <w:sz w:val="14"/>
              </w:rPr>
              <w:t>Inline PII/PCI masking, secondary AI guard bot, prompt injection/jailbreak defense &amp; audit logging</w:t>
            </w:r>
          </w:p>
        </w:tc>
        <w:tc>
          <w:tcPr>
            <w:tcW w:type="dxa" w:w="1872"/>
            <w:shd w:fill="FFFFFF"/>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8FAFC"/>
            <w:tcMar>
              <w:top w:w="45" w:type="dxa"/>
              <w:bottom w:w="45" w:type="dxa"/>
              <w:left w:w="60" w:type="dxa"/>
              <w:right w:w="60" w:type="dxa"/>
            </w:tcMar>
          </w:tcPr>
          <w:p>
            <w:pPr>
              <w:spacing w:after="0"/>
              <w:jc w:val="center"/>
            </w:pPr>
            <w:r>
              <w:rPr>
                <w:rFonts w:ascii="Calibri" w:hAnsi="Calibri"/>
                <w:b/>
                <w:i w:val="0"/>
                <w:color w:val="0F172A"/>
                <w:sz w:val="15"/>
              </w:rPr>
              <w:t>6.0</w:t>
            </w:r>
          </w:p>
        </w:tc>
        <w:tc>
          <w:tcPr>
            <w:tcW w:type="dxa" w:w="2664"/>
            <w:shd w:fill="F8FAFC"/>
            <w:tcMar>
              <w:top w:w="45" w:type="dxa"/>
              <w:bottom w:w="45" w:type="dxa"/>
              <w:left w:w="60" w:type="dxa"/>
              <w:right w:w="60" w:type="dxa"/>
            </w:tcMar>
          </w:tcPr>
          <w:p>
            <w:pPr>
              <w:spacing w:after="0"/>
            </w:pPr>
            <w:r>
              <w:rPr>
                <w:rFonts w:ascii="Calibri" w:hAnsi="Calibri"/>
                <w:b/>
                <w:i w:val="0"/>
                <w:color w:val="0F172A"/>
                <w:sz w:val="15"/>
              </w:rPr>
              <w:t>System Requirements</w:t>
            </w:r>
          </w:p>
        </w:tc>
        <w:tc>
          <w:tcPr>
            <w:tcW w:type="dxa" w:w="4997"/>
            <w:shd w:fill="F8FAFC"/>
            <w:tcMar>
              <w:top w:w="45" w:type="dxa"/>
              <w:bottom w:w="45" w:type="dxa"/>
              <w:left w:w="60" w:type="dxa"/>
              <w:right w:w="60" w:type="dxa"/>
            </w:tcMar>
          </w:tcPr>
          <w:p>
            <w:pPr>
              <w:spacing w:after="0"/>
            </w:pPr>
            <w:r>
              <w:rPr>
                <w:rFonts w:ascii="Calibri" w:hAnsi="Calibri"/>
                <w:b w:val="0"/>
                <w:i w:val="0"/>
                <w:color w:val="334155"/>
                <w:sz w:val="14"/>
              </w:rPr>
              <w:t>Server hardware specs, RAM/vCPU sizing, disk I/O, OS prerequisites &amp; network throughput requirements</w:t>
            </w:r>
          </w:p>
        </w:tc>
        <w:tc>
          <w:tcPr>
            <w:tcW w:type="dxa" w:w="1872"/>
            <w:shd w:fill="F8FAFC"/>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FFFFF"/>
            <w:tcMar>
              <w:top w:w="45" w:type="dxa"/>
              <w:bottom w:w="45" w:type="dxa"/>
              <w:left w:w="60" w:type="dxa"/>
              <w:right w:w="60" w:type="dxa"/>
            </w:tcMar>
          </w:tcPr>
          <w:p>
            <w:pPr>
              <w:spacing w:after="0"/>
              <w:jc w:val="center"/>
            </w:pPr>
            <w:r>
              <w:rPr>
                <w:rFonts w:ascii="Calibri" w:hAnsi="Calibri"/>
                <w:b/>
                <w:i w:val="0"/>
                <w:color w:val="0F172A"/>
                <w:sz w:val="15"/>
              </w:rPr>
              <w:t>7.0</w:t>
            </w:r>
          </w:p>
        </w:tc>
        <w:tc>
          <w:tcPr>
            <w:tcW w:type="dxa" w:w="2664"/>
            <w:shd w:fill="FFFFFF"/>
            <w:tcMar>
              <w:top w:w="45" w:type="dxa"/>
              <w:bottom w:w="45" w:type="dxa"/>
              <w:left w:w="60" w:type="dxa"/>
              <w:right w:w="60" w:type="dxa"/>
            </w:tcMar>
          </w:tcPr>
          <w:p>
            <w:pPr>
              <w:spacing w:after="0"/>
            </w:pPr>
            <w:r>
              <w:rPr>
                <w:rFonts w:ascii="Calibri" w:hAnsi="Calibri"/>
                <w:b/>
                <w:i w:val="0"/>
                <w:color w:val="0F172A"/>
                <w:sz w:val="15"/>
              </w:rPr>
              <w:t>Supported Platforms</w:t>
            </w:r>
          </w:p>
        </w:tc>
        <w:tc>
          <w:tcPr>
            <w:tcW w:type="dxa" w:w="4997"/>
            <w:shd w:fill="FFFFFF"/>
            <w:tcMar>
              <w:top w:w="45" w:type="dxa"/>
              <w:bottom w:w="45" w:type="dxa"/>
              <w:left w:w="60" w:type="dxa"/>
              <w:right w:w="60" w:type="dxa"/>
            </w:tcMar>
          </w:tcPr>
          <w:p>
            <w:pPr>
              <w:spacing w:after="0"/>
            </w:pPr>
            <w:r>
              <w:rPr>
                <w:rFonts w:ascii="Calibri" w:hAnsi="Calibri"/>
                <w:b w:val="0"/>
                <w:i w:val="0"/>
                <w:color w:val="334155"/>
                <w:sz w:val="14"/>
              </w:rPr>
              <w:t>Supported endpoint OS (Windows, macOS, Linux), browser extensions (Chrome, Edge) &amp; 28+ AI model providers</w:t>
            </w:r>
          </w:p>
        </w:tc>
        <w:tc>
          <w:tcPr>
            <w:tcW w:type="dxa" w:w="1872"/>
            <w:shd w:fill="FFFFFF"/>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8FAFC"/>
            <w:tcMar>
              <w:top w:w="45" w:type="dxa"/>
              <w:bottom w:w="45" w:type="dxa"/>
              <w:left w:w="60" w:type="dxa"/>
              <w:right w:w="60" w:type="dxa"/>
            </w:tcMar>
          </w:tcPr>
          <w:p>
            <w:pPr>
              <w:spacing w:after="0"/>
              <w:jc w:val="center"/>
            </w:pPr>
            <w:r>
              <w:rPr>
                <w:rFonts w:ascii="Calibri" w:hAnsi="Calibri"/>
                <w:b/>
                <w:i w:val="0"/>
                <w:color w:val="0F172A"/>
                <w:sz w:val="15"/>
              </w:rPr>
              <w:t>8.0</w:t>
            </w:r>
          </w:p>
        </w:tc>
        <w:tc>
          <w:tcPr>
            <w:tcW w:type="dxa" w:w="2664"/>
            <w:shd w:fill="F8FAFC"/>
            <w:tcMar>
              <w:top w:w="45" w:type="dxa"/>
              <w:bottom w:w="45" w:type="dxa"/>
              <w:left w:w="60" w:type="dxa"/>
              <w:right w:w="60" w:type="dxa"/>
            </w:tcMar>
          </w:tcPr>
          <w:p>
            <w:pPr>
              <w:spacing w:after="0"/>
            </w:pPr>
            <w:r>
              <w:rPr>
                <w:rFonts w:ascii="Calibri" w:hAnsi="Calibri"/>
                <w:b/>
                <w:i w:val="0"/>
                <w:color w:val="0F172A"/>
                <w:sz w:val="15"/>
              </w:rPr>
              <w:t>Deployment Options</w:t>
            </w:r>
          </w:p>
        </w:tc>
        <w:tc>
          <w:tcPr>
            <w:tcW w:type="dxa" w:w="4997"/>
            <w:shd w:fill="F8FAFC"/>
            <w:tcMar>
              <w:top w:w="45" w:type="dxa"/>
              <w:bottom w:w="45" w:type="dxa"/>
              <w:left w:w="60" w:type="dxa"/>
              <w:right w:w="60" w:type="dxa"/>
            </w:tcMar>
          </w:tcPr>
          <w:p>
            <w:pPr>
              <w:spacing w:after="0"/>
            </w:pPr>
            <w:r>
              <w:rPr>
                <w:rFonts w:ascii="Calibri" w:hAnsi="Calibri"/>
                <w:b w:val="0"/>
                <w:i w:val="0"/>
                <w:color w:val="334155"/>
                <w:sz w:val="14"/>
              </w:rPr>
              <w:t>On-premises air-gapped installation, containerized Docker/K8s, cloud VPC &amp; enterprise hybrid fleet topologies</w:t>
            </w:r>
          </w:p>
        </w:tc>
        <w:tc>
          <w:tcPr>
            <w:tcW w:type="dxa" w:w="1872"/>
            <w:shd w:fill="F8FAFC"/>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FFFFF"/>
            <w:tcMar>
              <w:top w:w="45" w:type="dxa"/>
              <w:bottom w:w="45" w:type="dxa"/>
              <w:left w:w="60" w:type="dxa"/>
              <w:right w:w="60" w:type="dxa"/>
            </w:tcMar>
          </w:tcPr>
          <w:p>
            <w:pPr>
              <w:spacing w:after="0"/>
              <w:jc w:val="center"/>
            </w:pPr>
            <w:r>
              <w:rPr>
                <w:rFonts w:ascii="Calibri" w:hAnsi="Calibri"/>
                <w:b/>
                <w:i w:val="0"/>
                <w:color w:val="0F172A"/>
                <w:sz w:val="15"/>
              </w:rPr>
              <w:t>9.0</w:t>
            </w:r>
          </w:p>
        </w:tc>
        <w:tc>
          <w:tcPr>
            <w:tcW w:type="dxa" w:w="2664"/>
            <w:shd w:fill="FFFFFF"/>
            <w:tcMar>
              <w:top w:w="45" w:type="dxa"/>
              <w:bottom w:w="45" w:type="dxa"/>
              <w:left w:w="60" w:type="dxa"/>
              <w:right w:w="60" w:type="dxa"/>
            </w:tcMar>
          </w:tcPr>
          <w:p>
            <w:pPr>
              <w:spacing w:after="0"/>
            </w:pPr>
            <w:r>
              <w:rPr>
                <w:rFonts w:ascii="Calibri" w:hAnsi="Calibri"/>
                <w:b/>
                <w:i w:val="0"/>
                <w:color w:val="0F172A"/>
                <w:sz w:val="15"/>
              </w:rPr>
              <w:t>Performance and Scalability</w:t>
            </w:r>
          </w:p>
        </w:tc>
        <w:tc>
          <w:tcPr>
            <w:tcW w:type="dxa" w:w="4997"/>
            <w:shd w:fill="FFFFFF"/>
            <w:tcMar>
              <w:top w:w="45" w:type="dxa"/>
              <w:bottom w:w="45" w:type="dxa"/>
              <w:left w:w="60" w:type="dxa"/>
              <w:right w:w="60" w:type="dxa"/>
            </w:tcMar>
          </w:tcPr>
          <w:p>
            <w:pPr>
              <w:spacing w:after="0"/>
            </w:pPr>
            <w:r>
              <w:rPr>
                <w:rFonts w:ascii="Calibri" w:hAnsi="Calibri"/>
                <w:b w:val="0"/>
                <w:i w:val="0"/>
                <w:color w:val="334155"/>
                <w:sz w:val="14"/>
              </w:rPr>
              <w:t>Throughput benchmarks, sub-millisecond rule evaluation, horizontal auto-scaling &amp; cluster high-availability</w:t>
            </w:r>
          </w:p>
        </w:tc>
        <w:tc>
          <w:tcPr>
            <w:tcW w:type="dxa" w:w="1872"/>
            <w:shd w:fill="FFFFFF"/>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8FAFC"/>
            <w:tcMar>
              <w:top w:w="45" w:type="dxa"/>
              <w:bottom w:w="45" w:type="dxa"/>
              <w:left w:w="60" w:type="dxa"/>
              <w:right w:w="60" w:type="dxa"/>
            </w:tcMar>
          </w:tcPr>
          <w:p>
            <w:pPr>
              <w:spacing w:after="0"/>
              <w:jc w:val="center"/>
            </w:pPr>
            <w:r>
              <w:rPr>
                <w:rFonts w:ascii="Calibri" w:hAnsi="Calibri"/>
                <w:b/>
                <w:i w:val="0"/>
                <w:color w:val="0F172A"/>
                <w:sz w:val="15"/>
              </w:rPr>
              <w:t>10.0</w:t>
            </w:r>
          </w:p>
        </w:tc>
        <w:tc>
          <w:tcPr>
            <w:tcW w:type="dxa" w:w="2664"/>
            <w:shd w:fill="F8FAFC"/>
            <w:tcMar>
              <w:top w:w="45" w:type="dxa"/>
              <w:bottom w:w="45" w:type="dxa"/>
              <w:left w:w="60" w:type="dxa"/>
              <w:right w:w="60" w:type="dxa"/>
            </w:tcMar>
          </w:tcPr>
          <w:p>
            <w:pPr>
              <w:spacing w:after="0"/>
            </w:pPr>
            <w:r>
              <w:rPr>
                <w:rFonts w:ascii="Calibri" w:hAnsi="Calibri"/>
                <w:b/>
                <w:i w:val="0"/>
                <w:color w:val="0F172A"/>
                <w:sz w:val="15"/>
              </w:rPr>
              <w:t>Data Privacy and Residency</w:t>
            </w:r>
          </w:p>
        </w:tc>
        <w:tc>
          <w:tcPr>
            <w:tcW w:type="dxa" w:w="4997"/>
            <w:shd w:fill="F8FAFC"/>
            <w:tcMar>
              <w:top w:w="45" w:type="dxa"/>
              <w:bottom w:w="45" w:type="dxa"/>
              <w:left w:w="60" w:type="dxa"/>
              <w:right w:w="60" w:type="dxa"/>
            </w:tcMar>
          </w:tcPr>
          <w:p>
            <w:pPr>
              <w:spacing w:after="0"/>
            </w:pPr>
            <w:r>
              <w:rPr>
                <w:rFonts w:ascii="Calibri" w:hAnsi="Calibri"/>
                <w:b w:val="0"/>
                <w:i w:val="0"/>
                <w:color w:val="334155"/>
                <w:sz w:val="14"/>
              </w:rPr>
              <w:t>Zero-cloud telemetry retention, strict on-premises data isolation, in-country data residency &amp; DPDP compliance</w:t>
            </w:r>
          </w:p>
        </w:tc>
        <w:tc>
          <w:tcPr>
            <w:tcW w:type="dxa" w:w="1872"/>
            <w:shd w:fill="F8FAFC"/>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FFFFF"/>
            <w:tcMar>
              <w:top w:w="45" w:type="dxa"/>
              <w:bottom w:w="45" w:type="dxa"/>
              <w:left w:w="60" w:type="dxa"/>
              <w:right w:w="60" w:type="dxa"/>
            </w:tcMar>
          </w:tcPr>
          <w:p>
            <w:pPr>
              <w:spacing w:after="0"/>
              <w:jc w:val="center"/>
            </w:pPr>
            <w:r>
              <w:rPr>
                <w:rFonts w:ascii="Calibri" w:hAnsi="Calibri"/>
                <w:b/>
                <w:i w:val="0"/>
                <w:color w:val="0F172A"/>
                <w:sz w:val="15"/>
              </w:rPr>
              <w:t>11.0</w:t>
            </w:r>
          </w:p>
        </w:tc>
        <w:tc>
          <w:tcPr>
            <w:tcW w:type="dxa" w:w="2664"/>
            <w:shd w:fill="FFFFFF"/>
            <w:tcMar>
              <w:top w:w="45" w:type="dxa"/>
              <w:bottom w:w="45" w:type="dxa"/>
              <w:left w:w="60" w:type="dxa"/>
              <w:right w:w="60" w:type="dxa"/>
            </w:tcMar>
          </w:tcPr>
          <w:p>
            <w:pPr>
              <w:spacing w:after="0"/>
            </w:pPr>
            <w:r>
              <w:rPr>
                <w:rFonts w:ascii="Calibri" w:hAnsi="Calibri"/>
                <w:b/>
                <w:i w:val="0"/>
                <w:color w:val="0F172A"/>
                <w:sz w:val="15"/>
              </w:rPr>
              <w:t>Integration and Compatibility</w:t>
            </w:r>
          </w:p>
        </w:tc>
        <w:tc>
          <w:tcPr>
            <w:tcW w:type="dxa" w:w="4997"/>
            <w:shd w:fill="FFFFFF"/>
            <w:tcMar>
              <w:top w:w="45" w:type="dxa"/>
              <w:bottom w:w="45" w:type="dxa"/>
              <w:left w:w="60" w:type="dxa"/>
              <w:right w:w="60" w:type="dxa"/>
            </w:tcMar>
          </w:tcPr>
          <w:p>
            <w:pPr>
              <w:spacing w:after="0"/>
            </w:pPr>
            <w:r>
              <w:rPr>
                <w:rFonts w:ascii="Calibri" w:hAnsi="Calibri"/>
                <w:b w:val="0"/>
                <w:i w:val="0"/>
                <w:color w:val="334155"/>
                <w:sz w:val="14"/>
              </w:rPr>
              <w:t>SIEM/SOAR syslog forwarders, Prometheus/OTel metrics, Active Directory / LDAP &amp; Okta/Entra SCIM sync</w:t>
            </w:r>
          </w:p>
        </w:tc>
        <w:tc>
          <w:tcPr>
            <w:tcW w:type="dxa" w:w="1872"/>
            <w:shd w:fill="FFFFFF"/>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r>
        <w:tc>
          <w:tcPr>
            <w:tcW w:type="dxa" w:w="648"/>
            <w:shd w:fill="F8FAFC"/>
            <w:tcMar>
              <w:top w:w="45" w:type="dxa"/>
              <w:bottom w:w="45" w:type="dxa"/>
              <w:left w:w="60" w:type="dxa"/>
              <w:right w:w="60" w:type="dxa"/>
            </w:tcMar>
          </w:tcPr>
          <w:p>
            <w:pPr>
              <w:spacing w:after="0"/>
              <w:jc w:val="center"/>
            </w:pPr>
            <w:r>
              <w:rPr>
                <w:rFonts w:ascii="Calibri" w:hAnsi="Calibri"/>
                <w:b/>
                <w:i w:val="0"/>
                <w:color w:val="0F172A"/>
                <w:sz w:val="15"/>
              </w:rPr>
              <w:t>12.0</w:t>
            </w:r>
          </w:p>
        </w:tc>
        <w:tc>
          <w:tcPr>
            <w:tcW w:type="dxa" w:w="2664"/>
            <w:shd w:fill="F8FAFC"/>
            <w:tcMar>
              <w:top w:w="45" w:type="dxa"/>
              <w:bottom w:w="45" w:type="dxa"/>
              <w:left w:w="60" w:type="dxa"/>
              <w:right w:w="60" w:type="dxa"/>
            </w:tcMar>
          </w:tcPr>
          <w:p>
            <w:pPr>
              <w:spacing w:after="0"/>
            </w:pPr>
            <w:r>
              <w:rPr>
                <w:rFonts w:ascii="Calibri" w:hAnsi="Calibri"/>
                <w:b/>
                <w:i w:val="0"/>
                <w:color w:val="0F172A"/>
                <w:sz w:val="15"/>
              </w:rPr>
              <w:t>Licensing and Support</w:t>
            </w:r>
          </w:p>
        </w:tc>
        <w:tc>
          <w:tcPr>
            <w:tcW w:type="dxa" w:w="4997"/>
            <w:shd w:fill="F8FAFC"/>
            <w:tcMar>
              <w:top w:w="45" w:type="dxa"/>
              <w:bottom w:w="45" w:type="dxa"/>
              <w:left w:w="60" w:type="dxa"/>
              <w:right w:w="60" w:type="dxa"/>
            </w:tcMar>
          </w:tcPr>
          <w:p>
            <w:pPr>
              <w:spacing w:after="0"/>
            </w:pPr>
            <w:r>
              <w:rPr>
                <w:rFonts w:ascii="Calibri" w:hAnsi="Calibri"/>
                <w:b w:val="0"/>
                <w:i w:val="0"/>
                <w:color w:val="334155"/>
                <w:sz w:val="14"/>
              </w:rPr>
              <w:t>Enterprise license tiers, node-based / throughput licensing, SLA commitments, warranty &amp; support channels</w:t>
            </w:r>
          </w:p>
        </w:tc>
        <w:tc>
          <w:tcPr>
            <w:tcW w:type="dxa" w:w="1872"/>
            <w:shd w:fill="F8FAFC"/>
            <w:tcMar>
              <w:top w:w="45" w:type="dxa"/>
              <w:bottom w:w="45" w:type="dxa"/>
              <w:left w:w="60" w:type="dxa"/>
              <w:right w:w="60" w:type="dxa"/>
            </w:tcMar>
          </w:tcPr>
          <w:p>
            <w:pPr>
              <w:spacing w:after="0"/>
              <w:jc w:val="center"/>
            </w:pPr>
            <w:r>
              <w:rPr>
                <w:rFonts w:ascii="Calibri" w:hAnsi="Calibri"/>
                <w:b w:val="0"/>
                <w:i/>
                <w:color w:val="64748B"/>
                <w:sz w:val="14"/>
              </w:rPr>
              <w:t>Specification Roadmap</w:t>
            </w:r>
          </w:p>
        </w:tc>
      </w:tr>
    </w:tbl>
    <w:p>
      <w:pPr>
        <w:spacing w:before="200" w:after="0"/>
      </w:pPr>
      <w:r>
        <w:rPr>
          <w:rFonts w:ascii="Calibri" w:hAnsi="Calibri"/>
          <w:b/>
          <w:i w:val="0"/>
          <w:color w:val="0F766E"/>
          <w:sz w:val="15"/>
        </w:rPr>
        <w:t xml:space="preserve">Datasheet Modular Compilation Architecture: </w:t>
      </w:r>
      <w:r>
        <w:rPr>
          <w:rFonts w:ascii="Calibri" w:hAnsi="Calibri"/>
          <w:b w:val="0"/>
          <w:i/>
          <w:color w:val="334155"/>
          <w:sz w:val="15"/>
        </w:rPr>
        <w:t>This technical specification is designed for continuous, progressive compilation. Section 1.0 (Product Overview) is fully detailed in this Version 1.5 baseline release. Sections 2.0 through 12.0 will be systematically incorporated as their granular specifications and architectural modules are provided.</w:t>
      </w:r>
    </w:p>
    <w:p>
      <w:r>
        <w:br w:type="page"/>
      </w:r>
    </w:p>
    <w:p>
      <w:pPr>
        <w:spacing w:after="80"/>
      </w:pPr>
      <w:r>
        <w:rPr>
          <w:rFonts w:ascii="Calibri" w:hAnsi="Calibri"/>
          <w:b/>
          <w:i w:val="0"/>
          <w:color w:val="0F172A"/>
          <w:sz w:val="32"/>
        </w:rPr>
        <w:t>1. Product Overview</w:t>
      </w:r>
    </w:p>
    <w:p>
      <w:pPr>
        <w:spacing w:before="120" w:after="40"/>
      </w:pPr>
      <w:r>
        <w:rPr>
          <w:rFonts w:ascii="Calibri" w:hAnsi="Calibri"/>
          <w:b/>
          <w:i w:val="0"/>
          <w:color w:val="0F766E"/>
          <w:sz w:val="22"/>
        </w:rPr>
        <w:t>1.1 Introduction to Raksha AI Security</w:t>
      </w:r>
    </w:p>
    <w:p>
      <w:pPr>
        <w:spacing w:after="80" w:line="276" w:lineRule="auto"/>
      </w:pPr>
      <w:r>
        <w:rPr>
          <w:rFonts w:ascii="Calibri" w:hAnsi="Calibri"/>
          <w:b w:val="0"/>
          <w:i w:val="0"/>
          <w:color w:val="334155"/>
          <w:sz w:val="17"/>
        </w:rPr>
        <w:t>Raksha AI Security is an enterprise-grade AI security and governance solution developed by YesPanchi to help organizations monitor, control, and secure the use of Artificial Intelligence (AI) applications and services.</w:t>
      </w:r>
    </w:p>
    <w:p>
      <w:pPr>
        <w:spacing w:after="80" w:line="276" w:lineRule="auto"/>
      </w:pPr>
      <w:r>
        <w:rPr>
          <w:rFonts w:ascii="Calibri" w:hAnsi="Calibri"/>
          <w:b w:val="0"/>
          <w:i w:val="0"/>
          <w:color w:val="334155"/>
          <w:sz w:val="17"/>
        </w:rPr>
        <w:t>As organizations increasingly adopt AI tools such as ChatGPT, Claude, Gemini, DeepSeek, and other AI-powered platforms, protecting sensitive business information becomes essential. Employees may unintentionally submit confidential data, customer information, internal documents, or other sensitive content to AI applications.</w:t>
      </w:r>
    </w:p>
    <w:p>
      <w:pPr>
        <w:spacing w:after="80" w:line="276" w:lineRule="auto"/>
      </w:pPr>
      <w:r>
        <w:rPr>
          <w:rFonts w:ascii="Calibri" w:hAnsi="Calibri"/>
          <w:b w:val="0"/>
          <w:i w:val="0"/>
          <w:color w:val="334155"/>
          <w:sz w:val="17"/>
        </w:rPr>
        <w:t>Raksha AI Security helps address these risks by providing centralized monitoring, security policy enforcement, data loss prevention (DLP), and AI usage governance. It enables organizations to establish security controls over AI interactions while maintaining visibility into how AI applications are used across the enterprise.</w:t>
      </w:r>
    </w:p>
    <w:p>
      <w:pPr>
        <w:spacing w:after="80" w:line="276" w:lineRule="auto"/>
      </w:pPr>
      <w:r>
        <w:rPr>
          <w:rFonts w:ascii="Calibri" w:hAnsi="Calibri"/>
          <w:b w:val="0"/>
          <w:i w:val="0"/>
          <w:color w:val="334155"/>
          <w:sz w:val="17"/>
        </w:rPr>
        <w:t>The solution is designed to support enterprise security requirements, including controlled AI access, sensitive-data protection, risk monitoring, and administrative oversight. It can be deployed according to an organization's infrastructure and security requirements, including on-premises deployment where supported and configured.</w:t>
      </w:r>
    </w:p>
    <w:p>
      <w:pPr>
        <w:spacing w:before="120" w:after="40"/>
      </w:pPr>
      <w:r>
        <w:rPr>
          <w:rFonts w:ascii="Calibri" w:hAnsi="Calibri"/>
          <w:b/>
          <w:i w:val="0"/>
          <w:color w:val="0F766E"/>
          <w:sz w:val="22"/>
        </w:rPr>
        <w:t>1.2 Product Purpose and Objectives</w:t>
      </w:r>
    </w:p>
    <w:p>
      <w:pPr>
        <w:spacing w:after="80"/>
      </w:pPr>
      <w:r>
        <w:rPr>
          <w:rFonts w:ascii="Calibri" w:hAnsi="Calibri"/>
          <w:b w:val="0"/>
          <w:i w:val="0"/>
          <w:color w:val="334155"/>
          <w:sz w:val="17"/>
        </w:rPr>
        <w:t>The primary purpose of Raksha AI Security is to enable organizations to use AI technologies securely while reducing the risk of confidential information exposure, unauthorized AI usage, and policy violations.</w:t>
      </w:r>
    </w:p>
    <w:p>
      <w:pPr>
        <w:spacing w:after="60"/>
      </w:pPr>
      <w:r>
        <w:rPr>
          <w:rFonts w:ascii="Calibri" w:hAnsi="Calibri"/>
          <w:b/>
          <w:i w:val="0"/>
          <w:color w:val="0F172A"/>
          <w:sz w:val="17"/>
        </w:rPr>
        <w:t>The key objectives are:</w:t>
      </w:r>
    </w:p>
    <w:p>
      <w:pPr>
        <w:spacing w:after="50"/>
        <w:ind w:left="288"/>
      </w:pPr>
      <w:r>
        <w:rPr>
          <w:rFonts w:ascii="Calibri" w:hAnsi="Calibri"/>
          <w:b/>
          <w:i w:val="0"/>
          <w:color w:val="0F172A"/>
          <w:sz w:val="17"/>
        </w:rPr>
        <w:t xml:space="preserve">1. 1. AI Usage Monitoring: </w:t>
      </w:r>
      <w:r>
        <w:rPr>
          <w:rFonts w:ascii="Calibri" w:hAnsi="Calibri"/>
          <w:b w:val="0"/>
          <w:i w:val="0"/>
          <w:color w:val="334155"/>
          <w:sz w:val="17"/>
        </w:rPr>
        <w:t>Provide visibility into AI application usage and relevant interactions across monitored endpoints and supported platforms.</w:t>
      </w:r>
    </w:p>
    <w:p>
      <w:pPr>
        <w:spacing w:after="50"/>
        <w:ind w:left="288"/>
      </w:pPr>
      <w:r>
        <w:rPr>
          <w:rFonts w:ascii="Calibri" w:hAnsi="Calibri"/>
          <w:b/>
          <w:i w:val="0"/>
          <w:color w:val="0F172A"/>
          <w:sz w:val="17"/>
        </w:rPr>
        <w:t xml:space="preserve">2. 2. Data Loss Prevention (DLP): </w:t>
      </w:r>
      <w:r>
        <w:rPr>
          <w:rFonts w:ascii="Calibri" w:hAnsi="Calibri"/>
          <w:b w:val="0"/>
          <w:i w:val="0"/>
          <w:color w:val="334155"/>
          <w:sz w:val="17"/>
        </w:rPr>
        <w:t>Identify and help prevent sensitive information, such as confidential business data and personally identifiable information, from being submitted to AI applications in violation of configured policies.</w:t>
      </w:r>
    </w:p>
    <w:p>
      <w:pPr>
        <w:spacing w:after="50"/>
        <w:ind w:left="288"/>
      </w:pPr>
      <w:r>
        <w:rPr>
          <w:rFonts w:ascii="Calibri" w:hAnsi="Calibri"/>
          <w:b/>
          <w:i w:val="0"/>
          <w:color w:val="0F172A"/>
          <w:sz w:val="17"/>
        </w:rPr>
        <w:t xml:space="preserve">3. 3. Security Policy Enforcement: </w:t>
      </w:r>
      <w:r>
        <w:rPr>
          <w:rFonts w:ascii="Calibri" w:hAnsi="Calibri"/>
          <w:b w:val="0"/>
          <w:i w:val="0"/>
          <w:color w:val="334155"/>
          <w:sz w:val="17"/>
        </w:rPr>
        <w:t>Allow administrators to define and enforce organizational policies for AI application access, usage, and data protection.</w:t>
      </w:r>
    </w:p>
    <w:p>
      <w:pPr>
        <w:spacing w:after="50"/>
        <w:ind w:left="288"/>
      </w:pPr>
      <w:r>
        <w:rPr>
          <w:rFonts w:ascii="Calibri" w:hAnsi="Calibri"/>
          <w:b/>
          <w:i w:val="0"/>
          <w:color w:val="0F172A"/>
          <w:sz w:val="17"/>
        </w:rPr>
        <w:t xml:space="preserve">4. 4. Risk Detection and Prevention: </w:t>
      </w:r>
      <w:r>
        <w:rPr>
          <w:rFonts w:ascii="Calibri" w:hAnsi="Calibri"/>
          <w:b w:val="0"/>
          <w:i w:val="0"/>
          <w:color w:val="334155"/>
          <w:sz w:val="17"/>
        </w:rPr>
        <w:t>Identify potentially risky AI interactions and apply configured security actions, such as warnings, blocking, or logging, where supported.</w:t>
      </w:r>
    </w:p>
    <w:p>
      <w:pPr>
        <w:spacing w:after="50"/>
        <w:ind w:left="288"/>
      </w:pPr>
      <w:r>
        <w:rPr>
          <w:rFonts w:ascii="Calibri" w:hAnsi="Calibri"/>
          <w:b/>
          <w:i w:val="0"/>
          <w:color w:val="0F172A"/>
          <w:sz w:val="17"/>
        </w:rPr>
        <w:t xml:space="preserve">5. 5. Centralized Administration: </w:t>
      </w:r>
      <w:r>
        <w:rPr>
          <w:rFonts w:ascii="Calibri" w:hAnsi="Calibri"/>
          <w:b w:val="0"/>
          <w:i w:val="0"/>
          <w:color w:val="334155"/>
          <w:sz w:val="17"/>
        </w:rPr>
        <w:t>Provide a centralized interface for managing security configurations, monitoring activity, and reviewing relevant security events.</w:t>
      </w:r>
    </w:p>
    <w:p>
      <w:pPr>
        <w:spacing w:after="50"/>
        <w:ind w:left="288"/>
      </w:pPr>
      <w:r>
        <w:rPr>
          <w:rFonts w:ascii="Calibri" w:hAnsi="Calibri"/>
          <w:b/>
          <w:i w:val="0"/>
          <w:color w:val="0F172A"/>
          <w:sz w:val="17"/>
        </w:rPr>
        <w:t xml:space="preserve">6. 6. AI Governance &amp; Accountability: </w:t>
      </w:r>
      <w:r>
        <w:rPr>
          <w:rFonts w:ascii="Calibri" w:hAnsi="Calibri"/>
          <w:b w:val="0"/>
          <w:i w:val="0"/>
          <w:color w:val="334155"/>
          <w:sz w:val="17"/>
        </w:rPr>
        <w:t>Support organizations in establishing consistent controls, maintaining audit visibility, and improving oversight of enterprise AI usage.</w:t>
      </w:r>
    </w:p>
    <w:p>
      <w:pPr>
        <w:spacing w:after="50"/>
        <w:ind w:left="288"/>
      </w:pPr>
      <w:r>
        <w:rPr>
          <w:rFonts w:ascii="Calibri" w:hAnsi="Calibri"/>
          <w:b/>
          <w:i w:val="0"/>
          <w:color w:val="0F172A"/>
          <w:sz w:val="17"/>
        </w:rPr>
        <w:t xml:space="preserve">7. 7. Enterprise Data Protection: </w:t>
      </w:r>
      <w:r>
        <w:rPr>
          <w:rFonts w:ascii="Calibri" w:hAnsi="Calibri"/>
          <w:b w:val="0"/>
          <w:i w:val="0"/>
          <w:color w:val="334155"/>
          <w:sz w:val="17"/>
        </w:rPr>
        <w:t>Support the implementation of organizational security and data-residency requirements through appropriate deployment architecture and configuration.</w:t>
      </w:r>
    </w:p>
    <w:p>
      <w:r>
        <w:br w:type="page"/>
      </w:r>
    </w:p>
    <w:p>
      <w:pPr>
        <w:spacing w:before="80" w:after="40"/>
      </w:pPr>
      <w:r>
        <w:rPr>
          <w:rFonts w:ascii="Calibri" w:hAnsi="Calibri"/>
          <w:b/>
          <w:i w:val="0"/>
          <w:color w:val="0F766E"/>
          <w:sz w:val="22"/>
        </w:rPr>
        <w:t>1.3 Key Features and Capabilities</w:t>
      </w:r>
    </w:p>
    <w:p>
      <w:pPr>
        <w:spacing w:after="80"/>
      </w:pPr>
      <w:r>
        <w:rPr>
          <w:rFonts w:ascii="Calibri" w:hAnsi="Calibri"/>
          <w:b w:val="0"/>
          <w:i w:val="0"/>
          <w:color w:val="334155"/>
          <w:sz w:val="17"/>
        </w:rPr>
        <w:t>Raksha AI Security provides a set of security and governance capabilities for enterprise AI environments.</w:t>
      </w:r>
    </w:p>
    <w:p>
      <w:pPr>
        <w:spacing w:after="40"/>
        <w:ind w:left="288"/>
      </w:pPr>
      <w:r>
        <w:rPr>
          <w:rFonts w:ascii="Calibri" w:hAnsi="Calibri"/>
          <w:b/>
          <w:i w:val="0"/>
          <w:color w:val="0F172A"/>
          <w:sz w:val="16"/>
        </w:rPr>
        <w:t xml:space="preserve">1. AI Application Monitoring: </w:t>
      </w:r>
      <w:r>
        <w:rPr>
          <w:rFonts w:ascii="Calibri" w:hAnsi="Calibri"/>
          <w:b w:val="0"/>
          <w:i w:val="0"/>
          <w:color w:val="334155"/>
          <w:sz w:val="16"/>
        </w:rPr>
        <w:t>Monitors supported AI applications and interactions through configured monitoring components, providing visibility into relevant AI usage and security events.</w:t>
      </w:r>
    </w:p>
    <w:p>
      <w:pPr>
        <w:spacing w:after="40"/>
        <w:ind w:left="288"/>
      </w:pPr>
      <w:r>
        <w:rPr>
          <w:rFonts w:ascii="Calibri" w:hAnsi="Calibri"/>
          <w:b/>
          <w:i w:val="0"/>
          <w:color w:val="0F172A"/>
          <w:sz w:val="16"/>
        </w:rPr>
        <w:t xml:space="preserve">2. Real-Time Data Loss Prevention: </w:t>
      </w:r>
      <w:r>
        <w:rPr>
          <w:rFonts w:ascii="Calibri" w:hAnsi="Calibri"/>
          <w:b w:val="0"/>
          <w:i w:val="0"/>
          <w:color w:val="334155"/>
          <w:sz w:val="16"/>
        </w:rPr>
        <w:t>Evaluates monitored content against configured security rules to identify sensitive information and apply appropriate protective actions.</w:t>
      </w:r>
    </w:p>
    <w:p>
      <w:pPr>
        <w:spacing w:after="40"/>
        <w:ind w:left="288"/>
      </w:pPr>
      <w:r>
        <w:rPr>
          <w:rFonts w:ascii="Calibri" w:hAnsi="Calibri"/>
          <w:b/>
          <w:i w:val="0"/>
          <w:color w:val="0F172A"/>
          <w:sz w:val="16"/>
        </w:rPr>
        <w:t xml:space="preserve">3. Prompt Inspection &amp; Risk Detection: </w:t>
      </w:r>
      <w:r>
        <w:rPr>
          <w:rFonts w:ascii="Calibri" w:hAnsi="Calibri"/>
          <w:b w:val="0"/>
          <w:i w:val="0"/>
          <w:color w:val="334155"/>
          <w:sz w:val="16"/>
        </w:rPr>
        <w:t>Analyzes AI prompts and supported interaction data to identify potential security risks, sensitive information, and policy violations.</w:t>
      </w:r>
    </w:p>
    <w:p>
      <w:pPr>
        <w:spacing w:after="40"/>
        <w:ind w:left="288"/>
      </w:pPr>
      <w:r>
        <w:rPr>
          <w:rFonts w:ascii="Calibri" w:hAnsi="Calibri"/>
          <w:b/>
          <w:i w:val="0"/>
          <w:color w:val="0F172A"/>
          <w:sz w:val="16"/>
        </w:rPr>
        <w:t xml:space="preserve">4. Policy and Rule Management: </w:t>
      </w:r>
      <w:r>
        <w:rPr>
          <w:rFonts w:ascii="Calibri" w:hAnsi="Calibri"/>
          <w:b w:val="0"/>
          <w:i w:val="0"/>
          <w:color w:val="334155"/>
          <w:sz w:val="16"/>
        </w:rPr>
        <w:t>Enables administrators to configure security rules, monitoring policies, risk thresholds, and enforcement settings according to organizational requirements.</w:t>
      </w:r>
    </w:p>
    <w:p>
      <w:pPr>
        <w:spacing w:after="40"/>
        <w:ind w:left="288"/>
      </w:pPr>
      <w:r>
        <w:rPr>
          <w:rFonts w:ascii="Calibri" w:hAnsi="Calibri"/>
          <w:b/>
          <w:i w:val="0"/>
          <w:color w:val="0F172A"/>
          <w:sz w:val="16"/>
        </w:rPr>
        <w:t xml:space="preserve">5. Website &amp; Application Controls: </w:t>
      </w:r>
      <w:r>
        <w:rPr>
          <w:rFonts w:ascii="Calibri" w:hAnsi="Calibri"/>
          <w:b w:val="0"/>
          <w:i w:val="0"/>
          <w:color w:val="334155"/>
          <w:sz w:val="16"/>
        </w:rPr>
        <w:t>Supports configured website and AI application monitoring and access-control policies for supported environments.</w:t>
      </w:r>
    </w:p>
    <w:p>
      <w:pPr>
        <w:spacing w:after="40"/>
        <w:ind w:left="288"/>
      </w:pPr>
      <w:r>
        <w:rPr>
          <w:rFonts w:ascii="Calibri" w:hAnsi="Calibri"/>
          <w:b/>
          <w:i w:val="0"/>
          <w:color w:val="0F172A"/>
          <w:sz w:val="16"/>
        </w:rPr>
        <w:t xml:space="preserve">6. Security Logs &amp; Audit Visibility: </w:t>
      </w:r>
      <w:r>
        <w:rPr>
          <w:rFonts w:ascii="Calibri" w:hAnsi="Calibri"/>
          <w:b w:val="0"/>
          <w:i w:val="0"/>
          <w:color w:val="334155"/>
          <w:sz w:val="16"/>
        </w:rPr>
        <w:t>Provides relevant logs and event information to help administrators investigate policy violations, review AI usage, and understand detected risks.</w:t>
      </w:r>
    </w:p>
    <w:p>
      <w:pPr>
        <w:spacing w:after="40"/>
        <w:ind w:left="288"/>
      </w:pPr>
      <w:r>
        <w:rPr>
          <w:rFonts w:ascii="Calibri" w:hAnsi="Calibri"/>
          <w:b/>
          <w:i w:val="0"/>
          <w:color w:val="0F172A"/>
          <w:sz w:val="16"/>
        </w:rPr>
        <w:t xml:space="preserve">7. Centralized Dashboard: </w:t>
      </w:r>
      <w:r>
        <w:rPr>
          <w:rFonts w:ascii="Calibri" w:hAnsi="Calibri"/>
          <w:b w:val="0"/>
          <w:i w:val="0"/>
          <w:color w:val="334155"/>
          <w:sz w:val="16"/>
        </w:rPr>
        <w:t>Provides a consolidated view of available monitoring data, security events, risk indicators, and system activity to support administrative oversight.</w:t>
      </w:r>
    </w:p>
    <w:p>
      <w:pPr>
        <w:spacing w:after="40"/>
        <w:ind w:left="288"/>
      </w:pPr>
      <w:r>
        <w:rPr>
          <w:rFonts w:ascii="Calibri" w:hAnsi="Calibri"/>
          <w:b/>
          <w:i w:val="0"/>
          <w:color w:val="0F172A"/>
          <w:sz w:val="16"/>
        </w:rPr>
        <w:t xml:space="preserve">8. Enterprise Access &amp; Governance: </w:t>
      </w:r>
      <w:r>
        <w:rPr>
          <w:rFonts w:ascii="Calibri" w:hAnsi="Calibri"/>
          <w:b w:val="0"/>
          <w:i w:val="0"/>
          <w:color w:val="334155"/>
          <w:sz w:val="16"/>
        </w:rPr>
        <w:t>Supports controlled administration of users, teams, customers, business units, and virtual keys, where applicable to the deployed Gateway configuration.</w:t>
      </w:r>
    </w:p>
    <w:p>
      <w:pPr>
        <w:spacing w:after="40"/>
        <w:ind w:left="288"/>
      </w:pPr>
      <w:r>
        <w:rPr>
          <w:rFonts w:ascii="Calibri" w:hAnsi="Calibri"/>
          <w:b/>
          <w:i w:val="0"/>
          <w:color w:val="0F172A"/>
          <w:sz w:val="16"/>
        </w:rPr>
        <w:t xml:space="preserve">9. AI Gateway Governance: </w:t>
      </w:r>
      <w:r>
        <w:rPr>
          <w:rFonts w:ascii="Calibri" w:hAnsi="Calibri"/>
          <w:b w:val="0"/>
          <w:i w:val="0"/>
          <w:color w:val="334155"/>
          <w:sz w:val="16"/>
        </w:rPr>
        <w:t>Supports centralized management of AI model providers, routing configurations, usage limits, and budget controls within the Gateway component.</w:t>
      </w:r>
    </w:p>
    <w:p>
      <w:pPr>
        <w:spacing w:after="40"/>
        <w:ind w:left="288"/>
      </w:pPr>
      <w:r>
        <w:rPr>
          <w:rFonts w:ascii="Calibri" w:hAnsi="Calibri"/>
          <w:b/>
          <w:i w:val="0"/>
          <w:color w:val="0F172A"/>
          <w:sz w:val="16"/>
        </w:rPr>
        <w:t xml:space="preserve">10. Enterprise Deployment Support: </w:t>
      </w:r>
      <w:r>
        <w:rPr>
          <w:rFonts w:ascii="Calibri" w:hAnsi="Calibri"/>
          <w:b w:val="0"/>
          <w:i w:val="0"/>
          <w:color w:val="334155"/>
          <w:sz w:val="16"/>
        </w:rPr>
        <w:t>Supports deployment and configuration according to organizational infrastructure requirements, including on-premises environments where supported.</w:t>
      </w:r>
    </w:p>
    <w:p>
      <w:pPr>
        <w:spacing w:before="60" w:after="120"/>
      </w:pPr>
      <w:r>
        <w:rPr>
          <w:rFonts w:ascii="Calibri" w:hAnsi="Calibri"/>
          <w:b w:val="0"/>
          <w:i/>
          <w:color w:val="64748B"/>
          <w:sz w:val="15"/>
        </w:rPr>
        <w:t>Note: Actual feature availability, enforcement behavior, supported applications, and deployment options depend on the installed product version, enabled modules, and validated configuration.</w:t>
      </w:r>
    </w:p>
    <w:p>
      <w:pPr>
        <w:spacing w:before="80" w:after="40"/>
      </w:pPr>
      <w:r>
        <w:rPr>
          <w:rFonts w:ascii="Calibri" w:hAnsi="Calibri"/>
          <w:b/>
          <w:i w:val="0"/>
          <w:color w:val="0F766E"/>
          <w:sz w:val="22"/>
        </w:rPr>
        <w:t>1.4 Use Cases and Business Benefits</w:t>
      </w:r>
    </w:p>
    <w:p>
      <w:pPr>
        <w:spacing w:after="80"/>
      </w:pPr>
      <w:r>
        <w:rPr>
          <w:rFonts w:ascii="Calibri" w:hAnsi="Calibri"/>
          <w:b w:val="0"/>
          <w:i w:val="0"/>
          <w:color w:val="334155"/>
          <w:sz w:val="17"/>
        </w:rPr>
        <w:t>Raksha AI Security can support a range of enterprise security and governance scenarios.</w:t>
      </w:r>
    </w:p>
    <w:p>
      <w:pPr>
        <w:spacing w:after="20"/>
      </w:pPr>
      <w:r>
        <w:rPr>
          <w:rFonts w:ascii="Calibri" w:hAnsi="Calibri"/>
          <w:b/>
          <w:i w:val="0"/>
          <w:color w:val="0F172A"/>
          <w:sz w:val="17"/>
        </w:rPr>
        <w:t>Use Case 1: Preventing Confidential Data Exposure</w:t>
      </w:r>
    </w:p>
    <w:p>
      <w:pPr>
        <w:spacing w:after="20"/>
        <w:ind w:left="288"/>
      </w:pPr>
      <w:r>
        <w:rPr>
          <w:rFonts w:ascii="Calibri" w:hAnsi="Calibri"/>
          <w:b w:val="0"/>
          <w:i w:val="0"/>
          <w:color w:val="334155"/>
          <w:sz w:val="16"/>
        </w:rPr>
        <w:t>Employees may accidentally enter confidential company information into public AI tools. Raksha can inspect monitored interactions against configured policies and apply the appropriate security response.</w:t>
      </w:r>
    </w:p>
    <w:p>
      <w:pPr>
        <w:spacing w:after="60"/>
        <w:ind w:left="288"/>
      </w:pPr>
      <w:r>
        <w:rPr>
          <w:rFonts w:ascii="Calibri" w:hAnsi="Calibri"/>
          <w:b/>
          <w:i w:val="0"/>
          <w:color w:val="059669"/>
          <w:sz w:val="16"/>
        </w:rPr>
        <w:t xml:space="preserve">Business benefit: </w:t>
      </w:r>
      <w:r>
        <w:rPr>
          <w:rFonts w:ascii="Calibri" w:hAnsi="Calibri"/>
          <w:b w:val="0"/>
          <w:i w:val="0"/>
          <w:color w:val="059669"/>
          <w:sz w:val="16"/>
        </w:rPr>
        <w:t>Reduces the risk of unauthorized disclosure of sensitive business information.</w:t>
      </w:r>
    </w:p>
    <w:p>
      <w:pPr>
        <w:spacing w:after="20"/>
      </w:pPr>
      <w:r>
        <w:rPr>
          <w:rFonts w:ascii="Calibri" w:hAnsi="Calibri"/>
          <w:b/>
          <w:i w:val="0"/>
          <w:color w:val="0F172A"/>
          <w:sz w:val="17"/>
        </w:rPr>
        <w:t>Use Case 2: Enterprise AI Usage Monitoring</w:t>
      </w:r>
    </w:p>
    <w:p>
      <w:pPr>
        <w:spacing w:after="20"/>
        <w:ind w:left="288"/>
      </w:pPr>
      <w:r>
        <w:rPr>
          <w:rFonts w:ascii="Calibri" w:hAnsi="Calibri"/>
          <w:b w:val="0"/>
          <w:i w:val="0"/>
          <w:color w:val="334155"/>
          <w:sz w:val="16"/>
        </w:rPr>
        <w:t>Security and IT teams need visibility into how employees use supported AI applications across enterprise departments.</w:t>
      </w:r>
    </w:p>
    <w:p>
      <w:pPr>
        <w:spacing w:after="60"/>
        <w:ind w:left="288"/>
      </w:pPr>
      <w:r>
        <w:rPr>
          <w:rFonts w:ascii="Calibri" w:hAnsi="Calibri"/>
          <w:b/>
          <w:i w:val="0"/>
          <w:color w:val="059669"/>
          <w:sz w:val="16"/>
        </w:rPr>
        <w:t xml:space="preserve">Business benefit: </w:t>
      </w:r>
      <w:r>
        <w:rPr>
          <w:rFonts w:ascii="Calibri" w:hAnsi="Calibri"/>
          <w:b w:val="0"/>
          <w:i w:val="0"/>
          <w:color w:val="059669"/>
          <w:sz w:val="16"/>
        </w:rPr>
        <w:t>Improves visibility, security oversight, and understanding of AI usage across the organization.</w:t>
      </w:r>
    </w:p>
    <w:p>
      <w:pPr>
        <w:spacing w:after="20"/>
      </w:pPr>
      <w:r>
        <w:rPr>
          <w:rFonts w:ascii="Calibri" w:hAnsi="Calibri"/>
          <w:b/>
          <w:i w:val="0"/>
          <w:color w:val="0F172A"/>
          <w:sz w:val="17"/>
        </w:rPr>
        <w:t>Use Case 3: Enforcing Organizational AI Policies</w:t>
      </w:r>
    </w:p>
    <w:p>
      <w:pPr>
        <w:spacing w:after="20"/>
        <w:ind w:left="288"/>
      </w:pPr>
      <w:r>
        <w:rPr>
          <w:rFonts w:ascii="Calibri" w:hAnsi="Calibri"/>
          <w:b w:val="0"/>
          <w:i w:val="0"/>
          <w:color w:val="334155"/>
          <w:sz w:val="16"/>
        </w:rPr>
        <w:t>Organizations may restrict the use of specific AI applications or prohibit certain categories of sensitive information from being submitted to AI services.</w:t>
      </w:r>
    </w:p>
    <w:p>
      <w:pPr>
        <w:spacing w:after="60"/>
        <w:ind w:left="288"/>
      </w:pPr>
      <w:r>
        <w:rPr>
          <w:rFonts w:ascii="Calibri" w:hAnsi="Calibri"/>
          <w:b/>
          <w:i w:val="0"/>
          <w:color w:val="059669"/>
          <w:sz w:val="16"/>
        </w:rPr>
        <w:t xml:space="preserve">Business benefit: </w:t>
      </w:r>
      <w:r>
        <w:rPr>
          <w:rFonts w:ascii="Calibri" w:hAnsi="Calibri"/>
          <w:b w:val="0"/>
          <w:i w:val="0"/>
          <w:color w:val="059669"/>
          <w:sz w:val="16"/>
        </w:rPr>
        <w:t>Helps enforce consistent AI usage policies and reduce policy violations.</w:t>
      </w:r>
    </w:p>
    <w:p>
      <w:pPr>
        <w:spacing w:after="20"/>
      </w:pPr>
      <w:r>
        <w:rPr>
          <w:rFonts w:ascii="Calibri" w:hAnsi="Calibri"/>
          <w:b/>
          <w:i w:val="0"/>
          <w:color w:val="0F172A"/>
          <w:sz w:val="17"/>
        </w:rPr>
        <w:t>Use Case 4: Security Incident Investigation</w:t>
      </w:r>
    </w:p>
    <w:p>
      <w:pPr>
        <w:spacing w:after="20"/>
        <w:ind w:left="288"/>
      </w:pPr>
      <w:r>
        <w:rPr>
          <w:rFonts w:ascii="Calibri" w:hAnsi="Calibri"/>
          <w:b w:val="0"/>
          <w:i w:val="0"/>
          <w:color w:val="334155"/>
          <w:sz w:val="16"/>
        </w:rPr>
        <w:t>When a potential AI-related security incident occurs, administrators need relevant event logs and monitoring information to investigate the incident.</w:t>
      </w:r>
    </w:p>
    <w:p>
      <w:pPr>
        <w:spacing w:after="60"/>
        <w:ind w:left="288"/>
      </w:pPr>
      <w:r>
        <w:rPr>
          <w:rFonts w:ascii="Calibri" w:hAnsi="Calibri"/>
          <w:b/>
          <w:i w:val="0"/>
          <w:color w:val="059669"/>
          <w:sz w:val="16"/>
        </w:rPr>
        <w:t xml:space="preserve">Business benefit: </w:t>
      </w:r>
      <w:r>
        <w:rPr>
          <w:rFonts w:ascii="Calibri" w:hAnsi="Calibri"/>
          <w:b w:val="0"/>
          <w:i w:val="0"/>
          <w:color w:val="059669"/>
          <w:sz w:val="16"/>
        </w:rPr>
        <w:t>Supports incident analysis, security reviews, and audit preparation.</w:t>
      </w:r>
    </w:p>
    <w:p>
      <w:r>
        <w:br w:type="page"/>
      </w:r>
    </w:p>
    <w:p>
      <w:pPr>
        <w:spacing w:after="20"/>
      </w:pPr>
      <w:r>
        <w:rPr>
          <w:rFonts w:ascii="Calibri" w:hAnsi="Calibri"/>
          <w:b/>
          <w:i w:val="0"/>
          <w:color w:val="0F172A"/>
          <w:sz w:val="17"/>
        </w:rPr>
        <w:t>Use Case 5: Enterprise AI Gateway Governance</w:t>
      </w:r>
    </w:p>
    <w:p>
      <w:pPr>
        <w:spacing w:after="20"/>
        <w:ind w:left="288"/>
      </w:pPr>
      <w:r>
        <w:rPr>
          <w:rFonts w:ascii="Calibri" w:hAnsi="Calibri"/>
          <w:b w:val="0"/>
          <w:i w:val="0"/>
          <w:color w:val="334155"/>
          <w:sz w:val="16"/>
        </w:rPr>
        <w:t>Organizations using multiple AI providers and models may need centralized routing, access management, and budget controls.</w:t>
      </w:r>
    </w:p>
    <w:p>
      <w:pPr>
        <w:spacing w:after="60"/>
        <w:ind w:left="288"/>
      </w:pPr>
      <w:r>
        <w:rPr>
          <w:rFonts w:ascii="Calibri" w:hAnsi="Calibri"/>
          <w:b/>
          <w:i w:val="0"/>
          <w:color w:val="059669"/>
          <w:sz w:val="16"/>
        </w:rPr>
        <w:t xml:space="preserve">Business benefit: </w:t>
      </w:r>
      <w:r>
        <w:rPr>
          <w:rFonts w:ascii="Calibri" w:hAnsi="Calibri"/>
          <w:b w:val="0"/>
          <w:i w:val="0"/>
          <w:color w:val="059669"/>
          <w:sz w:val="16"/>
        </w:rPr>
        <w:t>Helps improve governance, operational visibility, and control over configured AI usage and expenditure.</w:t>
      </w:r>
    </w:p>
    <w:p>
      <w:pPr>
        <w:spacing w:after="20"/>
      </w:pPr>
      <w:r>
        <w:rPr>
          <w:rFonts w:ascii="Calibri" w:hAnsi="Calibri"/>
          <w:b/>
          <w:i w:val="0"/>
          <w:color w:val="0F172A"/>
          <w:sz w:val="17"/>
        </w:rPr>
        <w:t>Use Case 6: Regulated and Sensitive Environments</w:t>
      </w:r>
    </w:p>
    <w:p>
      <w:pPr>
        <w:spacing w:after="20"/>
        <w:ind w:left="288"/>
      </w:pPr>
      <w:r>
        <w:rPr>
          <w:rFonts w:ascii="Calibri" w:hAnsi="Calibri"/>
          <w:b w:val="0"/>
          <w:i w:val="0"/>
          <w:color w:val="334155"/>
          <w:sz w:val="16"/>
        </w:rPr>
        <w:t>Organizations such as banks and financial institutions may require strict controls over sensitive information, infrastructure access, and data residency.</w:t>
      </w:r>
    </w:p>
    <w:p>
      <w:pPr>
        <w:spacing w:after="60"/>
        <w:ind w:left="288"/>
      </w:pPr>
      <w:r>
        <w:rPr>
          <w:rFonts w:ascii="Calibri" w:hAnsi="Calibri"/>
          <w:b/>
          <w:i w:val="0"/>
          <w:color w:val="059669"/>
          <w:sz w:val="16"/>
        </w:rPr>
        <w:t xml:space="preserve">Business benefit: </w:t>
      </w:r>
      <w:r>
        <w:rPr>
          <w:rFonts w:ascii="Calibri" w:hAnsi="Calibri"/>
          <w:b w:val="0"/>
          <w:i w:val="0"/>
          <w:color w:val="059669"/>
          <w:sz w:val="16"/>
        </w:rPr>
        <w:t>Supports the implementation of internal security and compliance controls when the solution is deployed and validated against the organization's requirements.</w:t>
      </w:r>
    </w:p>
    <w:p>
      <w:pPr>
        <w:spacing w:before="80" w:after="40"/>
      </w:pPr>
      <w:r>
        <w:rPr>
          <w:rFonts w:ascii="Calibri" w:hAnsi="Calibri"/>
          <w:b/>
          <w:i w:val="0"/>
          <w:color w:val="0F172A"/>
          <w:sz w:val="19"/>
        </w:rPr>
        <w:t>Overall Business Benefits</w:t>
      </w:r>
    </w:p>
    <w:p>
      <w:pPr>
        <w:pStyle w:val="ListBullet"/>
        <w:spacing w:after="30"/>
      </w:pPr>
      <w:r>
        <w:rPr>
          <w:rFonts w:ascii="Calibri" w:hAnsi="Calibri"/>
          <w:b w:val="0"/>
          <w:i w:val="0"/>
          <w:color w:val="334155"/>
          <w:sz w:val="16"/>
        </w:rPr>
        <w:t>Improved visibility into supported AI usage.</w:t>
      </w:r>
    </w:p>
    <w:p>
      <w:pPr>
        <w:pStyle w:val="ListBullet"/>
        <w:spacing w:after="30"/>
      </w:pPr>
      <w:r>
        <w:rPr>
          <w:rFonts w:ascii="Calibri" w:hAnsi="Calibri"/>
          <w:b w:val="0"/>
          <w:i w:val="0"/>
          <w:color w:val="334155"/>
          <w:sz w:val="16"/>
        </w:rPr>
        <w:t>Reduced risk of sensitive-data exposure.</w:t>
      </w:r>
    </w:p>
    <w:p>
      <w:pPr>
        <w:pStyle w:val="ListBullet"/>
        <w:spacing w:after="30"/>
      </w:pPr>
      <w:r>
        <w:rPr>
          <w:rFonts w:ascii="Calibri" w:hAnsi="Calibri"/>
          <w:b w:val="0"/>
          <w:i w:val="0"/>
          <w:color w:val="334155"/>
          <w:sz w:val="16"/>
        </w:rPr>
        <w:t>More consistent enforcement of AI security policies.</w:t>
      </w:r>
    </w:p>
    <w:p>
      <w:pPr>
        <w:pStyle w:val="ListBullet"/>
        <w:spacing w:after="30"/>
      </w:pPr>
      <w:r>
        <w:rPr>
          <w:rFonts w:ascii="Calibri" w:hAnsi="Calibri"/>
          <w:b w:val="0"/>
          <w:i w:val="0"/>
          <w:color w:val="334155"/>
          <w:sz w:val="16"/>
        </w:rPr>
        <w:t>Centralized monitoring and administrative control.</w:t>
      </w:r>
    </w:p>
    <w:p>
      <w:pPr>
        <w:pStyle w:val="ListBullet"/>
        <w:spacing w:after="30"/>
      </w:pPr>
      <w:r>
        <w:rPr>
          <w:rFonts w:ascii="Calibri" w:hAnsi="Calibri"/>
          <w:b w:val="0"/>
          <w:i w:val="0"/>
          <w:color w:val="334155"/>
          <w:sz w:val="16"/>
        </w:rPr>
        <w:t>Improved support for security investigations and audits.</w:t>
      </w:r>
    </w:p>
    <w:p>
      <w:pPr>
        <w:pStyle w:val="ListBullet"/>
        <w:spacing w:after="30"/>
      </w:pPr>
      <w:r>
        <w:rPr>
          <w:rFonts w:ascii="Calibri" w:hAnsi="Calibri"/>
          <w:b w:val="0"/>
          <w:i w:val="0"/>
          <w:color w:val="334155"/>
          <w:sz w:val="16"/>
        </w:rPr>
        <w:t>Better governance of AI providers, models, and configured budgets.</w:t>
      </w:r>
    </w:p>
    <w:p>
      <w:pPr>
        <w:pStyle w:val="ListBullet"/>
        <w:spacing w:after="30"/>
      </w:pPr>
      <w:r>
        <w:rPr>
          <w:rFonts w:ascii="Calibri" w:hAnsi="Calibri"/>
          <w:b w:val="0"/>
          <w:i w:val="0"/>
          <w:color w:val="334155"/>
          <w:sz w:val="16"/>
        </w:rPr>
        <w:t>Support for enterprise security and data-residency requirements.</w:t>
      </w:r>
    </w:p>
    <w:p>
      <w:pPr>
        <w:spacing w:before="120" w:after="40"/>
      </w:pPr>
      <w:r>
        <w:rPr>
          <w:rFonts w:ascii="Calibri" w:hAnsi="Calibri"/>
          <w:b/>
          <w:i w:val="0"/>
          <w:color w:val="0F766E"/>
          <w:sz w:val="22"/>
        </w:rPr>
        <w:t>1.5 Product Scope and Limitations</w:t>
      </w:r>
    </w:p>
    <w:p>
      <w:pPr>
        <w:spacing w:after="40"/>
      </w:pPr>
      <w:r>
        <w:rPr>
          <w:rFonts w:ascii="Calibri" w:hAnsi="Calibri"/>
          <w:b/>
          <w:i w:val="0"/>
          <w:color w:val="0F172A"/>
          <w:sz w:val="19"/>
        </w:rPr>
        <w:t>Product Scope</w:t>
      </w:r>
    </w:p>
    <w:p>
      <w:pPr>
        <w:spacing w:after="40"/>
      </w:pPr>
      <w:r>
        <w:rPr>
          <w:rFonts w:ascii="Calibri" w:hAnsi="Calibri"/>
          <w:b w:val="0"/>
          <w:i w:val="0"/>
          <w:color w:val="334155"/>
          <w:sz w:val="16"/>
        </w:rPr>
        <w:t>Raksha AI Security is intended to provide security monitoring, data protection, and governance capabilities for supported AI applications and configured enterprise AI environments.</w:t>
        <w:br/>
        <w:br/>
        <w:t>The product scope includes:</w:t>
      </w:r>
    </w:p>
    <w:p>
      <w:pPr>
        <w:pStyle w:val="ListBullet"/>
        <w:spacing w:after="30"/>
      </w:pPr>
      <w:r>
        <w:rPr>
          <w:rFonts w:ascii="Calibri" w:hAnsi="Calibri"/>
          <w:b w:val="0"/>
          <w:i w:val="0"/>
          <w:color w:val="334155"/>
          <w:sz w:val="16"/>
        </w:rPr>
        <w:t>Monitoring supported AI applications and interactions.</w:t>
      </w:r>
    </w:p>
    <w:p>
      <w:pPr>
        <w:pStyle w:val="ListBullet"/>
        <w:spacing w:after="30"/>
      </w:pPr>
      <w:r>
        <w:rPr>
          <w:rFonts w:ascii="Calibri" w:hAnsi="Calibri"/>
          <w:b w:val="0"/>
          <w:i w:val="0"/>
          <w:color w:val="334155"/>
          <w:sz w:val="16"/>
        </w:rPr>
        <w:t>Inspecting monitored prompts and content against configured security rules.</w:t>
      </w:r>
    </w:p>
    <w:p>
      <w:pPr>
        <w:pStyle w:val="ListBullet"/>
        <w:spacing w:after="30"/>
      </w:pPr>
      <w:r>
        <w:rPr>
          <w:rFonts w:ascii="Calibri" w:hAnsi="Calibri"/>
          <w:b w:val="0"/>
          <w:i w:val="0"/>
          <w:color w:val="334155"/>
          <w:sz w:val="16"/>
        </w:rPr>
        <w:t>Detecting potential sensitive-data exposure and policy violations.</w:t>
      </w:r>
    </w:p>
    <w:p>
      <w:pPr>
        <w:pStyle w:val="ListBullet"/>
        <w:spacing w:after="30"/>
      </w:pPr>
      <w:r>
        <w:rPr>
          <w:rFonts w:ascii="Calibri" w:hAnsi="Calibri"/>
          <w:b w:val="0"/>
          <w:i w:val="0"/>
          <w:color w:val="334155"/>
          <w:sz w:val="16"/>
        </w:rPr>
        <w:t>Applying supported security actions according to configured policies.</w:t>
      </w:r>
    </w:p>
    <w:p>
      <w:pPr>
        <w:pStyle w:val="ListBullet"/>
        <w:spacing w:after="30"/>
      </w:pPr>
      <w:r>
        <w:rPr>
          <w:rFonts w:ascii="Calibri" w:hAnsi="Calibri"/>
          <w:b w:val="0"/>
          <w:i w:val="0"/>
          <w:color w:val="334155"/>
          <w:sz w:val="16"/>
        </w:rPr>
        <w:t>Maintaining relevant security logs and monitoring information.</w:t>
      </w:r>
    </w:p>
    <w:p>
      <w:pPr>
        <w:pStyle w:val="ListBullet"/>
        <w:spacing w:after="30"/>
      </w:pPr>
      <w:r>
        <w:rPr>
          <w:rFonts w:ascii="Calibri" w:hAnsi="Calibri"/>
          <w:b w:val="0"/>
          <w:i w:val="0"/>
          <w:color w:val="334155"/>
          <w:sz w:val="16"/>
        </w:rPr>
        <w:t>Providing administrative controls and dashboard visibility.</w:t>
      </w:r>
    </w:p>
    <w:p>
      <w:pPr>
        <w:pStyle w:val="ListBullet"/>
        <w:spacing w:after="30"/>
      </w:pPr>
      <w:r>
        <w:rPr>
          <w:rFonts w:ascii="Calibri" w:hAnsi="Calibri"/>
          <w:b w:val="0"/>
          <w:i w:val="0"/>
          <w:color w:val="334155"/>
          <w:sz w:val="16"/>
        </w:rPr>
        <w:t>Supporting configured AI Gateway governance, including provider, model, routing, and budget management.</w:t>
      </w:r>
    </w:p>
    <w:p>
      <w:pPr>
        <w:pStyle w:val="ListBullet"/>
        <w:spacing w:after="30"/>
      </w:pPr>
      <w:r>
        <w:rPr>
          <w:rFonts w:ascii="Calibri" w:hAnsi="Calibri"/>
          <w:b w:val="0"/>
          <w:i w:val="0"/>
          <w:color w:val="334155"/>
          <w:sz w:val="16"/>
        </w:rPr>
        <w:t>Supporting enterprise deployment architectures based on validated product capabilities and infrastructure requirements.</w:t>
      </w:r>
    </w:p>
    <w:p>
      <w:pPr>
        <w:spacing w:before="80" w:after="40"/>
      </w:pPr>
      <w:r>
        <w:rPr>
          <w:rFonts w:ascii="Calibri" w:hAnsi="Calibri"/>
          <w:b/>
          <w:i w:val="0"/>
          <w:color w:val="0F172A"/>
          <w:sz w:val="19"/>
        </w:rPr>
        <w:t>Product Limitations</w:t>
      </w:r>
    </w:p>
    <w:p>
      <w:pPr>
        <w:spacing w:after="40"/>
        <w:ind w:left="288"/>
      </w:pPr>
      <w:r>
        <w:rPr>
          <w:rFonts w:ascii="Calibri" w:hAnsi="Calibri"/>
          <w:b/>
          <w:i w:val="0"/>
          <w:color w:val="0F172A"/>
          <w:sz w:val="16"/>
        </w:rPr>
        <w:t xml:space="preserve">1. Supported Applications: </w:t>
      </w:r>
      <w:r>
        <w:rPr>
          <w:rFonts w:ascii="Calibri" w:hAnsi="Calibri"/>
          <w:b w:val="0"/>
          <w:i w:val="0"/>
          <w:color w:val="334155"/>
          <w:sz w:val="16"/>
        </w:rPr>
        <w:t>Monitoring and enforcement depend on the AI applications, websites, browsers, operating systems, and integration methods supported by the deployed version.</w:t>
      </w:r>
    </w:p>
    <w:p>
      <w:pPr>
        <w:spacing w:after="40"/>
        <w:ind w:left="288"/>
      </w:pPr>
      <w:r>
        <w:rPr>
          <w:rFonts w:ascii="Calibri" w:hAnsi="Calibri"/>
          <w:b/>
          <w:i w:val="0"/>
          <w:color w:val="0F172A"/>
          <w:sz w:val="16"/>
        </w:rPr>
        <w:t xml:space="preserve">2. Monitoring Coverage: </w:t>
      </w:r>
      <w:r>
        <w:rPr>
          <w:rFonts w:ascii="Calibri" w:hAnsi="Calibri"/>
          <w:b w:val="0"/>
          <w:i w:val="0"/>
          <w:color w:val="334155"/>
          <w:sz w:val="16"/>
        </w:rPr>
        <w:t>Raksha can inspect only the interactions and data accessible to its configured monitoring components. It should not be assumed to monitor every application or every communication channel automatically.</w:t>
      </w:r>
    </w:p>
    <w:p>
      <w:pPr>
        <w:spacing w:after="40"/>
        <w:ind w:left="288"/>
      </w:pPr>
      <w:r>
        <w:rPr>
          <w:rFonts w:ascii="Calibri" w:hAnsi="Calibri"/>
          <w:b/>
          <w:i w:val="0"/>
          <w:color w:val="0F172A"/>
          <w:sz w:val="16"/>
        </w:rPr>
        <w:t xml:space="preserve">3. Detection Accuracy: </w:t>
      </w:r>
      <w:r>
        <w:rPr>
          <w:rFonts w:ascii="Calibri" w:hAnsi="Calibri"/>
          <w:b w:val="0"/>
          <w:i w:val="0"/>
          <w:color w:val="334155"/>
          <w:sz w:val="16"/>
        </w:rPr>
        <w:t>Detection performance depends on the configured rules, inspection methods, supported content types, and detection models. False positives and false negatives may occur.</w:t>
      </w:r>
    </w:p>
    <w:p>
      <w:pPr>
        <w:spacing w:after="40"/>
        <w:ind w:left="288"/>
      </w:pPr>
      <w:r>
        <w:rPr>
          <w:rFonts w:ascii="Calibri" w:hAnsi="Calibri"/>
          <w:b/>
          <w:i w:val="0"/>
          <w:color w:val="0F172A"/>
          <w:sz w:val="16"/>
        </w:rPr>
        <w:t xml:space="preserve">4. Endpoint Configuration: </w:t>
      </w:r>
      <w:r>
        <w:rPr>
          <w:rFonts w:ascii="Calibri" w:hAnsi="Calibri"/>
          <w:b w:val="0"/>
          <w:i w:val="0"/>
          <w:color w:val="334155"/>
          <w:sz w:val="16"/>
        </w:rPr>
        <w:t>Monitoring and enforcement may depend on successful installation, configuration, permissions, and operation of the relevant endpoint agent, extension, or other monitoring component.</w:t>
      </w:r>
    </w:p>
    <w:p>
      <w:pPr>
        <w:spacing w:after="40"/>
        <w:ind w:left="288"/>
      </w:pPr>
      <w:r>
        <w:rPr>
          <w:rFonts w:ascii="Calibri" w:hAnsi="Calibri"/>
          <w:b/>
          <w:i w:val="0"/>
          <w:color w:val="0F172A"/>
          <w:sz w:val="16"/>
        </w:rPr>
        <w:t xml:space="preserve">5. Network and Security Restrictions: </w:t>
      </w:r>
      <w:r>
        <w:rPr>
          <w:rFonts w:ascii="Calibri" w:hAnsi="Calibri"/>
          <w:b w:val="0"/>
          <w:i w:val="0"/>
          <w:color w:val="334155"/>
          <w:sz w:val="16"/>
        </w:rPr>
        <w:t>Firewalls, proxies, antivirus software, endpoint protection tools, and organizational security policies may affect installation, connectivity, or operation.</w:t>
      </w:r>
    </w:p>
    <w:p>
      <w:pPr>
        <w:spacing w:after="40"/>
        <w:ind w:left="288"/>
      </w:pPr>
      <w:r>
        <w:rPr>
          <w:rFonts w:ascii="Calibri" w:hAnsi="Calibri"/>
          <w:b/>
          <w:i w:val="0"/>
          <w:color w:val="0F172A"/>
          <w:sz w:val="16"/>
        </w:rPr>
        <w:t xml:space="preserve">6. Deployment Requirements: </w:t>
      </w:r>
      <w:r>
        <w:rPr>
          <w:rFonts w:ascii="Calibri" w:hAnsi="Calibri"/>
          <w:b w:val="0"/>
          <w:i w:val="0"/>
          <w:color w:val="334155"/>
          <w:sz w:val="16"/>
        </w:rPr>
        <w:t>On-premises deployment, high availability, disaster recovery, endpoint scalability, and offline operation must be validated against the actual product architecture and deployment configuration.</w:t>
      </w:r>
    </w:p>
    <w:p>
      <w:pPr>
        <w:spacing w:after="40"/>
        <w:ind w:left="288"/>
      </w:pPr>
      <w:r>
        <w:rPr>
          <w:rFonts w:ascii="Calibri" w:hAnsi="Calibri"/>
          <w:b/>
          <w:i w:val="0"/>
          <w:color w:val="0F172A"/>
          <w:sz w:val="16"/>
        </w:rPr>
        <w:t xml:space="preserve">7. Data Residency: </w:t>
      </w:r>
      <w:r>
        <w:rPr>
          <w:rFonts w:ascii="Calibri" w:hAnsi="Calibri"/>
          <w:b w:val="0"/>
          <w:i w:val="0"/>
          <w:color w:val="334155"/>
          <w:sz w:val="16"/>
        </w:rPr>
        <w:t>Keeping all data, logs, and telemetry within a bank's infrastructure or within India requires appropriate architecture, network restrictions, storage configuration, and verification. This must be confirmed through deployment testing and network-flow validation.</w:t>
      </w:r>
    </w:p>
    <w:p>
      <w:pPr>
        <w:spacing w:after="40"/>
        <w:ind w:left="288"/>
      </w:pPr>
      <w:r>
        <w:rPr>
          <w:rFonts w:ascii="Calibri" w:hAnsi="Calibri"/>
          <w:b/>
          <w:i w:val="0"/>
          <w:color w:val="0F172A"/>
          <w:sz w:val="16"/>
        </w:rPr>
        <w:t xml:space="preserve">8. Third-Party AI Services: </w:t>
      </w:r>
      <w:r>
        <w:rPr>
          <w:rFonts w:ascii="Calibri" w:hAnsi="Calibri"/>
          <w:b w:val="0"/>
          <w:i w:val="0"/>
          <w:color w:val="334155"/>
          <w:sz w:val="16"/>
        </w:rPr>
        <w:t>When users access external AI services, information submitted to those services may be processed according to the respective provider's policies and infrastructure. Raksha monitoring alone does not guarantee that external providers will not retain or process submitted information.</w:t>
      </w:r>
    </w:p>
    <w:p>
      <w:pPr>
        <w:spacing w:after="40"/>
        <w:ind w:left="288"/>
      </w:pPr>
      <w:r>
        <w:rPr>
          <w:rFonts w:ascii="Calibri" w:hAnsi="Calibri"/>
          <w:b/>
          <w:i w:val="0"/>
          <w:color w:val="0F172A"/>
          <w:sz w:val="16"/>
        </w:rPr>
        <w:t xml:space="preserve">9. Compliance Responsibility: </w:t>
      </w:r>
      <w:r>
        <w:rPr>
          <w:rFonts w:ascii="Calibri" w:hAnsi="Calibri"/>
          <w:b w:val="0"/>
          <w:i w:val="0"/>
          <w:color w:val="334155"/>
          <w:sz w:val="16"/>
        </w:rPr>
        <w:t>Raksha can support organizational security and governance processes but does not independently guarantee regulatory compliance or certification.</w:t>
      </w:r>
    </w:p>
    <w:p>
      <w:pPr>
        <w:spacing w:after="40"/>
        <w:ind w:left="288"/>
      </w:pPr>
      <w:r>
        <w:rPr>
          <w:rFonts w:ascii="Calibri" w:hAnsi="Calibri"/>
          <w:b/>
          <w:i w:val="0"/>
          <w:color w:val="0F172A"/>
          <w:sz w:val="16"/>
        </w:rPr>
        <w:t xml:space="preserve">10. Feature Availability: </w:t>
      </w:r>
      <w:r>
        <w:rPr>
          <w:rFonts w:ascii="Calibri" w:hAnsi="Calibri"/>
          <w:b w:val="0"/>
          <w:i w:val="0"/>
          <w:color w:val="334155"/>
          <w:sz w:val="16"/>
        </w:rPr>
        <w:t>Certain features may depend on the product edition, enabled modules, software version, licenses, or administrative configuration.</w:t>
      </w:r>
    </w:p>
    <w:p>
      <w:pPr>
        <w:spacing w:before="80" w:after="80"/>
      </w:pPr>
      <w:r>
        <w:rPr>
          <w:rFonts w:ascii="Calibri" w:hAnsi="Calibri"/>
          <w:b w:val="0"/>
          <w:i/>
          <w:color w:val="64748B"/>
          <w:sz w:val="16"/>
        </w:rPr>
        <w:t>The deployment team should validate the supported environments, security controls, data flows, performance, and recovery procedures before production rollout.</w:t>
      </w:r>
    </w:p>
    <w:sectPr w:rsidR="00FC693F" w:rsidRPr="0006063C" w:rsidSect="00034616">
      <w:headerReference w:type="default" r:id="rId9"/>
      <w:footerReference w:type="default" r:id="rId10"/>
      <w:pgSz w:w="11909" w:h="16834"/>
      <w:pgMar w:top="792" w:right="864" w:bottom="792" w:left="8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94"/>
      <w:gridCol w:w="3394"/>
      <w:gridCol w:w="3394"/>
    </w:tblGrid>
    <w:tr>
      <w:tc>
        <w:tcPr>
          <w:tcW w:type="dxa" w:w="3600"/>
        </w:tcPr>
        <w:p>
          <w:pPr>
            <w:spacing w:after="0"/>
          </w:pPr>
          <w:r>
            <w:rPr>
              <w:rFonts w:ascii="Calibri" w:hAnsi="Calibri"/>
              <w:b/>
              <w:i w:val="0"/>
              <w:color w:val="0F172A"/>
              <w:sz w:val="15"/>
            </w:rPr>
            <w:t>YES PANCHI GROUP OF COMPANIES</w:t>
          </w:r>
        </w:p>
      </w:tc>
      <w:tc>
        <w:tcPr>
          <w:tcW w:type="dxa" w:w="4032"/>
        </w:tcPr>
        <w:p>
          <w:pPr>
            <w:spacing w:after="0"/>
            <w:jc w:val="center"/>
          </w:pPr>
          <w:r>
            <w:rPr>
              <w:rFonts w:ascii="Calibri" w:hAnsi="Calibri"/>
              <w:b w:val="0"/>
              <w:i w:val="0"/>
              <w:color w:val="64748B"/>
              <w:sz w:val="14"/>
            </w:rPr>
            <w:t>CONFIDENTIAL &amp; PROPRIETARY</w:t>
          </w:r>
        </w:p>
      </w:tc>
      <w:tc>
        <w:tcPr>
          <w:tcW w:type="dxa" w:w="2549"/>
        </w:tcPr>
        <w:p>
          <w:pPr>
            <w:spacing w:after="0"/>
            <w:jc w:val="right"/>
          </w:pPr>
          <w:r>
            <w:rPr>
              <w:rFonts w:ascii="Calibri" w:hAnsi="Calibri"/>
              <w:b/>
              <w:i w:val="0"/>
              <w:color w:val="059669"/>
              <w:sz w:val="15"/>
            </w:rPr>
            <w:t xml:space="preserve">Page </w:t>
          </w:r>
          <w:r>
            <w:rPr>
              <w:rFonts w:ascii="Calibri" w:hAnsi="Calibri"/>
              <w:b/>
              <w:i w:val="0"/>
              <w:color w:val="059669"/>
              <w:sz w:val="15"/>
            </w:rPr>
            <w:fldChar w:fldCharType="begin"/>
            <w:instrText xml:space="preserve"> PAGE </w:instrText>
            <w:fldChar w:fldCharType="separate"/>
            <w:fldChar w:fldCharType="end"/>
          </w:r>
          <w:r>
            <w:rPr>
              <w:rFonts w:ascii="Calibri" w:hAnsi="Calibri"/>
              <w:b/>
              <w:i w:val="0"/>
              <w:color w:val="059669"/>
              <w:sz w:val="15"/>
            </w:rPr>
            <w:t xml:space="preserve"> of </w:t>
          </w:r>
          <w:r>
            <w:rPr>
              <w:rFonts w:ascii="Calibri" w:hAnsi="Calibri"/>
              <w:b/>
              <w:i w:val="0"/>
              <w:color w:val="059669"/>
              <w:sz w:val="15"/>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b/>
        <w:i w:val="0"/>
        <w:color w:val="0F172A"/>
        <w:sz w:val="17"/>
      </w:rPr>
      <w:t>YP-RAKSHA v1.5  |  Product Datasheet &amp; Technical Document</w:t>
      <w:br/>
    </w:r>
    <w:r>
      <w:rPr>
        <w:rFonts w:ascii="Calibri" w:hAnsi="Calibri"/>
        <w:b w:val="0"/>
        <w:i/>
        <w:color w:val="64748B"/>
        <w:sz w:val="15"/>
      </w:rPr>
      <w:t>YesPanchi Enterprise AI Security &amp; Governance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