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Display" w:hAnsi="Aptos Display"/>
          <w:b/>
          <w:color w:val="15324B"/>
          <w:sz w:val="48"/>
        </w:rPr>
        <w:t>YP Raksha AI Gateway Client Prerequisites</w:t>
      </w:r>
    </w:p>
    <w:p>
      <w:pPr>
        <w:spacing w:after="180"/>
      </w:pPr>
      <w:r>
        <w:rPr>
          <w:rFonts w:ascii="Aptos" w:hAnsi="Aptos"/>
          <w:color w:val="087E8B"/>
          <w:sz w:val="20"/>
        </w:rPr>
        <w:t>Deployment Readiness Checklist  |  Version 1.0  |  29 October 2026</w:t>
      </w:r>
    </w:p>
    <w:p>
      <w:pPr>
        <w:pStyle w:val="BodyText"/>
        <w:spacing w:before="0" w:after="140" w:line="269" w:lineRule="auto"/>
      </w:pPr>
      <w:r>
        <w:t>This checklist lists the information and access the client should prepare before implementation. Completing it lets both teams confirm the deployment design, connect approved AI providers, set customer and user access, and validate budgets and integrations before go-live.</w:t>
      </w:r>
    </w:p>
    <w:p>
      <w:pPr>
        <w:pStyle w:val="Heading1"/>
        <w:keepNext/>
      </w:pPr>
      <w:r>
        <w:t>1. Select the deployment environment</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096"/>
            <w:vAlign w:val="center"/>
            <w:shd w:fill="15324B"/>
            <w:tcMar>
              <w:top w:w="115" w:type="dxa"/>
              <w:start w:w="130" w:type="dxa"/>
              <w:bottom w:w="115" w:type="dxa"/>
              <w:end w:w="130" w:type="dxa"/>
            </w:tcMar>
          </w:tcPr>
          <w:p>
            <w:pPr>
              <w:spacing w:after="0" w:line="259" w:lineRule="auto"/>
            </w:pPr>
            <w:r/>
            <w:r>
              <w:rPr>
                <w:rFonts w:ascii="Aptos" w:hAnsi="Aptos"/>
                <w:b/>
                <w:color w:val="FFFFFF"/>
                <w:sz w:val="18"/>
              </w:rPr>
              <w:t>Deployment path</w:t>
            </w:r>
          </w:p>
        </w:tc>
        <w:tc>
          <w:tcPr>
            <w:tcW w:type="dxa" w:w="6984"/>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should provide</w:t>
            </w:r>
          </w:p>
        </w:tc>
      </w:tr>
      <w:tr>
        <w:tc>
          <w:tcPr>
            <w:tcW w:type="dxa" w:w="3096"/>
            <w:vAlign w:val="center"/>
            <w:tcMar>
              <w:top w:w="100" w:type="dxa"/>
              <w:start w:w="115" w:type="dxa"/>
              <w:bottom w:w="100" w:type="dxa"/>
              <w:end w:w="115" w:type="dxa"/>
            </w:tcMar>
          </w:tcPr>
          <w:p>
            <w:pPr>
              <w:spacing w:after="0" w:line="259" w:lineRule="auto"/>
            </w:pPr>
            <w:r/>
            <w:r>
              <w:rPr>
                <w:rFonts w:ascii="Aptos" w:hAnsi="Aptos"/>
                <w:b w:val="0"/>
                <w:color w:val="263746"/>
                <w:sz w:val="18"/>
              </w:rPr>
              <w:t>Docker Compose on a client-managed host</w:t>
            </w:r>
          </w:p>
        </w:tc>
        <w:tc>
          <w:tcPr>
            <w:tcW w:type="dxa" w:w="6984"/>
            <w:vAlign w:val="center"/>
            <w:tcMar>
              <w:top w:w="100" w:type="dxa"/>
              <w:start w:w="115" w:type="dxa"/>
              <w:bottom w:w="100" w:type="dxa"/>
              <w:end w:w="115" w:type="dxa"/>
            </w:tcMar>
          </w:tcPr>
          <w:p>
            <w:pPr>
              <w:spacing w:after="0" w:line="259" w:lineRule="auto"/>
            </w:pPr>
            <w:r/>
            <w:r>
              <w:rPr>
                <w:rFonts w:ascii="Aptos" w:hAnsi="Aptos"/>
                <w:b w:val="0"/>
                <w:color w:val="263746"/>
                <w:sz w:val="18"/>
              </w:rPr>
              <w:t>Approved host or VM, Docker Engine and Compose versions, DNS/TLS termination plan, persistent data location, and administrator access for installation.</w:t>
            </w:r>
          </w:p>
        </w:tc>
      </w:tr>
      <w:tr>
        <w:tc>
          <w:tcPr>
            <w:tcW w:type="dxa" w:w="3096"/>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Kubernetes with Helm</w:t>
            </w:r>
          </w:p>
        </w:tc>
        <w:tc>
          <w:tcPr>
            <w:tcW w:type="dxa" w:w="6984"/>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Cluster and namespace access, Kubernetes and Helm versions, ingress/load-balancer plan, storage class or approved persistent volumes, and permission to pull the approved image.</w:t>
            </w:r>
          </w:p>
        </w:tc>
      </w:tr>
    </w:tbl>
    <w:p>
      <w:pPr>
        <w:spacing w:after="20"/>
      </w:pPr>
    </w:p>
    <w:p>
      <w:pPr>
        <w:pStyle w:val="BodyText"/>
        <w:spacing w:before="0" w:after="100" w:line="269" w:lineRule="auto"/>
      </w:pPr>
      <w:r>
        <w:t>Please identify the environments required (for example, development, UAT, and production), the hosting region, data-residency constraints, and who will operate each environment. The delivery team will confirm version compatibility and the deployment design before installation.</w:t>
      </w:r>
    </w:p>
    <w:p>
      <w:pPr>
        <w:pStyle w:val="Heading1"/>
        <w:keepNext/>
      </w:pPr>
      <w:r>
        <w:t>2. Provide workload and availability estimates</w:t>
      </w:r>
    </w:p>
    <w:p>
      <w:pPr>
        <w:pStyle w:val="ListBullet"/>
        <w:spacing w:after="60" w:line="259" w:lineRule="auto"/>
        <w:ind w:left="317" w:hanging="202"/>
      </w:pPr>
      <w:r>
        <w:t>Expected named users, connected applications, average requests per minute, peak concurrent requests, and expected growth.</w:t>
      </w:r>
    </w:p>
    <w:p>
      <w:pPr>
        <w:pStyle w:val="ListBullet"/>
        <w:spacing w:after="60" w:line="259" w:lineRule="auto"/>
        <w:ind w:left="317" w:hanging="202"/>
      </w:pPr>
      <w:r>
        <w:t>Typical and maximum prompt/context sizes, expected model mix, and whether streaming responses are required.</w:t>
      </w:r>
    </w:p>
    <w:p>
      <w:pPr>
        <w:pStyle w:val="ListBullet"/>
        <w:spacing w:after="60" w:line="259" w:lineRule="auto"/>
        <w:ind w:left="317" w:hanging="202"/>
      </w:pPr>
      <w:r>
        <w:t>Required availability, recovery time objective (RTO), recovery point objective (RPO), maintenance window, and backup owner.</w:t>
      </w:r>
    </w:p>
    <w:p>
      <w:pPr>
        <w:pStyle w:val="BodyText"/>
        <w:spacing w:before="0" w:after="80" w:line="269" w:lineRule="auto"/>
      </w:pPr>
      <w:r>
        <w:t>Final CPU, memory, and storage capacity must be sized against these inputs. The Helm chart includes starter resource settings (Gateway request 0.5 vCPU/512 MiB, limit 2 vCPU/2 GiB, and SQLite persistence 10 GiB); these are configuration defaults, not a confirmed production capacity recommendation.</w:t>
      </w:r>
    </w:p>
    <w:p>
      <w:pPr>
        <w:pStyle w:val="Heading1"/>
        <w:keepNext/>
      </w:pPr>
      <w:r>
        <w:t>3. Prepare network, DNS, and TLS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3168"/>
            <w:vAlign w:val="center"/>
            <w:shd w:fill="15324B"/>
            <w:tcMar>
              <w:top w:w="115" w:type="dxa"/>
              <w:start w:w="130" w:type="dxa"/>
              <w:bottom w:w="115" w:type="dxa"/>
              <w:end w:w="130" w:type="dxa"/>
            </w:tcMar>
          </w:tcPr>
          <w:p>
            <w:pPr>
              <w:spacing w:after="0" w:line="259" w:lineRule="auto"/>
            </w:pPr>
            <w:r/>
            <w:r>
              <w:rPr>
                <w:rFonts w:ascii="Aptos" w:hAnsi="Aptos"/>
                <w:b/>
                <w:color w:val="FFFFFF"/>
                <w:sz w:val="18"/>
              </w:rPr>
              <w:t>Connection</w:t>
            </w:r>
          </w:p>
        </w:tc>
        <w:tc>
          <w:tcPr>
            <w:tcW w:type="dxa" w:w="6912"/>
            <w:vAlign w:val="center"/>
            <w:shd w:fill="15324B"/>
            <w:tcMar>
              <w:top w:w="115" w:type="dxa"/>
              <w:start w:w="130" w:type="dxa"/>
              <w:bottom w:w="115" w:type="dxa"/>
              <w:end w:w="130" w:type="dxa"/>
            </w:tcMar>
          </w:tcPr>
          <w:p>
            <w:pPr>
              <w:spacing w:after="0" w:line="259" w:lineRule="auto"/>
            </w:pPr>
            <w:r/>
            <w:r>
              <w:rPr>
                <w:rFonts w:ascii="Aptos" w:hAnsi="Aptos"/>
                <w:b/>
                <w:color w:val="FFFFFF"/>
                <w:sz w:val="18"/>
              </w:rPr>
              <w:t>Required client input</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Users and applications → Gateway</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Approved service FQDN, internal/public exposure decision, HTTPS certificate or ingress TLS owner, and allowed client/VPN networks.</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AI providers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HTTPS egress to the selected provider endpoints, regions, and any approved corporate proxy or private endpoints.</w:t>
            </w:r>
          </w:p>
        </w:tc>
      </w:tr>
      <w:tr>
        <w:tc>
          <w:tcPr>
            <w:tcW w:type="dxa" w:w="3168"/>
            <w:vAlign w:val="center"/>
            <w:tcMar>
              <w:top w:w="100" w:type="dxa"/>
              <w:start w:w="115" w:type="dxa"/>
              <w:bottom w:w="100" w:type="dxa"/>
              <w:end w:w="115" w:type="dxa"/>
            </w:tcMar>
          </w:tcPr>
          <w:p>
            <w:pPr>
              <w:spacing w:after="0" w:line="259" w:lineRule="auto"/>
            </w:pPr>
            <w:r/>
            <w:r>
              <w:rPr>
                <w:rFonts w:ascii="Aptos" w:hAnsi="Aptos"/>
                <w:b w:val="0"/>
                <w:color w:val="263746"/>
                <w:sz w:val="18"/>
              </w:rPr>
              <w:t>Gateway → data and identity services</w:t>
            </w:r>
          </w:p>
        </w:tc>
        <w:tc>
          <w:tcPr>
            <w:tcW w:type="dxa" w:w="6912"/>
            <w:vAlign w:val="center"/>
            <w:tcMar>
              <w:top w:w="100" w:type="dxa"/>
              <w:start w:w="115" w:type="dxa"/>
              <w:bottom w:w="100" w:type="dxa"/>
              <w:end w:w="115" w:type="dxa"/>
            </w:tcMar>
          </w:tcPr>
          <w:p>
            <w:pPr>
              <w:spacing w:after="0" w:line="259" w:lineRule="auto"/>
            </w:pPr>
            <w:r/>
            <w:r>
              <w:rPr>
                <w:rFonts w:ascii="Aptos" w:hAnsi="Aptos"/>
                <w:b w:val="0"/>
                <w:color w:val="263746"/>
                <w:sz w:val="18"/>
              </w:rPr>
              <w:t>Routes and firewall rules to the selected database, identity provider, DNS/NTP, and secret manager.</w:t>
            </w:r>
          </w:p>
        </w:tc>
      </w:tr>
      <w:tr>
        <w:tc>
          <w:tcPr>
            <w:tcW w:type="dxa" w:w="3168"/>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Gateway → optional integrations</w:t>
            </w:r>
          </w:p>
        </w:tc>
        <w:tc>
          <w:tcPr>
            <w:tcW w:type="dxa" w:w="6912"/>
            <w:vAlign w:val="center"/>
            <w:tcMar>
              <w:top w:w="100" w:type="dxa"/>
              <w:start w:w="115" w:type="dxa"/>
              <w:bottom w:w="100" w:type="dxa"/>
              <w:end w:w="115" w:type="dxa"/>
            </w:tcMar>
            <w:shd w:fill="F5F8FA"/>
          </w:tcPr>
          <w:p>
            <w:pPr>
              <w:spacing w:after="0" w:line="259" w:lineRule="auto"/>
            </w:pPr>
            <w:r/>
            <w:r>
              <w:rPr>
                <w:rFonts w:ascii="Aptos" w:hAnsi="Aptos"/>
                <w:b w:val="0"/>
                <w:color w:val="263746"/>
                <w:sz w:val="18"/>
              </w:rPr>
              <w:t>Outbound routes to approved MCP servers, telemetry collectors, object storage, or email services if those features are in scope.</w:t>
            </w:r>
          </w:p>
        </w:tc>
      </w:tr>
    </w:tbl>
    <w:p>
      <w:pPr>
        <w:spacing w:after="20"/>
      </w:pPr>
    </w:p>
    <w:p>
      <w:pPr>
        <w:pStyle w:val="BodyText"/>
        <w:spacing w:before="0" w:after="60" w:line="269" w:lineRule="auto"/>
      </w:pPr>
      <w:r>
        <w:t>Provide proxy details, custom CA certificates, firewall change contacts, and the expected ports/protocols. Keep databases and administrative endpoints private; the final allowlist will be agreed during design.</w:t>
      </w:r>
    </w:p>
    <w:p>
      <w:r>
        <w:br w:type="page"/>
      </w:r>
    </w:p>
    <w:p>
      <w:pPr>
        <w:pStyle w:val="Heading1"/>
        <w:keepNext/>
      </w:pPr>
      <w:r>
        <w:t>4. Confirm database, persistence, and backup</w:t>
      </w:r>
    </w:p>
    <w:p>
      <w:pPr>
        <w:pStyle w:val="ListBullet"/>
        <w:spacing w:after="60" w:line="259" w:lineRule="auto"/>
        <w:ind w:left="317" w:hanging="202"/>
      </w:pPr>
      <w:r>
        <w:t>Name the approved database engine and version, endpoint, port, database name, service account, TLS mode, and network owner. The deployment templates support SQLite and PostgreSQL storage; the environment example also lists MySQL and MariaDB, which should be confirmed for the chosen deployment path before selection.</w:t>
      </w:r>
    </w:p>
    <w:p>
      <w:pPr>
        <w:pStyle w:val="ListBullet"/>
        <w:spacing w:after="60" w:line="259" w:lineRule="auto"/>
        <w:ind w:left="317" w:hanging="202"/>
      </w:pPr>
      <w:r>
        <w:t>For SQLite, provide a persistent volume and backup plan. For PostgreSQL, provide an approved managed instance or confirm whether the deployment will host it.</w:t>
      </w:r>
    </w:p>
    <w:p>
      <w:pPr>
        <w:pStyle w:val="ListBullet"/>
        <w:spacing w:after="60" w:line="259" w:lineRule="auto"/>
        <w:ind w:left="317" w:hanging="202"/>
      </w:pPr>
      <w:r>
        <w:t>Set database capacity and log retention from the expected request volume; define backup frequency, retention, encryption, restore testing, and the responsible team.</w:t>
      </w:r>
    </w:p>
    <w:p>
      <w:pPr>
        <w:pStyle w:val="ListBullet"/>
        <w:spacing w:after="60" w:line="259" w:lineRule="auto"/>
        <w:ind w:left="317" w:hanging="202"/>
      </w:pPr>
      <w:r>
        <w:t>If log payloads are large or retained externally, provide the approved S3/GCS-compatible bucket, region, access method, and retention policy.</w:t>
      </w:r>
    </w:p>
    <w:p>
      <w:pPr>
        <w:pStyle w:val="Heading1"/>
        <w:keepNext/>
      </w:pPr>
      <w:r>
        <w:t>5. Prepare authentication and secure secret delivery</w:t>
      </w:r>
    </w:p>
    <w:p>
      <w:pPr>
        <w:pStyle w:val="ListBullet"/>
        <w:spacing w:after="60" w:line="259" w:lineRule="auto"/>
        <w:ind w:left="317" w:hanging="202"/>
      </w:pPr>
      <w:r>
        <w:t>Nominate a client technical owner and an initial administrator mailbox. Provide a secure way to deliver initial administrator credentials and the platform encryption secret.</w:t>
      </w:r>
    </w:p>
    <w:p>
      <w:pPr>
        <w:pStyle w:val="ListBullet"/>
        <w:spacing w:after="60" w:line="259" w:lineRule="auto"/>
        <w:ind w:left="317" w:hanging="202"/>
      </w:pPr>
      <w:r>
        <w:t>If SSO is required, provide the identity provider, tenant/issuer URL, client ID, redirect URI approval, signing/certificate details, and a test account. If SCIM is required, provide the provisioning endpoint/token and attribute-to-user/team/role mappings.</w:t>
      </w:r>
    </w:p>
    <w:p>
      <w:pPr>
        <w:pStyle w:val="ListBullet"/>
        <w:spacing w:after="60" w:line="259" w:lineRule="auto"/>
        <w:ind w:left="317" w:hanging="202"/>
      </w:pPr>
      <w:r>
        <w:t>Use the client-approved secret manager or encrypted transfer channel for provider keys, database passwords, OAuth secrets, and shared agent secrets. Do not place live secrets in this checklist or ordinary email.</w:t>
      </w:r>
    </w:p>
    <w:p>
      <w:pPr>
        <w:pStyle w:val="ListBullet"/>
        <w:spacing w:after="60" w:line="259" w:lineRule="auto"/>
        <w:ind w:left="317" w:hanging="202"/>
      </w:pPr>
      <w:r>
        <w:t>Provide the security contact and standards for key rotation, administrator access, emergency revocation, and audit review.</w:t>
      </w:r>
    </w:p>
    <w:p>
      <w:pPr>
        <w:pStyle w:val="Heading1"/>
        <w:keepNext/>
      </w:pPr>
      <w:r>
        <w:t>6. Provide the organization and access model</w:t>
      </w:r>
    </w:p>
    <w:p>
      <w:pPr>
        <w:pStyle w:val="ListBullet"/>
        <w:spacing w:after="60" w:line="259" w:lineRule="auto"/>
        <w:ind w:left="317" w:hanging="202"/>
      </w:pPr>
      <w:r>
        <w:t>Supply the customer, business-unit, and team hierarchy, plus an approved user roster with name, work email, team/customer assignment, and requested role.</w:t>
      </w:r>
    </w:p>
    <w:p>
      <w:pPr>
        <w:pStyle w:val="ListBullet"/>
        <w:spacing w:after="60" w:line="259" w:lineRule="auto"/>
        <w:ind w:left="317" w:hanging="202"/>
      </w:pPr>
      <w:r>
        <w:t>For each role or user group, specify which workspace features they may view and which actions they may perform. Call out any user who needs permissions beyond the standard view access.</w:t>
      </w:r>
    </w:p>
    <w:p>
      <w:pPr>
        <w:pStyle w:val="ListBullet"/>
        <w:spacing w:after="60" w:line="259" w:lineRule="auto"/>
        <w:ind w:left="317" w:hanging="202"/>
      </w:pPr>
      <w:r>
        <w:t>Identify who can create and administer users, teams, virtual keys, provider/model assignments, prompts, MCP tools, and budgets.</w:t>
      </w:r>
    </w:p>
    <w:p>
      <w:pPr>
        <w:pStyle w:val="ListBullet"/>
        <w:spacing w:after="60" w:line="259" w:lineRule="auto"/>
        <w:ind w:left="317" w:hanging="202"/>
      </w:pPr>
      <w:r>
        <w:t>Confirm whether users are created manually or synchronized from the client identity provider, and who approves account changes.</w:t>
      </w:r>
    </w:p>
    <w:p>
      <w:pPr>
        <w:pStyle w:val="Heading1"/>
        <w:keepNext/>
      </w:pPr>
      <w:r>
        <w:t>7. Prepare AI provider and model access</w:t>
      </w:r>
    </w:p>
    <w:p>
      <w:pPr>
        <w:pStyle w:val="ListBullet"/>
        <w:spacing w:after="60" w:line="259" w:lineRule="auto"/>
        <w:ind w:left="317" w:hanging="202"/>
      </w:pPr>
      <w:r>
        <w:t>List the approved providers and model IDs, service regions, API base URLs or private endpoints, required model capabilities, and any provider-specific deployment names.</w:t>
      </w:r>
    </w:p>
    <w:p>
      <w:pPr>
        <w:pStyle w:val="ListBullet"/>
        <w:spacing w:after="60" w:line="259" w:lineRule="auto"/>
        <w:ind w:left="317" w:hanging="202"/>
      </w:pPr>
      <w:r>
        <w:t>Create provider accounts with active billing, suitable quotas/rate limits, and credentials scoped to the environment. Identify the owner who can rotate or revoke each credential.</w:t>
      </w:r>
    </w:p>
    <w:p>
      <w:pPr>
        <w:pStyle w:val="ListBullet"/>
        <w:spacing w:after="60" w:line="259" w:lineRule="auto"/>
        <w:ind w:left="317" w:hanging="202"/>
      </w:pPr>
      <w:r>
        <w:t>Provide any cloud role/project details required for managed provider access, such as AWS IAM/Bedrock or Google Cloud/Vertex AI. Confirm outbound network access from the Gateway host.</w:t>
      </w:r>
    </w:p>
    <w:p>
      <w:pPr>
        <w:pStyle w:val="ListBullet"/>
        <w:spacing w:after="60" w:line="259" w:lineRule="auto"/>
        <w:ind w:left="317" w:hanging="202"/>
      </w:pPr>
      <w:r>
        <w:t>Provide a mapping from customer/team/user to the virtual key and approved provider/model set. Share fallback model preferences and any region, data-use, or retention restrictions.</w:t>
      </w:r>
    </w:p>
    <w:p>
      <w:r>
        <w:br w:type="page"/>
      </w:r>
    </w:p>
    <w:p>
      <w:pPr>
        <w:pStyle w:val="Heading1"/>
        <w:keepNext/>
      </w:pPr>
      <w:r>
        <w:t>8. Identify optional features and their inputs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2880"/>
            <w:vAlign w:val="center"/>
            <w:shd w:fill="15324B"/>
            <w:tcMar>
              <w:top w:w="115" w:type="dxa"/>
              <w:start w:w="130" w:type="dxa"/>
              <w:bottom w:w="115" w:type="dxa"/>
              <w:end w:w="130" w:type="dxa"/>
            </w:tcMar>
          </w:tcPr>
          <w:p>
            <w:pPr>
              <w:spacing w:after="0" w:line="259" w:lineRule="auto"/>
            </w:pPr>
            <w:r/>
            <w:r>
              <w:rPr>
                <w:rFonts w:ascii="Aptos" w:hAnsi="Aptos"/>
                <w:b/>
                <w:color w:val="FFFFFF"/>
                <w:sz w:val="18"/>
              </w:rPr>
              <w:t>Feature (if in scope)</w:t>
            </w:r>
          </w:p>
        </w:tc>
        <w:tc>
          <w:tcPr>
            <w:tcW w:type="dxa" w:w="720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Client-provided inputs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MCP tools and servers</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Server URL/host, transport, authentication method, approved tool list, TLS trust requirements, and test account. Confirm the Gateway can reach the server.</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Prompt and skills repositories</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prompt/skill content, owners, versioning/review process, allowed models, and any sensitive-data restrictions.</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Browser Guard</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Managed endpoint/browser rollout plan, proxy or PAC requirements, certificate trust plan where applicable, and secure agent-to-Gateway secret provisioning.</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SSO/SCIM</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Identity provider settings, test identities/groups, approved attribute mappings, and provisioning ownership.</w:t>
            </w:r>
          </w:p>
        </w:tc>
      </w:tr>
      <w:tr>
        <w:tc>
          <w:tcPr>
            <w:tcW w:type="dxa" w:w="2880"/>
            <w:vAlign w:val="center"/>
            <w:tcMar>
              <w:top w:w="100" w:type="dxa"/>
              <w:start w:w="115" w:type="dxa"/>
              <w:bottom w:w="100" w:type="dxa"/>
              <w:end w:w="115" w:type="dxa"/>
            </w:tcMar>
          </w:tcPr>
          <w:p>
            <w:pPr>
              <w:spacing w:after="0" w:line="259" w:lineRule="auto"/>
            </w:pPr>
            <w:r/>
            <w:r>
              <w:rPr>
                <w:rFonts w:ascii="Aptos" w:hAnsi="Aptos"/>
                <w:b w:val="0"/>
                <w:color w:val="263746"/>
                <w:sz w:val="17"/>
              </w:rPr>
              <w:t>Telemetry and alerting</w:t>
            </w:r>
          </w:p>
        </w:tc>
        <w:tc>
          <w:tcPr>
            <w:tcW w:type="dxa" w:w="7200"/>
            <w:vAlign w:val="center"/>
            <w:tcMar>
              <w:top w:w="100" w:type="dxa"/>
              <w:start w:w="115" w:type="dxa"/>
              <w:bottom w:w="100" w:type="dxa"/>
              <w:end w:w="115" w:type="dxa"/>
            </w:tcMar>
          </w:tcPr>
          <w:p>
            <w:pPr>
              <w:spacing w:after="0" w:line="259" w:lineRule="auto"/>
            </w:pPr>
            <w:r/>
            <w:r>
              <w:rPr>
                <w:rFonts w:ascii="Aptos" w:hAnsi="Aptos"/>
                <w:b w:val="0"/>
                <w:color w:val="263746"/>
                <w:sz w:val="17"/>
              </w:rPr>
              <w:t>Collector/Datadog endpoint, authentication headers or secret reference, TLS trust, required metrics/traces, and alert recipients.</w:t>
            </w:r>
          </w:p>
        </w:tc>
      </w:tr>
      <w:tr>
        <w:tc>
          <w:tcPr>
            <w:tcW w:type="dxa" w:w="288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Redis, semantic cache, or object storage</w:t>
            </w:r>
          </w:p>
        </w:tc>
        <w:tc>
          <w:tcPr>
            <w:tcW w:type="dxa" w:w="7200"/>
            <w:vAlign w:val="center"/>
            <w:tcMar>
              <w:top w:w="100" w:type="dxa"/>
              <w:start w:w="115" w:type="dxa"/>
              <w:bottom w:w="100" w:type="dxa"/>
              <w:end w:w="115" w:type="dxa"/>
            </w:tcMar>
            <w:shd w:fill="F5F8FA"/>
          </w:tcPr>
          <w:p>
            <w:pPr>
              <w:spacing w:after="0" w:line="259" w:lineRule="auto"/>
            </w:pPr>
            <w:r/>
            <w:r>
              <w:rPr>
                <w:rFonts w:ascii="Aptos" w:hAnsi="Aptos"/>
                <w:b w:val="0"/>
                <w:color w:val="263746"/>
                <w:sz w:val="17"/>
              </w:rPr>
              <w:t>Approved service endpoint, authentication/TLS details, network access, data region, and retention controls.</w:t>
            </w:r>
          </w:p>
        </w:tc>
      </w:tr>
    </w:tbl>
    <w:p>
      <w:pPr>
        <w:spacing w:after="20"/>
      </w:pPr>
    </w:p>
    <w:p>
      <w:pPr>
        <w:pStyle w:val="Heading1"/>
        <w:keepNext/>
      </w:pPr>
      <w:r>
        <w:t>9. Agree budgets, logging, and data handling</w:t>
      </w:r>
    </w:p>
    <w:p>
      <w:pPr>
        <w:pStyle w:val="ListBullet"/>
        <w:spacing w:after="60" w:line="259" w:lineRule="auto"/>
        <w:ind w:left="317" w:hanging="202"/>
      </w:pPr>
      <w:r>
        <w:t>For each customer, business unit, team, user, virtual key, or provider budget in scope, provide the owner, limit, currency/unit, reset period, and escalation contact.</w:t>
      </w:r>
    </w:p>
    <w:p>
      <w:pPr>
        <w:pStyle w:val="ListBullet"/>
        <w:spacing w:after="60" w:line="259" w:lineRule="auto"/>
        <w:ind w:left="317" w:hanging="202"/>
      </w:pPr>
      <w:r>
        <w:t>Confirm model pricing assumptions, budget warning/blocked behavior, and who may change limits. Identify whether different customer groups require separate quotas.</w:t>
      </w:r>
    </w:p>
    <w:p>
      <w:pPr>
        <w:pStyle w:val="ListBullet"/>
        <w:spacing w:after="60" w:line="259" w:lineRule="auto"/>
        <w:ind w:left="317" w:hanging="202"/>
      </w:pPr>
      <w:r>
        <w:t>Decide whether request/response content may be logged, which fields must be redacted, where logs may be stored, who can view them, and the retention period.</w:t>
      </w:r>
    </w:p>
    <w:p>
      <w:pPr>
        <w:pStyle w:val="ListBullet"/>
        <w:spacing w:after="60" w:line="259" w:lineRule="auto"/>
        <w:ind w:left="317" w:hanging="202"/>
      </w:pPr>
      <w:r>
        <w:t>Confirm data residency, privacy classification, audit requirements, and whether content may be sent to each selected provider or MCP server.</w:t>
      </w:r>
    </w:p>
    <w:p>
      <w:pPr>
        <w:pStyle w:val="Heading1"/>
        <w:keepNext/>
      </w:pPr>
      <w:r>
        <w:t>10. Ownership and go-live checks</w:t>
      </w:r>
    </w:p>
    <w:tbl>
      <w:tblPr>
        <w:tblW w:type="auto" w:w="0"/>
        <w:jc w:val="center"/>
        <w:tblLayout w:type="fixed"/>
        <w:tblLook w:firstColumn="1" w:firstRow="1" w:lastColumn="0" w:lastRow="0" w:noHBand="0" w:noVBand="1" w:val="04A0"/>
        <w:tblBorders>
          <w:top w:val="single" w:sz="5" w:space="0" w:color="D9E0E5"/>
          <w:left w:val="single" w:sz="5" w:space="0" w:color="D9E0E5"/>
          <w:bottom w:val="single" w:sz="5" w:space="0" w:color="D9E0E5"/>
          <w:right w:val="single" w:sz="5" w:space="0" w:color="D9E0E5"/>
          <w:insideH w:val="single" w:sz="5" w:space="0" w:color="D9E0E5"/>
          <w:insideV w:val="single" w:sz="5" w:space="0" w:color="D9E0E5"/>
        </w:tblBorders>
      </w:tblPr>
      <w:tblGrid>
        <w:gridCol w:w="5083"/>
        <w:gridCol w:w="5083"/>
      </w:tblGrid>
      <w:tr>
        <w:trPr>
          <w:tblHeader w:val="true"/>
        </w:trPr>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Client team</w:t>
            </w:r>
          </w:p>
        </w:tc>
        <w:tc>
          <w:tcPr>
            <w:tcW w:type="dxa" w:w="5040"/>
            <w:vAlign w:val="center"/>
            <w:shd w:fill="15324B"/>
            <w:tcMar>
              <w:top w:w="115" w:type="dxa"/>
              <w:start w:w="130" w:type="dxa"/>
              <w:bottom w:w="115" w:type="dxa"/>
              <w:end w:w="130" w:type="dxa"/>
            </w:tcMar>
          </w:tcPr>
          <w:p>
            <w:pPr>
              <w:spacing w:after="0" w:line="259" w:lineRule="auto"/>
            </w:pPr>
            <w:r/>
            <w:r>
              <w:rPr>
                <w:rFonts w:ascii="Aptos" w:hAnsi="Aptos"/>
                <w:b/>
                <w:color w:val="FFFFFF"/>
                <w:sz w:val="18"/>
              </w:rPr>
              <w:t>Implementation team</w:t>
            </w:r>
          </w:p>
        </w:tc>
      </w:tr>
      <w:tr>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Provide approved infrastructure, network paths, database/storage, identity configuration, provider accounts, organization roster, role matrix, budget rules, and data policies.</w:t>
            </w:r>
          </w:p>
        </w:tc>
        <w:tc>
          <w:tcPr>
            <w:tcW w:type="dxa" w:w="5040"/>
            <w:vAlign w:val="center"/>
            <w:tcMar>
              <w:top w:w="100" w:type="dxa"/>
              <w:start w:w="115" w:type="dxa"/>
              <w:bottom w:w="100" w:type="dxa"/>
              <w:end w:w="115" w:type="dxa"/>
            </w:tcMar>
          </w:tcPr>
          <w:p>
            <w:pPr>
              <w:spacing w:after="0" w:line="259" w:lineRule="auto"/>
            </w:pPr>
            <w:r/>
            <w:r>
              <w:rPr>
                <w:rFonts w:ascii="Aptos" w:hAnsi="Aptos"/>
                <w:b w:val="0"/>
                <w:color w:val="263746"/>
                <w:sz w:val="18"/>
              </w:rPr>
              <w:t>Confirm deployment versions and sizing, deploy the agreed environment, configure access and integrations, and run the jointly agreed acceptance checks.</w:t>
            </w:r>
          </w:p>
        </w:tc>
      </w:tr>
    </w:tbl>
    <w:p>
      <w:pPr>
        <w:spacing w:after="20"/>
      </w:pPr>
    </w:p>
    <w:p>
      <w:pPr>
        <w:pStyle w:val="BodyText"/>
        <w:spacing w:before="0" w:after="60" w:line="269" w:lineRule="auto"/>
      </w:pPr>
      <w:r>
        <w:t>Before go-live, both teams should review and record the results of these checks:</w:t>
      </w:r>
    </w:p>
    <w:p>
      <w:pPr>
        <w:pStyle w:val="BodyText"/>
        <w:spacing w:after="60" w:line="252" w:lineRule="auto"/>
        <w:ind w:left="115"/>
      </w:pPr>
      <w:r>
        <w:rPr>
          <w:rFonts w:ascii="Segoe UI Symbol" w:hAnsi="Segoe UI Symbol"/>
        </w:rPr>
        <w:t>☐  Admin and standard-user login, organization/team mapping, and assigned workspace visibility.</w:t>
      </w:r>
    </w:p>
    <w:p>
      <w:pPr>
        <w:pStyle w:val="BodyText"/>
        <w:spacing w:after="60" w:line="252" w:lineRule="auto"/>
        <w:ind w:left="115"/>
      </w:pPr>
      <w:r>
        <w:rPr>
          <w:rFonts w:ascii="Segoe UI Symbol" w:hAnsi="Segoe UI Symbol"/>
        </w:rPr>
        <w:t>☐  A view-only user can view the assigned features, while unauthorized write actions are rejected; any explicit extra permissions are confirmed.</w:t>
      </w:r>
    </w:p>
    <w:p>
      <w:pPr>
        <w:pStyle w:val="BodyText"/>
        <w:spacing w:after="60" w:line="252" w:lineRule="auto"/>
        <w:ind w:left="115"/>
      </w:pPr>
      <w:r>
        <w:rPr>
          <w:rFonts w:ascii="Segoe UI Symbol" w:hAnsi="Segoe UI Symbol"/>
        </w:rPr>
        <w:t>☐  Approved virtual key, provider, and model assignments work from a client test application; unapproved assignments are unavailable.</w:t>
      </w:r>
    </w:p>
    <w:p>
      <w:pPr>
        <w:pStyle w:val="BodyText"/>
        <w:spacing w:after="60" w:line="252" w:lineRule="auto"/>
        <w:ind w:left="115"/>
      </w:pPr>
      <w:r>
        <w:rPr>
          <w:rFonts w:ascii="Segoe UI Symbol" w:hAnsi="Segoe UI Symbol"/>
        </w:rPr>
        <w:t>☐  Budget usage and limit behavior are verified using agreed test cases.</w:t>
      </w:r>
    </w:p>
    <w:p>
      <w:pPr>
        <w:pStyle w:val="BodyText"/>
        <w:spacing w:after="60" w:line="252" w:lineRule="auto"/>
        <w:ind w:left="115"/>
      </w:pPr>
      <w:r>
        <w:rPr>
          <w:rFonts w:ascii="Segoe UI Symbol" w:hAnsi="Segoe UI Symbol"/>
        </w:rPr>
        <w:t>☐  Each in-scope MCP integration, prompt/skill, SSO/SCIM, logging, and alerting path is validated.</w:t>
      </w:r>
    </w:p>
    <w:p>
      <w:pPr>
        <w:pStyle w:val="BodyText"/>
        <w:spacing w:after="60" w:line="252" w:lineRule="auto"/>
        <w:ind w:left="115"/>
      </w:pPr>
      <w:r>
        <w:rPr>
          <w:rFonts w:ascii="Segoe UI Symbol" w:hAnsi="Segoe UI Symbol"/>
        </w:rPr>
        <w:t>☐  Backups, restore ownership, support contacts, incident escalation, and production handover are accepted.</w:t>
      </w:r>
    </w:p>
    <w:p>
      <w:pPr>
        <w:pStyle w:val="BodyText"/>
        <w:spacing w:before="100" w:after="0" w:line="269" w:lineRule="auto"/>
      </w:pPr>
      <w:r>
        <w:t>Client delivery contact: ______________________________    Target readiness date: __________________</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B6B76"/>
        <w:sz w:val="16"/>
      </w:rPr>
      <w:t>Client Prerequisites  •  29 October 2026</w:t>
    </w:r>
  </w:p>
  <w:p>
    <w:pPr>
      <w:jc w:val="right"/>
    </w:pPr>
    <w:r>
      <w:rPr>
        <w:rFonts w:ascii="Aptos" w:hAnsi="Aptos"/>
        <w:color w:val="5B6B76"/>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YP RAKSHA  |  CLIENT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87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ptos" w:hAnsi="Aptos"/>
      <w:color w:val="2637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6374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 Raksha AI Gateway Client Prerequisites</dc:title>
  <dc:subject>Client deployment readiness checklist</dc:subject>
  <dc:creator>YP-Raksha Implementation Team</dc:creator>
  <cp:keywords>AI Gateway, client prerequisites, deployment, readiness</cp:keywords>
  <dc:description>generated by python-docx</dc:description>
  <cp:lastModifiedBy/>
  <cp:revision>1</cp:revision>
  <dcterms:created xsi:type="dcterms:W3CDTF">2013-12-23T23:15:00Z</dcterms:created>
  <dcterms:modified xsi:type="dcterms:W3CDTF">2013-12-23T23:15:00Z</dcterms:modified>
  <cp:category/>
</cp:coreProperties>
</file>