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PhytoSense++</w:t>
      </w:r>
    </w:p>
    <w:p>
      <w:pPr>
        <w:spacing w:after="60"/>
      </w:pPr>
      <w:r>
        <w:rPr>
          <w:i/>
          <w:iCs/>
          <w:sz w:val="30"/>
          <w:szCs w:val="30"/>
        </w:rPr>
        <w:t xml:space="preserve">Complete Execution Plan: Build → Patent → Publication</w:t>
      </w:r>
    </w:p>
    <w:p>
      <w:pPr>
        <w:spacing w:after="120"/>
      </w:pPr>
      <w:r>
        <w:rPr>
          <w:color w:val="555555"/>
          <w:sz w:val="22"/>
          <w:szCs w:val="22"/>
        </w:rPr>
        <w:t xml:space="preserve">Team of 3 · Faculty-Supported · Embedded Systems Project (VIT Chennai)</w:t>
      </w:r>
    </w:p>
    <w:p>
      <w:pPr>
        <w:spacing w:after="120"/>
      </w:pPr>
      <w:r>
        <w:rPr>
          <w:sz w:val="22"/>
          <w:szCs w:val="22"/>
        </w:rPr>
        <w:t xml:space="preserve">Multimodal edge-AI framework for early plant stress prediction, explainable diagnosis, autonomous precision irrigation, and predictive crop-health analytics.</w:t>
      </w:r>
    </w:p>
    <w:p>
      <w:r>
        <w:br w:type="page"/>
      </w:r>
    </w:p>
    <w:p>
      <w:pPr>
        <w:pStyle w:val="Heading1"/>
        <w:spacing w:after="160" w:before="320"/>
      </w:pPr>
      <w:r>
        <w:t xml:space="preserve">1. Project Overview</w:t>
      </w:r>
    </w:p>
    <w:p>
      <w:pPr>
        <w:spacing w:after="120"/>
      </w:pPr>
      <w:r>
        <w:t xml:space="preserve">PhytoSense++ is a non-invasive, clip-on device that reads a plant's own bioelectric signal (via surface electrodes on leaf/stem) alongside soil moisture, temperature, humidity, and light. Instead of a fixed population threshold, it learns that specific plant's normal signal pattern on-device and flags deviation as early stress — before visible symptoms appear.</w:t>
      </w:r>
    </w:p>
    <w:p>
      <w:pPr>
        <w:pStyle w:val="Heading2"/>
        <w:spacing w:after="120" w:before="240"/>
      </w:pPr>
      <w:r>
        <w:t xml:space="preserve">Four core contributions (the novelty basis)</w:t>
      </w:r>
    </w:p>
    <w:p>
      <w:pPr>
        <w:pStyle w:val="ListParagraph"/>
        <w:numPr>
          <w:ilvl w:val="0"/>
          <w:numId w:val="2"/>
        </w:numPr>
        <w:spacing w:after="60"/>
      </w:pPr>
      <w:r>
        <w:t xml:space="preserve">Personalized, bounded-memory baseline learning — a fixed-size, self-refreshing model of one plant's normal signal (inherited from the original PhytoSense/CoreMind lineage).</w:t>
      </w:r>
    </w:p>
    <w:p>
      <w:pPr>
        <w:pStyle w:val="ListParagraph"/>
        <w:numPr>
          <w:ilvl w:val="0"/>
          <w:numId w:val="2"/>
        </w:numPr>
        <w:spacing w:after="60"/>
      </w:pPr>
      <w:r>
        <w:t xml:space="preserve">Electrode-contact-quality self-diagnosis — an ECG/EEG impedance self-check technique applied to plant tissue for the first time, to separate genuine stress from bad electrode contact.</w:t>
      </w:r>
    </w:p>
    <w:p>
      <w:pPr>
        <w:pStyle w:val="ListParagraph"/>
        <w:numPr>
          <w:ilvl w:val="0"/>
          <w:numId w:val="2"/>
        </w:numPr>
        <w:spacing w:after="60"/>
      </w:pPr>
      <w:r>
        <w:t xml:space="preserve">On-device explainable diagnosis — lightweight feature-attribution (permutation-importance / decision-path, an embedded-feasible proxy for SHAP/Grad-CAM) that names which signal drove each alert.</w:t>
      </w:r>
    </w:p>
    <w:p>
      <w:pPr>
        <w:pStyle w:val="ListParagraph"/>
        <w:numPr>
          <w:ilvl w:val="0"/>
          <w:numId w:val="2"/>
        </w:numPr>
        <w:spacing w:after="60"/>
      </w:pPr>
      <w:r>
        <w:t xml:space="preserve">Autonomous precision irrigation — closed-loop relay/solenoid actuation driven by the fused stress classifier + soil moisture, not a fixed threshold.</w:t>
      </w:r>
    </w:p>
    <w:p>
      <w:pPr>
        <w:pStyle w:val="ListParagraph"/>
        <w:numPr>
          <w:ilvl w:val="0"/>
          <w:numId w:val="2"/>
        </w:numPr>
        <w:spacing w:after="60"/>
      </w:pPr>
      <w:r>
        <w:t xml:space="preserve">Predictive crop-health analytics — an on-device short-horizon forecasting layer, surfaced via a BLE/Wi-Fi dashboard.</w:t>
      </w:r>
    </w:p>
    <w:p>
      <w:r>
        <w:rPr>
          <w:i/>
        </w:rPr>
        <w:t>Patent-scope note: only the first two contributions above (personalized bounded-memory baseline learning; electrode-contact-quality self-diagnosis, together with confidence-gated updates) are within the patent claim. Explainability, autonomous irrigation, and forecasting are system features for the demo and paper only — see the Master Document, Section 7.1 (Claim Boundary), before drafting any invention disclosure or claim language.</w:t>
      </w:r>
    </w:p>
    <w:p>
      <w:pPr>
        <w:spacing w:after="120"/>
      </w:pPr>
      <w:r>
        <w:t xml:space="preserve">Confirmed literature gap: no reviewed system combines per-plant personalization, on-device explainability, closed-loop irrigation, and predictive analytics in a single field-deployable embedded pipeline. This combination is your novelty claim for both the paper and the patent — keep it front and center in both documents.</w:t>
      </w:r>
    </w:p>
    <w:p>
      <w:pPr>
        <w:pStyle w:val="Heading1"/>
        <w:spacing w:after="160" w:before="320"/>
      </w:pPr>
      <w:r>
        <w:t xml:space="preserve">2. Complete Hardware Bill of Materials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4200"/>
      </w:tblGrid>
      <w:tr>
        <w:trPr>
          <w:tblHeader/>
        </w:trPr>
        <w:tc>
          <w:tcPr>
            <w:tcW w:type="dxa" w:w="4600"/>
            <w:shd w:fill="D9E2F3" w:val="clear"/>
            <w:tcMar>
              <w:top w:type="dxa" w:w="80"/>
              <w:left w:type="dxa" w:w="100"/>
              <w:bottom w:type="dxa" w:w="80"/>
              <w:right w:type="dxa" w:w="100"/>
            </w:tcMar>
          </w:tcPr>
          <w:p>
            <w:r>
              <w:rPr>
                <w:b/>
                <w:bCs/>
              </w:rPr>
              <w:t xml:space="preserve">Component</w:t>
            </w:r>
          </w:p>
        </w:tc>
        <w:tc>
          <w:tcPr>
            <w:tcW w:type="dxa" w:w="1200"/>
            <w:shd w:fill="D9E2F3" w:val="clear"/>
            <w:tcMar>
              <w:top w:type="dxa" w:w="80"/>
              <w:left w:type="dxa" w:w="100"/>
              <w:bottom w:type="dxa" w:w="80"/>
              <w:right w:type="dxa" w:w="100"/>
            </w:tcMar>
          </w:tcPr>
          <w:p>
            <w:r>
              <w:rPr>
                <w:b/>
                <w:bCs/>
              </w:rPr>
              <w:t xml:space="preserve">Qty</w:t>
            </w:r>
          </w:p>
        </w:tc>
        <w:tc>
          <w:tcPr>
            <w:tcW w:type="dxa" w:w="4200"/>
            <w:shd w:fill="D9E2F3" w:val="clear"/>
            <w:tcMar>
              <w:top w:type="dxa" w:w="80"/>
              <w:left w:type="dxa" w:w="100"/>
              <w:bottom w:type="dxa" w:w="80"/>
              <w:right w:type="dxa" w:w="100"/>
            </w:tcMar>
          </w:tcPr>
          <w:p>
            <w:r>
              <w:rPr>
                <w:b/>
                <w:bCs/>
              </w:rPr>
              <w:t xml:space="preserve">Role in system</w:t>
            </w:r>
          </w:p>
        </w:tc>
      </w:tr>
      <w:tr>
        <w:tc>
          <w:tcPr>
            <w:tcW w:type="dxa" w:w="4600"/>
            <w:tcMar>
              <w:top w:type="dxa" w:w="80"/>
              <w:left w:type="dxa" w:w="100"/>
              <w:bottom w:type="dxa" w:w="80"/>
              <w:right w:type="dxa" w:w="100"/>
            </w:tcMar>
          </w:tcPr>
          <w:p>
            <w:r>
              <w:rPr>
                <w:b w:val="false"/>
                <w:bCs w:val="false"/>
              </w:rPr>
              <w:t xml:space="preserve">AD8232 instrumentation amplifier</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Bioelectric signal acquisition front-end</w:t>
            </w:r>
          </w:p>
        </w:tc>
      </w:tr>
      <w:tr>
        <w:tc>
          <w:tcPr>
            <w:tcW w:type="dxa" w:w="4600"/>
            <w:tcMar>
              <w:top w:type="dxa" w:w="80"/>
              <w:left w:type="dxa" w:w="100"/>
              <w:bottom w:type="dxa" w:w="80"/>
              <w:right w:type="dxa" w:w="100"/>
            </w:tcMar>
          </w:tcPr>
          <w:p>
            <w:r>
              <w:rPr>
                <w:b w:val="false"/>
                <w:bCs w:val="false"/>
              </w:rPr>
              <w:t xml:space="preserve">Ag/AgCl electrode discs</w:t>
            </w:r>
          </w:p>
        </w:tc>
        <w:tc>
          <w:tcPr>
            <w:tcW w:type="dxa" w:w="1200"/>
            <w:tcMar>
              <w:top w:type="dxa" w:w="80"/>
              <w:left w:type="dxa" w:w="100"/>
              <w:bottom w:type="dxa" w:w="80"/>
              <w:right w:type="dxa" w:w="100"/>
            </w:tcMar>
          </w:tcPr>
          <w:p>
            <w:r>
              <w:rPr>
                <w:b w:val="false"/>
                <w:bCs w:val="false"/>
              </w:rPr>
              <w:t xml:space="preserve">1 set</w:t>
            </w:r>
          </w:p>
        </w:tc>
        <w:tc>
          <w:tcPr>
            <w:tcW w:type="dxa" w:w="4200"/>
            <w:tcMar>
              <w:top w:type="dxa" w:w="80"/>
              <w:left w:type="dxa" w:w="100"/>
              <w:bottom w:type="dxa" w:w="80"/>
              <w:right w:type="dxa" w:w="100"/>
            </w:tcMar>
          </w:tcPr>
          <w:p>
            <w:r>
              <w:rPr>
                <w:b w:val="false"/>
                <w:bCs w:val="false"/>
              </w:rPr>
              <w:t xml:space="preserve">Low-polarization leaf/stem contact electrodes</w:t>
            </w:r>
          </w:p>
        </w:tc>
      </w:tr>
      <w:tr>
        <w:tc>
          <w:tcPr>
            <w:tcW w:type="dxa" w:w="4600"/>
            <w:tcMar>
              <w:top w:type="dxa" w:w="80"/>
              <w:left w:type="dxa" w:w="100"/>
              <w:bottom w:type="dxa" w:w="80"/>
              <w:right w:type="dxa" w:w="100"/>
            </w:tcMar>
          </w:tcPr>
          <w:p>
            <w:r>
              <w:rPr>
                <w:b w:val="false"/>
                <w:bCs w:val="false"/>
              </w:rPr>
              <w:t xml:space="preserve">ECG electrodes (generic, 3 pcs)</w:t>
            </w:r>
          </w:p>
        </w:tc>
        <w:tc>
          <w:tcPr>
            <w:tcW w:type="dxa" w:w="1200"/>
            <w:tcMar>
              <w:top w:type="dxa" w:w="80"/>
              <w:left w:type="dxa" w:w="100"/>
              <w:bottom w:type="dxa" w:w="80"/>
              <w:right w:type="dxa" w:w="100"/>
            </w:tcMar>
          </w:tcPr>
          <w:p>
            <w:r>
              <w:rPr>
                <w:b w:val="false"/>
                <w:bCs w:val="false"/>
              </w:rPr>
              <w:t xml:space="preserve">3</w:t>
            </w:r>
          </w:p>
        </w:tc>
        <w:tc>
          <w:tcPr>
            <w:tcW w:type="dxa" w:w="4200"/>
            <w:tcMar>
              <w:top w:type="dxa" w:w="80"/>
              <w:left w:type="dxa" w:w="100"/>
              <w:bottom w:type="dxa" w:w="80"/>
              <w:right w:type="dxa" w:w="100"/>
            </w:tcMar>
          </w:tcPr>
          <w:p>
            <w:r>
              <w:rPr>
                <w:b w:val="false"/>
                <w:bCs w:val="false"/>
              </w:rPr>
              <w:t xml:space="preserve">Backup/alternative contact electrodes</w:t>
            </w:r>
          </w:p>
        </w:tc>
      </w:tr>
      <w:tr>
        <w:tc>
          <w:tcPr>
            <w:tcW w:type="dxa" w:w="4600"/>
            <w:tcMar>
              <w:top w:type="dxa" w:w="80"/>
              <w:left w:type="dxa" w:w="100"/>
              <w:bottom w:type="dxa" w:w="80"/>
              <w:right w:type="dxa" w:w="100"/>
            </w:tcMar>
          </w:tcPr>
          <w:p>
            <w:r>
              <w:rPr>
                <w:b w:val="false"/>
                <w:bCs w:val="false"/>
              </w:rPr>
              <w:t xml:space="preserve">ESP32-S3 (N8R8 PSRAM)</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Main compute — runs classifier, explainer, forecaster, control logic</w:t>
            </w:r>
          </w:p>
        </w:tc>
      </w:tr>
      <w:tr>
        <w:tc>
          <w:tcPr>
            <w:tcW w:type="dxa" w:w="4600"/>
            <w:tcMar>
              <w:top w:type="dxa" w:w="80"/>
              <w:left w:type="dxa" w:w="100"/>
              <w:bottom w:type="dxa" w:w="80"/>
              <w:right w:type="dxa" w:w="100"/>
            </w:tcMar>
          </w:tcPr>
          <w:p>
            <w:r>
              <w:rPr>
                <w:b w:val="false"/>
                <w:bCs w:val="false"/>
              </w:rPr>
              <w:t xml:space="preserve">ESP32 (38-pin)</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Secondary/dev-board for early bring-up and testing</w:t>
            </w:r>
          </w:p>
        </w:tc>
      </w:tr>
      <w:tr>
        <w:tc>
          <w:tcPr>
            <w:tcW w:type="dxa" w:w="4600"/>
            <w:tcMar>
              <w:top w:type="dxa" w:w="80"/>
              <w:left w:type="dxa" w:w="100"/>
              <w:bottom w:type="dxa" w:w="80"/>
              <w:right w:type="dxa" w:w="100"/>
            </w:tcMar>
          </w:tcPr>
          <w:p>
            <w:r>
              <w:rPr>
                <w:b w:val="false"/>
                <w:bCs w:val="false"/>
              </w:rPr>
              <w:t xml:space="preserve">ADS1115 16-bit ADC module</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High-resolution analog capture for bioelectric + soil channels</w:t>
            </w:r>
          </w:p>
        </w:tc>
      </w:tr>
      <w:tr>
        <w:tc>
          <w:tcPr>
            <w:tcW w:type="dxa" w:w="4600"/>
            <w:tcMar>
              <w:top w:type="dxa" w:w="80"/>
              <w:left w:type="dxa" w:w="100"/>
              <w:bottom w:type="dxa" w:w="80"/>
              <w:right w:type="dxa" w:w="100"/>
            </w:tcMar>
          </w:tcPr>
          <w:p>
            <w:r>
              <w:rPr>
                <w:b w:val="false"/>
                <w:bCs w:val="false"/>
              </w:rPr>
              <w:t xml:space="preserve">BME280 sensor</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Temperature + humidity context</w:t>
            </w:r>
          </w:p>
        </w:tc>
      </w:tr>
      <w:tr>
        <w:tc>
          <w:tcPr>
            <w:tcW w:type="dxa" w:w="4600"/>
            <w:tcMar>
              <w:top w:type="dxa" w:w="80"/>
              <w:left w:type="dxa" w:w="100"/>
              <w:bottom w:type="dxa" w:w="80"/>
              <w:right w:type="dxa" w:w="100"/>
            </w:tcMar>
          </w:tcPr>
          <w:p>
            <w:r>
              <w:rPr>
                <w:b w:val="false"/>
                <w:bCs w:val="false"/>
              </w:rPr>
              <w:t xml:space="preserve">BH1750 light sensor</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Light-level context</w:t>
            </w:r>
          </w:p>
        </w:tc>
      </w:tr>
      <w:tr>
        <w:tc>
          <w:tcPr>
            <w:tcW w:type="dxa" w:w="4600"/>
            <w:tcMar>
              <w:top w:type="dxa" w:w="80"/>
              <w:left w:type="dxa" w:w="100"/>
              <w:bottom w:type="dxa" w:w="80"/>
              <w:right w:type="dxa" w:w="100"/>
            </w:tcMar>
          </w:tcPr>
          <w:p>
            <w:r>
              <w:rPr>
                <w:b w:val="false"/>
                <w:bCs w:val="false"/>
              </w:rPr>
              <w:t xml:space="preserve">Capacitive soil moisture sensor</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Soil moisture input for stress fusion + irrigation trigger</w:t>
            </w:r>
          </w:p>
        </w:tc>
      </w:tr>
      <w:tr>
        <w:tc>
          <w:tcPr>
            <w:tcW w:type="dxa" w:w="4600"/>
            <w:tcMar>
              <w:top w:type="dxa" w:w="80"/>
              <w:left w:type="dxa" w:w="100"/>
              <w:bottom w:type="dxa" w:w="80"/>
              <w:right w:type="dxa" w:w="100"/>
            </w:tcMar>
          </w:tcPr>
          <w:p>
            <w:r>
              <w:rPr>
                <w:b w:val="false"/>
                <w:bCs w:val="false"/>
              </w:rPr>
              <w:t xml:space="preserve">1-channel 5V relay module</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Isolates ESP32 logic from pump/valve power circuit</w:t>
            </w:r>
          </w:p>
        </w:tc>
      </w:tr>
      <w:tr>
        <w:tc>
          <w:tcPr>
            <w:tcW w:type="dxa" w:w="4600"/>
            <w:tcMar>
              <w:top w:type="dxa" w:w="80"/>
              <w:left w:type="dxa" w:w="100"/>
              <w:bottom w:type="dxa" w:w="80"/>
              <w:right w:type="dxa" w:w="100"/>
            </w:tcMar>
          </w:tcPr>
          <w:p>
            <w:r>
              <w:rPr>
                <w:b w:val="false"/>
                <w:bCs w:val="false"/>
              </w:rPr>
              <w:t xml:space="preserve">6V DC water pump + 1m tube</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Irrigation actuator</w:t>
            </w:r>
          </w:p>
        </w:tc>
      </w:tr>
      <w:tr>
        <w:tc>
          <w:tcPr>
            <w:tcW w:type="dxa" w:w="4600"/>
            <w:tcMar>
              <w:top w:type="dxa" w:w="80"/>
              <w:left w:type="dxa" w:w="100"/>
              <w:bottom w:type="dxa" w:w="80"/>
              <w:right w:type="dxa" w:w="100"/>
            </w:tcMar>
          </w:tcPr>
          <w:p>
            <w:r>
              <w:rPr>
                <w:b w:val="false"/>
                <w:bCs w:val="false"/>
              </w:rPr>
              <w:t xml:space="preserve">0.96" OLED display</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On-site alert + explanation readout</w:t>
            </w:r>
          </w:p>
        </w:tc>
      </w:tr>
      <w:tr>
        <w:tc>
          <w:tcPr>
            <w:tcW w:type="dxa" w:w="4600"/>
            <w:tcMar>
              <w:top w:type="dxa" w:w="80"/>
              <w:left w:type="dxa" w:w="100"/>
              <w:bottom w:type="dxa" w:w="80"/>
              <w:right w:type="dxa" w:w="100"/>
            </w:tcMar>
          </w:tcPr>
          <w:p>
            <w:r>
              <w:rPr>
                <w:b w:val="false"/>
                <w:bCs w:val="false"/>
              </w:rPr>
              <w:t xml:space="preserve">5V buzzer</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Local audible alert</w:t>
            </w:r>
          </w:p>
        </w:tc>
      </w:tr>
      <w:tr>
        <w:tc>
          <w:tcPr>
            <w:tcW w:type="dxa" w:w="4600"/>
            <w:tcMar>
              <w:top w:type="dxa" w:w="80"/>
              <w:left w:type="dxa" w:w="100"/>
              <w:bottom w:type="dxa" w:w="80"/>
              <w:right w:type="dxa" w:w="100"/>
            </w:tcMar>
          </w:tcPr>
          <w:p>
            <w:r>
              <w:rPr>
                <w:b w:val="false"/>
                <w:bCs w:val="false"/>
              </w:rPr>
              <w:t xml:space="preserve">TP4056 USB-C charging module</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Battery charge management</w:t>
            </w:r>
          </w:p>
        </w:tc>
      </w:tr>
      <w:tr>
        <w:tc>
          <w:tcPr>
            <w:tcW w:type="dxa" w:w="4600"/>
            <w:tcMar>
              <w:top w:type="dxa" w:w="80"/>
              <w:left w:type="dxa" w:w="100"/>
              <w:bottom w:type="dxa" w:w="80"/>
              <w:right w:type="dxa" w:w="100"/>
            </w:tcMar>
          </w:tcPr>
          <w:p>
            <w:r>
              <w:rPr>
                <w:b w:val="false"/>
                <w:bCs w:val="false"/>
              </w:rPr>
              <w:t xml:space="preserve">LM2596 buck converter</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Regulated 5V/3.3V rail</w:t>
            </w:r>
          </w:p>
        </w:tc>
      </w:tr>
      <w:tr>
        <w:tc>
          <w:tcPr>
            <w:tcW w:type="dxa" w:w="4600"/>
            <w:tcMar>
              <w:top w:type="dxa" w:w="80"/>
              <w:left w:type="dxa" w:w="100"/>
              <w:bottom w:type="dxa" w:w="80"/>
              <w:right w:type="dxa" w:w="100"/>
            </w:tcMar>
          </w:tcPr>
          <w:p>
            <w:r>
              <w:rPr>
                <w:b w:val="false"/>
                <w:bCs w:val="false"/>
              </w:rPr>
              <w:t xml:space="preserve">6V 100mA solar panel (70×70mm)</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Unattended field power</w:t>
            </w:r>
          </w:p>
        </w:tc>
      </w:tr>
      <w:tr>
        <w:tc>
          <w:tcPr>
            <w:tcW w:type="dxa" w:w="4600"/>
            <w:tcMar>
              <w:top w:type="dxa" w:w="80"/>
              <w:left w:type="dxa" w:w="100"/>
              <w:bottom w:type="dxa" w:w="80"/>
              <w:right w:type="dxa" w:w="100"/>
            </w:tcMar>
          </w:tcPr>
          <w:p>
            <w:r>
              <w:rPr>
                <w:b w:val="false"/>
                <w:bCs w:val="false"/>
              </w:rPr>
              <w:t xml:space="preserve">3800mAh Li-ion battery</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Main energy storage</w:t>
            </w:r>
          </w:p>
        </w:tc>
      </w:tr>
      <w:tr>
        <w:tc>
          <w:tcPr>
            <w:tcW w:type="dxa" w:w="4600"/>
            <w:tcMar>
              <w:top w:type="dxa" w:w="80"/>
              <w:left w:type="dxa" w:w="100"/>
              <w:bottom w:type="dxa" w:w="80"/>
              <w:right w:type="dxa" w:w="100"/>
            </w:tcMar>
          </w:tcPr>
          <w:p>
            <w:r>
              <w:rPr>
                <w:b w:val="false"/>
                <w:bCs w:val="false"/>
              </w:rPr>
              <w:t xml:space="preserve">MB102 breadboard</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Prototyping</w:t>
            </w:r>
          </w:p>
        </w:tc>
      </w:tr>
      <w:tr>
        <w:tc>
          <w:tcPr>
            <w:tcW w:type="dxa" w:w="4600"/>
            <w:tcMar>
              <w:top w:type="dxa" w:w="80"/>
              <w:left w:type="dxa" w:w="100"/>
              <w:bottom w:type="dxa" w:w="80"/>
              <w:right w:type="dxa" w:w="100"/>
            </w:tcMar>
          </w:tcPr>
          <w:p>
            <w:r>
              <w:rPr>
                <w:b w:val="false"/>
                <w:bCs w:val="false"/>
              </w:rPr>
              <w:t xml:space="preserve">Dot PCB board (6×4cm)</w:t>
            </w:r>
          </w:p>
        </w:tc>
        <w:tc>
          <w:tcPr>
            <w:tcW w:type="dxa" w:w="1200"/>
            <w:tcMar>
              <w:top w:type="dxa" w:w="80"/>
              <w:left w:type="dxa" w:w="100"/>
              <w:bottom w:type="dxa" w:w="80"/>
              <w:right w:type="dxa" w:w="100"/>
            </w:tcMar>
          </w:tcPr>
          <w:p>
            <w:r>
              <w:rPr>
                <w:b w:val="false"/>
                <w:bCs w:val="false"/>
              </w:rPr>
              <w:t xml:space="preserve">1</w:t>
            </w:r>
          </w:p>
        </w:tc>
        <w:tc>
          <w:tcPr>
            <w:tcW w:type="dxa" w:w="4200"/>
            <w:tcMar>
              <w:top w:type="dxa" w:w="80"/>
              <w:left w:type="dxa" w:w="100"/>
              <w:bottom w:type="dxa" w:w="80"/>
              <w:right w:type="dxa" w:w="100"/>
            </w:tcMar>
          </w:tcPr>
          <w:p>
            <w:r>
              <w:rPr>
                <w:b w:val="false"/>
                <w:bCs w:val="false"/>
              </w:rPr>
              <w:t xml:space="preserve">Final soldered build</w:t>
            </w:r>
          </w:p>
        </w:tc>
      </w:tr>
      <w:tr>
        <w:tc>
          <w:tcPr>
            <w:tcW w:type="dxa" w:w="4600"/>
            <w:tcMar>
              <w:top w:type="dxa" w:w="80"/>
              <w:left w:type="dxa" w:w="100"/>
              <w:bottom w:type="dxa" w:w="80"/>
              <w:right w:type="dxa" w:w="100"/>
            </w:tcMar>
          </w:tcPr>
          <w:p>
            <w:r>
              <w:rPr>
                <w:b w:val="false"/>
                <w:bCs w:val="false"/>
              </w:rPr>
              <w:t xml:space="preserve">Jumper wires (M-F, M-M, 40pcs each)</w:t>
            </w:r>
          </w:p>
        </w:tc>
        <w:tc>
          <w:tcPr>
            <w:tcW w:type="dxa" w:w="1200"/>
            <w:tcMar>
              <w:top w:type="dxa" w:w="80"/>
              <w:left w:type="dxa" w:w="100"/>
              <w:bottom w:type="dxa" w:w="80"/>
              <w:right w:type="dxa" w:w="100"/>
            </w:tcMar>
          </w:tcPr>
          <w:p>
            <w:r>
              <w:rPr>
                <w:b w:val="false"/>
                <w:bCs w:val="false"/>
              </w:rPr>
              <w:t xml:space="preserve">80</w:t>
            </w:r>
          </w:p>
        </w:tc>
        <w:tc>
          <w:tcPr>
            <w:tcW w:type="dxa" w:w="4200"/>
            <w:tcMar>
              <w:top w:type="dxa" w:w="80"/>
              <w:left w:type="dxa" w:w="100"/>
              <w:bottom w:type="dxa" w:w="80"/>
              <w:right w:type="dxa" w:w="100"/>
            </w:tcMar>
          </w:tcPr>
          <w:p>
            <w:r>
              <w:rPr>
                <w:b w:val="false"/>
                <w:bCs w:val="false"/>
              </w:rPr>
              <w:t xml:space="preserve">Prototyping interconnects</w:t>
            </w:r>
          </w:p>
        </w:tc>
      </w:tr>
    </w:tbl>
    <w:p>
      <w:pPr>
        <w:pStyle w:val="Heading1"/>
        <w:spacing w:after="160" w:before="320"/>
      </w:pPr>
      <w:r>
        <w:t xml:space="preserve">3. Software &amp; Tools Stack</w:t>
      </w:r>
    </w:p>
    <w:p>
      <w:pPr>
        <w:pStyle w:val="Heading2"/>
        <w:spacing w:after="120" w:before="240"/>
      </w:pPr>
      <w:r>
        <w:t xml:space="preserve">Firmware &amp; embedded ML</w:t>
      </w:r>
    </w:p>
    <w:p>
      <w:pPr>
        <w:pStyle w:val="ListParagraph"/>
        <w:numPr>
          <w:ilvl w:val="0"/>
          <w:numId w:val="2"/>
        </w:numPr>
        <w:spacing w:after="60"/>
      </w:pPr>
      <w:r>
        <w:t xml:space="preserve">PlatformIO (VS Code) or ESP-IDF — firmware development for ESP32-S3.</w:t>
      </w:r>
    </w:p>
    <w:p>
      <w:pPr>
        <w:pStyle w:val="ListParagraph"/>
        <w:numPr>
          <w:ilvl w:val="0"/>
          <w:numId w:val="2"/>
        </w:numPr>
        <w:spacing w:after="60"/>
      </w:pPr>
      <w:r>
        <w:t xml:space="preserve">TensorFlow Lite Micro + ESP-NN — on-device inference runtime for the fusion classifier.</w:t>
      </w:r>
    </w:p>
    <w:p>
      <w:pPr>
        <w:pStyle w:val="ListParagraph"/>
        <w:numPr>
          <w:ilvl w:val="0"/>
          <w:numId w:val="2"/>
        </w:numPr>
        <w:spacing w:after="60"/>
      </w:pPr>
      <w:r>
        <w:t xml:space="preserve">Arduino libraries: Adafruit BME280, Adafruit_ADS1X15, U8g2/Adafruit_SSD1306 (OLED), ArduinoJson.</w:t>
      </w:r>
    </w:p>
    <w:p>
      <w:pPr>
        <w:pStyle w:val="Heading2"/>
        <w:spacing w:after="120" w:before="240"/>
      </w:pPr>
      <w:r>
        <w:t xml:space="preserve">Offline model development</w:t>
      </w:r>
    </w:p>
    <w:p>
      <w:pPr>
        <w:pStyle w:val="ListParagraph"/>
        <w:numPr>
          <w:ilvl w:val="0"/>
          <w:numId w:val="2"/>
        </w:numPr>
        <w:spacing w:after="60"/>
      </w:pPr>
      <w:r>
        <w:t xml:space="preserve">Python + scikit-learn / TensorFlow — prototype and train models before on-device deployment.</w:t>
      </w:r>
    </w:p>
    <w:p>
      <w:pPr>
        <w:pStyle w:val="ListParagraph"/>
        <w:numPr>
          <w:ilvl w:val="0"/>
          <w:numId w:val="2"/>
        </w:numPr>
        <w:spacing w:after="60"/>
      </w:pPr>
      <w:r>
        <w:t xml:space="preserve">Primary classifier: decision tree / XGBoost (cheap to explain, matches DL on small plant-electrophysiology datasets); 1D-CNN as a stretch-goal comparison.</w:t>
      </w:r>
    </w:p>
    <w:p>
      <w:pPr>
        <w:pStyle w:val="ListParagraph"/>
        <w:numPr>
          <w:ilvl w:val="0"/>
          <w:numId w:val="2"/>
        </w:numPr>
        <w:spacing w:after="60"/>
      </w:pPr>
      <w:r>
        <w:t xml:space="preserve">Explainability: permutation-importance / decision-path attribution (embedded-feasible SHAP/Grad-CAM proxy).</w:t>
      </w:r>
    </w:p>
    <w:p>
      <w:pPr>
        <w:pStyle w:val="ListParagraph"/>
        <w:numPr>
          <w:ilvl w:val="0"/>
          <w:numId w:val="2"/>
        </w:numPr>
        <w:spacing w:after="60"/>
      </w:pPr>
      <w:r>
        <w:t xml:space="preserve">Forecasting: exponential smoothing or small regression over rolling baseline-deviation + environmental window.</w:t>
      </w:r>
    </w:p>
    <w:p>
      <w:pPr>
        <w:pStyle w:val="Heading2"/>
        <w:spacing w:after="120" w:before="240"/>
      </w:pPr>
      <w:r>
        <w:t xml:space="preserve">Data, dashboard &amp; analysis</w:t>
      </w:r>
    </w:p>
    <w:p>
      <w:pPr>
        <w:pStyle w:val="ListParagraph"/>
        <w:numPr>
          <w:ilvl w:val="0"/>
          <w:numId w:val="2"/>
        </w:numPr>
        <w:spacing w:after="60"/>
      </w:pPr>
      <w:r>
        <w:t xml:space="preserve">Logging: SD card / SPIFFS locally, or Firebase Realtime DB / ThingSpeak for cloud + built-in plotting.</w:t>
      </w:r>
    </w:p>
    <w:p>
      <w:pPr>
        <w:pStyle w:val="ListParagraph"/>
        <w:numPr>
          <w:ilvl w:val="0"/>
          <w:numId w:val="2"/>
        </w:numPr>
        <w:spacing w:after="60"/>
      </w:pPr>
      <w:r>
        <w:t xml:space="preserve">Companion dashboard: BLE or Wi-Fi link to a simple mobile/web app showing live readings, alerts, and the forecast trend.</w:t>
      </w:r>
    </w:p>
    <w:p>
      <w:pPr>
        <w:pStyle w:val="ListParagraph"/>
        <w:numPr>
          <w:ilvl w:val="0"/>
          <w:numId w:val="2"/>
        </w:numPr>
        <w:spacing w:after="60"/>
      </w:pPr>
      <w:r>
        <w:t xml:space="preserve">Analysis: Python (pandas + matplotlib) or Google Sheets — turns logs into the figures used in the paper.</w:t>
      </w:r>
    </w:p>
    <w:p>
      <w:pPr>
        <w:pStyle w:val="Heading2"/>
        <w:spacing w:after="120" w:before="240"/>
      </w:pPr>
      <w:r>
        <w:t xml:space="preserve">Design &amp; documentation</w:t>
      </w:r>
    </w:p>
    <w:p>
      <w:pPr>
        <w:pStyle w:val="ListParagraph"/>
        <w:numPr>
          <w:ilvl w:val="0"/>
          <w:numId w:val="2"/>
        </w:numPr>
        <w:spacing w:after="60"/>
      </w:pPr>
      <w:r>
        <w:t xml:space="preserve">KiCad — schematic + PCB layout for the final soldered version.</w:t>
      </w:r>
    </w:p>
    <w:p>
      <w:pPr>
        <w:pStyle w:val="ListParagraph"/>
        <w:numPr>
          <w:ilvl w:val="0"/>
          <w:numId w:val="2"/>
        </w:numPr>
        <w:spacing w:after="60"/>
      </w:pPr>
      <w:r>
        <w:t xml:space="preserve">draw.io / Figma — block diagrams and architecture figures (reused across paper, patent, and GitHub docs).</w:t>
      </w:r>
    </w:p>
    <w:p>
      <w:pPr>
        <w:pStyle w:val="Heading1"/>
        <w:spacing w:after="160" w:before="320"/>
      </w:pPr>
      <w:r>
        <w:t xml:space="preserve">4. Team Roles (3 people + faculty advisor)</w:t>
      </w:r>
    </w:p>
    <w:p>
      <w:pPr>
        <w:spacing w:after="120"/>
      </w:pPr>
      <w:r>
        <w:t xml:space="preserve">Faculty advises and gates quality at checkpoints — the team does the work; advisor reviews at each phase transition and handles IPR-cell / venue introductions.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2000"/>
      </w:tblGrid>
      <w:tr>
        <w:trPr>
          <w:tblHeader/>
        </w:trPr>
        <w:tc>
          <w:tcPr>
            <w:tcW w:type="dxa" w:w="3200"/>
            <w:shd w:fill="D9E2F3" w:val="clear"/>
            <w:tcMar>
              <w:top w:type="dxa" w:w="80"/>
              <w:left w:type="dxa" w:w="100"/>
              <w:bottom w:type="dxa" w:w="80"/>
              <w:right w:type="dxa" w:w="100"/>
            </w:tcMar>
          </w:tcPr>
          <w:p>
            <w:r>
              <w:rPr>
                <w:b/>
                <w:bCs/>
              </w:rPr>
              <w:t xml:space="preserve">Role</w:t>
            </w:r>
          </w:p>
        </w:tc>
        <w:tc>
          <w:tcPr>
            <w:tcW w:type="dxa" w:w="4800"/>
            <w:shd w:fill="D9E2F3" w:val="clear"/>
            <w:tcMar>
              <w:top w:type="dxa" w:w="80"/>
              <w:left w:type="dxa" w:w="100"/>
              <w:bottom w:type="dxa" w:w="80"/>
              <w:right w:type="dxa" w:w="100"/>
            </w:tcMar>
          </w:tcPr>
          <w:p>
            <w:r>
              <w:rPr>
                <w:b/>
                <w:bCs/>
              </w:rPr>
              <w:t xml:space="preserve">Owns</w:t>
            </w:r>
          </w:p>
        </w:tc>
        <w:tc>
          <w:tcPr>
            <w:tcW w:type="dxa" w:w="2000"/>
            <w:shd w:fill="D9E2F3" w:val="clear"/>
            <w:tcMar>
              <w:top w:type="dxa" w:w="80"/>
              <w:left w:type="dxa" w:w="100"/>
              <w:bottom w:type="dxa" w:w="80"/>
              <w:right w:type="dxa" w:w="100"/>
            </w:tcMar>
          </w:tcPr>
          <w:p>
            <w:r>
              <w:rPr>
                <w:b/>
                <w:bCs/>
              </w:rPr>
              <w:t xml:space="preserve">Primary phases</w:t>
            </w:r>
          </w:p>
        </w:tc>
      </w:tr>
      <w:tr>
        <w:tc>
          <w:tcPr>
            <w:tcW w:type="dxa" w:w="3200"/>
            <w:tcMar>
              <w:top w:type="dxa" w:w="80"/>
              <w:left w:type="dxa" w:w="100"/>
              <w:bottom w:type="dxa" w:w="80"/>
              <w:right w:type="dxa" w:w="100"/>
            </w:tcMar>
          </w:tcPr>
          <w:p>
            <w:r>
              <w:rPr>
                <w:b w:val="false"/>
                <w:bCs w:val="false"/>
              </w:rPr>
              <w:t xml:space="preserve">A — Hardware</w:t>
            </w:r>
          </w:p>
        </w:tc>
        <w:tc>
          <w:tcPr>
            <w:tcW w:type="dxa" w:w="4800"/>
            <w:tcMar>
              <w:top w:type="dxa" w:w="80"/>
              <w:left w:type="dxa" w:w="100"/>
              <w:bottom w:type="dxa" w:w="80"/>
              <w:right w:type="dxa" w:w="100"/>
            </w:tcMar>
          </w:tcPr>
          <w:p>
            <w:r>
              <w:rPr>
                <w:b w:val="false"/>
                <w:bCs w:val="false"/>
              </w:rPr>
              <w:t xml:space="preserve">BOM, power system, sensor bring-up, PCB/enclosure</w:t>
            </w:r>
          </w:p>
        </w:tc>
        <w:tc>
          <w:tcPr>
            <w:tcW w:type="dxa" w:w="2000"/>
            <w:tcMar>
              <w:top w:type="dxa" w:w="80"/>
              <w:left w:type="dxa" w:w="100"/>
              <w:bottom w:type="dxa" w:w="80"/>
              <w:right w:type="dxa" w:w="100"/>
            </w:tcMar>
          </w:tcPr>
          <w:p>
            <w:r>
              <w:rPr>
                <w:b w:val="false"/>
                <w:bCs w:val="false"/>
              </w:rPr>
              <w:t xml:space="preserve">1, 2, 3, 5</w:t>
            </w:r>
          </w:p>
        </w:tc>
      </w:tr>
      <w:tr>
        <w:tc>
          <w:tcPr>
            <w:tcW w:type="dxa" w:w="3200"/>
            <w:tcMar>
              <w:top w:type="dxa" w:w="80"/>
              <w:left w:type="dxa" w:w="100"/>
              <w:bottom w:type="dxa" w:w="80"/>
              <w:right w:type="dxa" w:w="100"/>
            </w:tcMar>
          </w:tcPr>
          <w:p>
            <w:r>
              <w:rPr>
                <w:b w:val="false"/>
                <w:bCs w:val="false"/>
              </w:rPr>
              <w:t xml:space="preserve">B — Firmware/ML</w:t>
            </w:r>
          </w:p>
        </w:tc>
        <w:tc>
          <w:tcPr>
            <w:tcW w:type="dxa" w:w="4800"/>
            <w:tcMar>
              <w:top w:type="dxa" w:w="80"/>
              <w:left w:type="dxa" w:w="100"/>
              <w:bottom w:type="dxa" w:w="80"/>
              <w:right w:type="dxa" w:w="100"/>
            </w:tcMar>
          </w:tcPr>
          <w:p>
            <w:r>
              <w:rPr>
                <w:b w:val="false"/>
                <w:bCs w:val="false"/>
              </w:rPr>
              <w:t xml:space="preserve">PlatformIO setup, sensor drivers, on-device models, dashboard</w:t>
            </w:r>
          </w:p>
        </w:tc>
        <w:tc>
          <w:tcPr>
            <w:tcW w:type="dxa" w:w="2000"/>
            <w:tcMar>
              <w:top w:type="dxa" w:w="80"/>
              <w:left w:type="dxa" w:w="100"/>
              <w:bottom w:type="dxa" w:w="80"/>
              <w:right w:type="dxa" w:w="100"/>
            </w:tcMar>
          </w:tcPr>
          <w:p>
            <w:r>
              <w:rPr>
                <w:b w:val="false"/>
                <w:bCs w:val="false"/>
              </w:rPr>
              <w:t xml:space="preserve">1, 2, 3, 4, 5</w:t>
            </w:r>
          </w:p>
        </w:tc>
      </w:tr>
      <w:tr>
        <w:tc>
          <w:tcPr>
            <w:tcW w:type="dxa" w:w="3200"/>
            <w:tcMar>
              <w:top w:type="dxa" w:w="80"/>
              <w:left w:type="dxa" w:w="100"/>
              <w:bottom w:type="dxa" w:w="80"/>
              <w:right w:type="dxa" w:w="100"/>
            </w:tcMar>
          </w:tcPr>
          <w:p>
            <w:r>
              <w:rPr>
                <w:b w:val="false"/>
                <w:bCs w:val="false"/>
              </w:rPr>
              <w:t xml:space="preserve">C — Research/IP</w:t>
            </w:r>
          </w:p>
        </w:tc>
        <w:tc>
          <w:tcPr>
            <w:tcW w:type="dxa" w:w="4800"/>
            <w:tcMar>
              <w:top w:type="dxa" w:w="80"/>
              <w:left w:type="dxa" w:w="100"/>
              <w:bottom w:type="dxa" w:w="80"/>
              <w:right w:type="dxa" w:w="100"/>
            </w:tcMar>
          </w:tcPr>
          <w:p>
            <w:r>
              <w:rPr>
                <w:b w:val="false"/>
                <w:bCs w:val="false"/>
              </w:rPr>
              <w:t xml:space="preserve">Literature review, invention disclosure, paper drafting, patent liaison</w:t>
            </w:r>
          </w:p>
        </w:tc>
        <w:tc>
          <w:tcPr>
            <w:tcW w:type="dxa" w:w="2000"/>
            <w:tcMar>
              <w:top w:type="dxa" w:w="80"/>
              <w:left w:type="dxa" w:w="100"/>
              <w:bottom w:type="dxa" w:w="80"/>
              <w:right w:type="dxa" w:w="100"/>
            </w:tcMar>
          </w:tcPr>
          <w:p>
            <w:r>
              <w:rPr>
                <w:b w:val="false"/>
                <w:bCs w:val="false"/>
              </w:rPr>
              <w:t xml:space="preserve">1, 2, 3, 4, 5</w:t>
            </w:r>
          </w:p>
        </w:tc>
      </w:tr>
    </w:tbl>
    <w:p>
      <w:pPr>
        <w:pStyle w:val="Heading1"/>
        <w:spacing w:after="160" w:before="320"/>
      </w:pPr>
      <w:r>
        <w:t xml:space="preserve">5. Phase-by-Phase Execution Plan</w:t>
      </w:r>
    </w:p>
    <w:p>
      <w:pPr>
        <w:pStyle w:val="Heading2"/>
        <w:spacing w:after="120" w:before="240"/>
      </w:pPr>
      <w:r>
        <w:t xml:space="preserve">Phase 1 — Design &amp; Literature (Week 1)</w:t>
      </w:r>
    </w:p>
    <w:p>
      <w:pPr>
        <w:spacing w:after="100"/>
      </w:pPr>
      <w:r>
        <w:rPr>
          <w:b/>
          <w:bCs/>
        </w:rPr>
        <w:t xml:space="preserve">Build: </w:t>
      </w:r>
      <w:r>
        <w:t xml:space="preserve">Finalize block diagram, power budget (solar 100mA vs. total draw), BOM order placed (electrodes, AD8232, ESP32-S3, BME280/soil/light sensors, relay, solenoid/pump, potted plants).</w:t>
      </w:r>
    </w:p>
    <w:p>
      <w:pPr>
        <w:spacing w:after="100"/>
      </w:pPr>
      <w:r>
        <w:rPr>
          <w:b/>
          <w:bCs/>
        </w:rPr>
        <w:t xml:space="preserve">Research: </w:t>
      </w:r>
      <w:r>
        <w:t xml:space="preserve">Finalize literature grounding across ScienceDirect, MDPI, Springer, Frontiers, PLOS, arXiv, IEEE — confirm the four-gap novelty claim (personalization + explainability + closed-loop irrigation + prediction, combined, on one MCU).</w:t>
      </w:r>
    </w:p>
    <w:p>
      <w:pPr>
        <w:spacing w:after="100"/>
      </w:pPr>
      <w:r>
        <w:t>Patent: Begin informal novelty search (Google Patents, IPO, WIPO Patentscope) on the specific combination — not the individual sensors. Start drafting the 1-page invention disclosure in parallel this week too (don't wait for Phase 2) — IPR cells often take 1–2 weeks just to assign an agent, so submitting it at the start of Week 2 instead of mid-Week 2 buys real runway.</w:t>
      </w:r>
    </w:p>
    <w:p>
      <w:pPr>
        <w:spacing w:after="100"/>
      </w:pPr>
      <w:r>
        <w:rPr>
          <w:b/>
          <w:bCs/>
        </w:rPr>
        <w:t xml:space="preserve">Faculty checkpoint: </w:t>
      </w:r>
      <w:r>
        <w:t xml:space="preserve">Review block diagram and confirm the novelty framing before ordering locks in.</w:t>
      </w:r>
    </w:p>
    <w:p>
      <w:pPr>
        <w:pStyle w:val="Heading2"/>
        <w:spacing w:after="120" w:before="240"/>
      </w:pPr>
      <w:r>
        <w:t xml:space="preserve">Phase 2 — Analog Front-End Bring-Up (Week 2)</w:t>
      </w:r>
    </w:p>
    <w:p>
      <w:pPr>
        <w:spacing w:after="100"/>
      </w:pPr>
      <w:r>
        <w:rPr>
          <w:b/>
          <w:bCs/>
        </w:rPr>
        <w:t xml:space="preserve">Build: </w:t>
      </w:r>
      <w:r>
        <w:t xml:space="preserve">Breadboard AD8232 + electrodes; confirm signal deflection on a test stimulus (this is your minimum-viable DA1/Review-1 demo). Bring up BME280, BH1750, soil sensor individually.</w:t>
      </w:r>
    </w:p>
    <w:p>
      <w:pPr>
        <w:spacing w:after="100"/>
      </w:pPr>
      <w:r>
        <w:rPr>
          <w:b/>
          <w:bCs/>
        </w:rPr>
        <w:t xml:space="preserve">Research: </w:t>
      </w:r>
      <w:r>
        <w:t xml:space="preserve">Draft the 1-page invention disclosure — what's novel, who contributed what (needed for inventorship on the patent).</w:t>
      </w:r>
    </w:p>
    <w:p>
      <w:pPr>
        <w:spacing w:after="100"/>
      </w:pPr>
      <w:r>
        <w:rPr>
          <w:b/>
          <w:bCs/>
        </w:rPr>
        <w:t xml:space="preserve">Patent: </w:t>
      </w:r>
      <w:r>
        <w:t xml:space="preserve">Take the invention disclosure to VIT's IPR/Innovation cell — ask about student filing support (fee waivers, agent access).</w:t>
      </w:r>
    </w:p>
    <w:p>
      <w:pPr>
        <w:spacing w:after="100"/>
      </w:pPr>
      <w:r>
        <w:rPr>
          <w:b/>
          <w:bCs/>
        </w:rPr>
        <w:t xml:space="preserve">Faculty checkpoint: </w:t>
      </w:r>
      <w:r>
        <w:t xml:space="preserve">Sign off on the invention disclosure before it goes to the IPR cell.</w:t>
      </w:r>
    </w:p>
    <w:p>
      <w:pPr>
        <w:pStyle w:val="Heading2"/>
        <w:spacing w:after="120" w:before="240"/>
      </w:pPr>
      <w:r>
        <w:t xml:space="preserve">Phase 3 — Deployment &amp; Integration (Weeks 3–4)</w:t>
      </w:r>
    </w:p>
    <w:p>
      <w:pPr>
        <w:spacing w:after="100"/>
      </w:pPr>
      <w:r>
        <w:rPr>
          <w:b/>
          <w:bCs/>
        </w:rPr>
        <w:t xml:space="preserve">Build: </w:t>
      </w:r>
      <w:r>
        <w:t xml:space="preserve">Deploy 3 plant groups (control / drought / physical-stress); begin continuous data logging; wire the relay + solenoid/pump actuation path.</w:t>
      </w:r>
    </w:p>
    <w:p>
      <w:pPr>
        <w:spacing w:after="100"/>
      </w:pPr>
      <w:r>
        <w:rPr>
          <w:b/>
          <w:bCs/>
        </w:rPr>
        <w:t xml:space="preserve">Research: </w:t>
      </w:r>
      <w:r>
        <w:t xml:space="preserve">Draft Introduction/Related Work and System Design sections, reusing the block diagram.</w:t>
      </w:r>
    </w:p>
    <w:p>
      <w:pPr>
        <w:spacing w:after="100"/>
      </w:pPr>
      <w:r>
        <w:t>Patent: File the provisional patent application now — before any public repo or paper submission. This sets your priority date. Milestone independence: this often lands the same week as plant-group deployment (Build, above) and both compete for B/C's time — if one slips, let it be this one, since the provisional gives no fixed deadline pressure, while the data-collection window is the true critical path for everything downstream.</w:t>
      </w:r>
    </w:p>
    <w:p>
      <w:pPr>
        <w:spacing w:after="100"/>
      </w:pPr>
      <w:r>
        <w:rPr>
          <w:b/>
          <w:bCs/>
        </w:rPr>
        <w:t xml:space="preserve">Critical rule: </w:t>
      </w:r>
      <w:r>
        <w:t xml:space="preserve">Keep the GitHub repo private and do not submit the paper anywhere until the provisional is filed. Public disclosure before filing can kill patentability.</w:t>
      </w:r>
    </w:p>
    <w:p>
      <w:pPr>
        <w:pStyle w:val="Heading2"/>
        <w:spacing w:after="120" w:before="240"/>
      </w:pPr>
      <w:r>
        <w:t xml:space="preserve">Phase 4 — Software Pipeline &amp; Explainability (Weeks 4–6)</w:t>
      </w:r>
    </w:p>
    <w:p>
      <w:pPr>
        <w:spacing w:after="100"/>
      </w:pPr>
      <w:r>
        <w:rPr>
          <w:b/>
          <w:bCs/>
        </w:rPr>
        <w:t xml:space="preserve">Build/Firmware: </w:t>
      </w:r>
      <w:r>
        <w:t xml:space="preserve">Denoising → feature extraction → personalized bounded-memory model → electrode-drift self-check → confidence-gated updates → fusion classifier. Then: on-device explainability layer, closed-loop irrigation control logic, initial forecasting engine.</w:t>
      </w:r>
    </w:p>
    <w:p>
      <w:pPr>
        <w:spacing w:after="100"/>
      </w:pPr>
      <w:r>
        <w:rPr>
          <w:b/>
          <w:bCs/>
        </w:rPr>
        <w:t xml:space="preserve">Research: </w:t>
      </w:r>
      <w:r>
        <w:t xml:space="preserve">Once real logs exist, generate result plots (accuracy, early-detection lead time vs. fixed-threshold baseline, false-alarm rate); write Methodology and Results.</w:t>
      </w:r>
    </w:p>
    <w:p>
      <w:pPr>
        <w:spacing w:after="100"/>
      </w:pPr>
      <w:r>
        <w:rPr>
          <w:b/>
          <w:bCs/>
        </w:rPr>
        <w:t xml:space="preserve">Faculty checkpoint: </w:t>
      </w:r>
      <w:r>
        <w:t xml:space="preserve">Review data quality and the personalized-vs-fixed-threshold comparison before locking the Results section.</w:t>
      </w:r>
    </w:p>
    <w:p>
      <w:pPr>
        <w:pStyle w:val="Heading2"/>
        <w:spacing w:after="120" w:before="240"/>
      </w:pPr>
      <w:r>
        <w:t>Phase 5 — Integration, Dashboard &amp; Finalization (Weeks 6–10)</w:t>
      </w:r>
    </w:p>
    <w:p>
      <w:pPr>
        <w:spacing w:after="100"/>
      </w:pPr>
      <w:r>
        <w:rPr>
          <w:b/>
          <w:bCs/>
        </w:rPr>
        <w:t xml:space="preserve">Build: </w:t>
      </w:r>
      <w:r>
        <w:t xml:space="preserve">End-to-end integration test: predict → explain → irrigate → forecast. Build the BLE/Wi-Fi companion dashboard. Move verified circuit to the dot PCB / enclosure.</w:t>
      </w:r>
    </w:p>
    <w:p>
      <w:pPr>
        <w:spacing w:after="100"/>
      </w:pPr>
      <w:r>
        <w:t>Research: Discussion, limitations, future work; full draft assembly and faculty advisor review; hold a 1-week buffer (Week 9–10) for revisions before submitting to the target venue — don't let faculty feedback and the submission deadline collide.</w:t>
      </w:r>
    </w:p>
    <w:p>
      <w:pPr>
        <w:spacing w:after="100"/>
      </w:pPr>
      <w:r>
        <w:rPr>
          <w:b/>
          <w:bCs/>
        </w:rPr>
        <w:t xml:space="preserve">Patent: </w:t>
      </w:r>
      <w:r>
        <w:t xml:space="preserve">Provisional-to-complete-specification conversion has a 12-month runway from filing — no rush yet, but assign C to own the deadline tracking.</w:t>
      </w:r>
    </w:p>
    <w:p>
      <w:pPr>
        <w:spacing w:after="100"/>
      </w:pPr>
      <w:r>
        <w:rPr>
          <w:b/>
          <w:bCs/>
        </w:rPr>
        <w:t xml:space="preserve">Accessibility: </w:t>
      </w:r>
      <w:r>
        <w:t xml:space="preserve">Write the replication docs (wiring diagrams, calibration steps, firmware flashing instructions) so someone outside the team can rebuild the device from the GitHub repo once it's public.</w:t>
      </w:r>
    </w:p>
    <w:p>
      <w:pPr>
        <w:pStyle w:val="Heading1"/>
        <w:spacing w:after="160" w:before="320"/>
      </w:pPr>
      <w:r>
        <w:t xml:space="preserve">6. GitHub Repository Structure &amp; Workflow</w:t>
      </w:r>
    </w:p>
    <w:p>
      <w:pPr>
        <w:pStyle w:val="Heading2"/>
        <w:spacing w:after="120" w:before="240"/>
      </w:pPr>
      <w:r>
        <w:t xml:space="preserve">Repo layout</w:t>
      </w:r>
    </w:p>
    <w:p>
      <w:pPr>
        <w:pStyle w:val="ListParagraph"/>
        <w:numPr>
          <w:ilvl w:val="0"/>
          <w:numId w:val="2"/>
        </w:numPr>
        <w:spacing w:after="60"/>
      </w:pPr>
      <w:r>
        <w:t xml:space="preserve">/firmware — PlatformIO project, one module per sensor</w:t>
      </w:r>
    </w:p>
    <w:p>
      <w:pPr>
        <w:pStyle w:val="ListParagraph"/>
        <w:numPr>
          <w:ilvl w:val="0"/>
          <w:numId w:val="2"/>
        </w:numPr>
        <w:spacing w:after="60"/>
      </w:pPr>
      <w:r>
        <w:t xml:space="preserve">/hardware — schematics, wiring diagrams, BOM.csv, KiCad files</w:t>
      </w:r>
    </w:p>
    <w:p>
      <w:pPr>
        <w:pStyle w:val="ListParagraph"/>
        <w:numPr>
          <w:ilvl w:val="0"/>
          <w:numId w:val="2"/>
        </w:numPr>
        <w:spacing w:after="60"/>
      </w:pPr>
      <w:r>
        <w:t xml:space="preserve">/data — CSV logs, organized by test date and plant group</w:t>
      </w:r>
    </w:p>
    <w:p>
      <w:pPr>
        <w:pStyle w:val="ListParagraph"/>
        <w:numPr>
          <w:ilvl w:val="0"/>
          <w:numId w:val="2"/>
        </w:numPr>
        <w:spacing w:after="60"/>
      </w:pPr>
      <w:r>
        <w:t xml:space="preserve">/analysis — Python/notebook scripts that generate the paper's figures</w:t>
      </w:r>
    </w:p>
    <w:p>
      <w:pPr>
        <w:pStyle w:val="ListParagraph"/>
        <w:numPr>
          <w:ilvl w:val="0"/>
          <w:numId w:val="2"/>
        </w:numPr>
        <w:spacing w:after="60"/>
      </w:pPr>
      <w:r>
        <w:t xml:space="preserve">/dashboard — mobile/web companion app code</w:t>
      </w:r>
    </w:p>
    <w:p>
      <w:pPr>
        <w:pStyle w:val="ListParagraph"/>
        <w:numPr>
          <w:ilvl w:val="0"/>
          <w:numId w:val="2"/>
        </w:numPr>
        <w:spacing w:after="60"/>
      </w:pPr>
      <w:r>
        <w:t xml:space="preserve">/docs — replication guide, calibration steps, paper drafts, patent notes (keep the IP-sensitive parts out of git history if the repo will ever go public — use a separate private notes doc instead)</w:t>
      </w:r>
    </w:p>
    <w:p>
      <w:pPr>
        <w:pStyle w:val="ListParagraph"/>
        <w:numPr>
          <w:ilvl w:val="0"/>
          <w:numId w:val="2"/>
        </w:numPr>
        <w:spacing w:after="60"/>
      </w:pPr>
      <w:r>
        <w:t xml:space="preserve">README.md — project overview + quickstart for anyone replicating the build</w:t>
      </w:r>
    </w:p>
    <w:p>
      <w:pPr>
        <w:pStyle w:val="Heading2"/>
        <w:spacing w:after="120" w:before="240"/>
      </w:pPr>
      <w:r>
        <w:t xml:space="preserve">Workflow</w:t>
      </w:r>
    </w:p>
    <w:p>
      <w:pPr>
        <w:pStyle w:val="ListParagraph"/>
        <w:numPr>
          <w:ilvl w:val="0"/>
          <w:numId w:val="2"/>
        </w:numPr>
        <w:spacing w:after="60"/>
      </w:pPr>
      <w:r>
        <w:t xml:space="preserve">Branches: main (stable builds only), dev (active work), feature branches per sensor/module, merged via PR after testing.</w:t>
      </w:r>
    </w:p>
    <w:p>
      <w:pPr>
        <w:pStyle w:val="ListParagraph"/>
        <w:numPr>
          <w:ilvl w:val="0"/>
          <w:numId w:val="2"/>
        </w:numPr>
        <w:spacing w:after="60"/>
      </w:pPr>
      <w:r>
        <w:t xml:space="preserve">Commits: one logical change per commit with descriptive messages — these timestamps double as build-history evidence for the paper and the patent.</w:t>
      </w:r>
    </w:p>
    <w:p>
      <w:pPr>
        <w:pStyle w:val="ListParagraph"/>
        <w:numPr>
          <w:ilvl w:val="0"/>
          <w:numId w:val="2"/>
        </w:numPr>
        <w:spacing w:after="60"/>
      </w:pPr>
      <w:r>
        <w:t xml:space="preserve">Visibility: keep the repo private until the provisional patent is filed (Phase 3). Flip to public only after filing, timed with paper submission.</w:t>
      </w:r>
    </w:p>
    <w:p>
      <w:pPr>
        <w:pStyle w:val="ListParagraph"/>
        <w:numPr>
          <w:ilvl w:val="0"/>
          <w:numId w:val="2"/>
        </w:numPr>
        <w:spacing w:after="60"/>
      </w:pPr>
      <w:r>
        <w:t xml:space="preserve">Project tracking: GitHub Issues per task, a Projects board split into Hardware / Firmware / Research / Patent swimlanes.</w:t>
      </w:r>
    </w:p>
    <w:p>
      <w:pPr>
        <w:pStyle w:val="Heading1"/>
        <w:spacing w:after="160" w:before="320"/>
      </w:pPr>
      <w:r>
        <w:t xml:space="preserve">7. Making It Accessible — Device + Replicable by Others</w:t>
      </w:r>
    </w:p>
    <w:p>
      <w:pPr>
        <w:spacing w:after="120"/>
      </w:pPr>
      <w:r>
        <w:t xml:space="preserve">Two accessibility goals: (1) a working physical device with its GitHub repo, and (2) a build others can actually replicate. The second needs more than code — it needs documentation discipline:</w:t>
      </w:r>
    </w:p>
    <w:p>
      <w:pPr>
        <w:pStyle w:val="ListParagraph"/>
        <w:numPr>
          <w:ilvl w:val="0"/>
          <w:numId w:val="2"/>
        </w:numPr>
        <w:spacing w:after="60"/>
      </w:pPr>
      <w:r>
        <w:t xml:space="preserve">Full BOM with sourcing links and approximate cost per component.</w:t>
      </w:r>
    </w:p>
    <w:p>
      <w:pPr>
        <w:pStyle w:val="ListParagraph"/>
        <w:numPr>
          <w:ilvl w:val="0"/>
          <w:numId w:val="2"/>
        </w:numPr>
        <w:spacing w:after="60"/>
      </w:pPr>
      <w:r>
        <w:t xml:space="preserve">Step-by-step wiring guide with labeled photos or a Fritzing/KiCad diagram (not just a schematic — show the physical layout).</w:t>
      </w:r>
    </w:p>
    <w:p>
      <w:pPr>
        <w:pStyle w:val="ListParagraph"/>
        <w:numPr>
          <w:ilvl w:val="0"/>
          <w:numId w:val="2"/>
        </w:numPr>
        <w:spacing w:after="60"/>
      </w:pPr>
      <w:r>
        <w:t xml:space="preserve">Firmware flashing instructions (board settings, library versions pinned in platformio.ini).</w:t>
      </w:r>
    </w:p>
    <w:p>
      <w:pPr>
        <w:pStyle w:val="ListParagraph"/>
        <w:numPr>
          <w:ilvl w:val="0"/>
          <w:numId w:val="2"/>
        </w:numPr>
        <w:spacing w:after="60"/>
      </w:pPr>
      <w:r>
        <w:t xml:space="preserve">A calibration procedure — how a new user establishes their own plant's baseline (this is core to your personalization claim, so document it precisely).</w:t>
      </w:r>
    </w:p>
    <w:p>
      <w:pPr>
        <w:pStyle w:val="ListParagraph"/>
        <w:numPr>
          <w:ilvl w:val="0"/>
          <w:numId w:val="2"/>
        </w:numPr>
        <w:spacing w:after="60"/>
      </w:pPr>
      <w:r>
        <w:t xml:space="preserve">A short demo video or GIF in the README showing the predict → explain → irrigate → forecast loop end-to-end.</w:t>
      </w:r>
    </w:p>
    <w:p>
      <w:pPr>
        <w:pStyle w:val="ListParagraph"/>
        <w:numPr>
          <w:ilvl w:val="0"/>
          <w:numId w:val="2"/>
        </w:numPr>
        <w:spacing w:after="60"/>
      </w:pPr>
      <w:r>
        <w:t xml:space="preserve">License file — decide open-source license for the repo only after the provisional patent is filed, since licensing terms interact with IP rights.</w:t>
      </w:r>
    </w:p>
    <w:p>
      <w:pPr>
        <w:pStyle w:val="Heading1"/>
        <w:spacing w:after="160" w:before="320"/>
      </w:pPr>
      <w:r>
        <w:t xml:space="preserve">8. Patent Filing Process — Step by Step</w:t>
      </w:r>
    </w:p>
    <w:p>
      <w:pPr>
        <w:pStyle w:val="ListParagraph"/>
        <w:numPr>
          <w:ilvl w:val="0"/>
          <w:numId w:val="2"/>
        </w:numPr>
        <w:spacing w:after="60"/>
      </w:pPr>
      <w:r>
        <w:t xml:space="preserve">1. Novelty search across Google Patents, IPO (India), and WIPO Patentscope — specifically on the combined system, not individual sensors.</w:t>
      </w:r>
    </w:p>
    <w:p>
      <w:pPr>
        <w:pStyle w:val="ListParagraph"/>
        <w:numPr>
          <w:ilvl w:val="0"/>
          <w:numId w:val="2"/>
        </w:numPr>
        <w:spacing w:after="60"/>
      </w:pPr>
      <w:r>
        <w:t xml:space="preserve">2. Write the invention disclosure — what's new, how it works, who contributed what.</w:t>
      </w:r>
    </w:p>
    <w:p>
      <w:pPr>
        <w:pStyle w:val="ListParagraph"/>
        <w:numPr>
          <w:ilvl w:val="0"/>
          <w:numId w:val="2"/>
        </w:numPr>
        <w:spacing w:after="60"/>
      </w:pPr>
      <w:r>
        <w:t>3. Approach VIT's IPR/Innovation cell — they often cover filing fees and provide a patent agent for student inventions. Explicitly ask for a professional novelty search AND a freedom-to-operate (FTO) search — these are different searches, and your own literature/patent table (Section 4-5 of the Master Document) is a head start for the agent, not a substitute for this step.</w:t>
      </w:r>
    </w:p>
    <w:p>
      <w:pPr>
        <w:pStyle w:val="ListParagraph"/>
        <w:numPr>
          <w:ilvl w:val="0"/>
          <w:numId w:val="2"/>
        </w:numPr>
        <w:spacing w:after="60"/>
      </w:pPr>
      <w:r>
        <w:t xml:space="preserve">4. Draft and file the provisional specification — secures your priority date without needing finalized claims.</w:t>
      </w:r>
    </w:p>
    <w:p>
      <w:pPr>
        <w:pStyle w:val="ListParagraph"/>
        <w:numPr>
          <w:ilvl w:val="0"/>
          <w:numId w:val="2"/>
        </w:numPr>
        <w:spacing w:after="60"/>
      </w:pPr>
      <w:r>
        <w:t xml:space="preserve">5. From the filing date, you have 12 months to convert to a complete specification with formal claims, drawings, and an abstract — this stage usually needs the patent agent.</w:t>
      </w:r>
    </w:p>
    <w:p>
      <w:pPr>
        <w:pStyle w:val="ListParagraph"/>
        <w:numPr>
          <w:ilvl w:val="0"/>
          <w:numId w:val="2"/>
        </w:numPr>
        <w:spacing w:after="60"/>
      </w:pPr>
      <w:r>
        <w:t xml:space="preserve">6. After filing (India Patent Office), publication typically follows around 18 months, with an option to request early publication.</w:t>
      </w:r>
    </w:p>
    <w:p>
      <w:pPr>
        <w:pStyle w:val="ListParagraph"/>
        <w:numPr>
          <w:ilvl w:val="0"/>
          <w:numId w:val="2"/>
        </w:numPr>
        <w:spacing w:after="60"/>
      </w:pPr>
      <w:r>
        <w:t xml:space="preserve">7. Examination and office-action responses follow publication — expect back-and-forth on claim scope.</w:t>
      </w:r>
    </w:p>
    <w:p>
      <w:pPr>
        <w:spacing w:after="120"/>
      </w:pPr>
      <w:r>
        <w:t>Golden rule: do not make the repo public or submit the paper before the provisional is filed. Public disclosure before filing is the single most common way student teams accidentally forfeit patent rights. Also do not finalize claim wording until the professional search (step 3) returns — and make sure the disclosure documents a concrete non-obviousness argument (see Master Document Section 7.1) rather than relying on “nobody's combined these before.”</w:t>
      </w:r>
    </w:p>
    <w:p>
      <w:pPr>
        <w:pStyle w:val="Heading1"/>
        <w:spacing w:after="160" w:before="320"/>
      </w:pPr>
      <w:r>
        <w:t xml:space="preserve">9. Research Paper Process — Step by Step</w:t>
      </w:r>
    </w:p>
    <w:p>
      <w:pPr>
        <w:pStyle w:val="ListParagraph"/>
        <w:numPr>
          <w:ilvl w:val="0"/>
          <w:numId w:val="2"/>
        </w:numPr>
        <w:spacing w:after="60"/>
      </w:pPr>
      <w:r>
        <w:t>1. Pick two target venues, not one: a Primary target (national/regional embedded-systems, IoT, or agri-tech student conference or workshop — realistic for a 2–4 week, small-n trial) and a Stretch target (IEEE journal-tier venue, attempted only if Phase 3–4 data is unusually strong, or after a larger follow-up data round). Check upcoming deadlines for the Primary target in Phase 1 so the Week 7–9 finish line is real, not aspirational.</w:t>
      </w:r>
    </w:p>
    <w:p>
      <w:pPr>
        <w:pStyle w:val="ListParagraph"/>
        <w:numPr>
          <w:ilvl w:val="0"/>
          <w:numId w:val="2"/>
        </w:numPr>
        <w:spacing w:after="60"/>
      </w:pPr>
      <w:r>
        <w:t xml:space="preserve">2. Assign sections: Intro/Related Work, System Design, Methodology, Results, Discussion — split across the team, written during the build, not after.</w:t>
      </w:r>
    </w:p>
    <w:p>
      <w:pPr>
        <w:pStyle w:val="ListParagraph"/>
        <w:numPr>
          <w:ilvl w:val="0"/>
          <w:numId w:val="2"/>
        </w:numPr>
        <w:spacing w:after="60"/>
      </w:pPr>
      <w:r>
        <w:t xml:space="preserve">3. Use the literature survey already done for DA1 as the Related Work backbone — it's already structured around the four gaps.</w:t>
      </w:r>
    </w:p>
    <w:p>
      <w:pPr>
        <w:pStyle w:val="ListParagraph"/>
        <w:numPr>
          <w:ilvl w:val="0"/>
          <w:numId w:val="2"/>
        </w:numPr>
        <w:spacing w:after="60"/>
      </w:pPr>
      <w:r>
        <w:t xml:space="preserve">4. Methodology should include exact sensor specs, sampling rates, and calibration procedure — write this as you build, you will forget exact settings otherwise.</w:t>
      </w:r>
    </w:p>
    <w:p>
      <w:pPr>
        <w:pStyle w:val="ListParagraph"/>
        <w:numPr>
          <w:ilvl w:val="0"/>
          <w:numId w:val="2"/>
        </w:numPr>
        <w:spacing w:after="60"/>
      </w:pPr>
      <w:r>
        <w:t xml:space="preserve">5. Results need real logged data: personalized-vs-fixed-threshold detection lead time, false-alarm rate, irrigation response accuracy, forecast validation against actual outcomes.</w:t>
      </w:r>
    </w:p>
    <w:p>
      <w:pPr>
        <w:pStyle w:val="ListParagraph"/>
        <w:numPr>
          <w:ilvl w:val="0"/>
          <w:numId w:val="2"/>
        </w:numPr>
        <w:spacing w:after="60"/>
      </w:pPr>
      <w:r>
        <w:t xml:space="preserve">6. Full draft → internal team review → faculty advisor review → revise.</w:t>
      </w:r>
    </w:p>
    <w:p>
      <w:pPr>
        <w:pStyle w:val="ListParagraph"/>
        <w:numPr>
          <w:ilvl w:val="0"/>
          <w:numId w:val="2"/>
        </w:numPr>
        <w:spacing w:after="60"/>
      </w:pPr>
      <w:r>
        <w:t xml:space="preserve">7. Submit only after the provisional patent is filed.</w:t>
      </w:r>
    </w:p>
    <w:p>
      <w:pPr>
        <w:pStyle w:val="ListParagraph"/>
        <w:numPr>
          <w:ilvl w:val="0"/>
          <w:numId w:val="2"/>
        </w:numPr>
        <w:spacing w:after="60"/>
      </w:pPr>
      <w:r>
        <w:t xml:space="preserve">8. Expect a review cycle of weeks to months depending on the venue; budget time for at least one revision round.</w:t>
      </w:r>
    </w:p>
    <w:p>
      <w:pPr>
        <w:pStyle w:val="Heading1"/>
        <w:spacing w:after="160" w:before="320"/>
      </w:pPr>
      <w:r>
        <w:t xml:space="preserve">10. Master Timeline (Combined 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200"/>
        <w:gridCol w:w="2400"/>
      </w:tblGrid>
      <w:tr>
        <w:trPr>
          <w:tblHeader/>
        </w:trPr>
        <w:tc>
          <w:tcPr>
            <w:tcW w:type="dxa" w:w="1000"/>
            <w:shd w:fill="D9E2F3" w:val="clear"/>
            <w:tcMar>
              <w:top w:type="dxa" w:w="80"/>
              <w:left w:type="dxa" w:w="100"/>
              <w:bottom w:type="dxa" w:w="80"/>
              <w:right w:type="dxa" w:w="100"/>
            </w:tcMar>
          </w:tcPr>
          <w:p>
            <w:r>
              <w:rPr>
                <w:b/>
                <w:bCs/>
              </w:rPr>
              <w:t xml:space="preserve">Week</w:t>
            </w:r>
          </w:p>
        </w:tc>
        <w:tc>
          <w:tcPr>
            <w:tcW w:type="dxa" w:w="3200"/>
            <w:shd w:fill="D9E2F3" w:val="clear"/>
            <w:tcMar>
              <w:top w:type="dxa" w:w="80"/>
              <w:left w:type="dxa" w:w="100"/>
              <w:bottom w:type="dxa" w:w="80"/>
              <w:right w:type="dxa" w:w="100"/>
            </w:tcMar>
          </w:tcPr>
          <w:p>
            <w:r>
              <w:rPr>
                <w:b/>
                <w:bCs/>
              </w:rPr>
              <w:t xml:space="preserve">Build/Firmware</w:t>
            </w:r>
          </w:p>
        </w:tc>
        <w:tc>
          <w:tcPr>
            <w:tcW w:type="dxa" w:w="3200"/>
            <w:shd w:fill="D9E2F3" w:val="clear"/>
            <w:tcMar>
              <w:top w:type="dxa" w:w="80"/>
              <w:left w:type="dxa" w:w="100"/>
              <w:bottom w:type="dxa" w:w="80"/>
              <w:right w:type="dxa" w:w="100"/>
            </w:tcMar>
          </w:tcPr>
          <w:p>
            <w:r>
              <w:rPr>
                <w:b/>
                <w:bCs/>
              </w:rPr>
              <w:t xml:space="preserve">Research/Paper</w:t>
            </w:r>
          </w:p>
        </w:tc>
        <w:tc>
          <w:tcPr>
            <w:tcW w:type="dxa" w:w="2400"/>
            <w:shd w:fill="D9E2F3" w:val="clear"/>
            <w:tcMar>
              <w:top w:type="dxa" w:w="80"/>
              <w:left w:type="dxa" w:w="100"/>
              <w:bottom w:type="dxa" w:w="80"/>
              <w:right w:type="dxa" w:w="100"/>
            </w:tcMar>
          </w:tcPr>
          <w:p>
            <w:r>
              <w:rPr>
                <w:b/>
                <w:bCs/>
              </w:rPr>
              <w:t xml:space="preserve">Patent</w:t>
            </w:r>
          </w:p>
        </w:tc>
      </w:tr>
      <w:tr>
        <w:tc>
          <w:tcPr>
            <w:tcW w:type="dxa" w:w="1000"/>
            <w:tcMar>
              <w:top w:type="dxa" w:w="80"/>
              <w:left w:type="dxa" w:w="100"/>
              <w:bottom w:type="dxa" w:w="80"/>
              <w:right w:type="dxa" w:w="100"/>
            </w:tcMar>
          </w:tcPr>
          <w:p>
            <w:r>
              <w:rPr>
                <w:b w:val="false"/>
                <w:bCs w:val="false"/>
              </w:rPr>
              <w:t xml:space="preserve">1</w:t>
            </w:r>
          </w:p>
        </w:tc>
        <w:tc>
          <w:tcPr>
            <w:tcW w:type="dxa" w:w="3200"/>
            <w:tcMar>
              <w:top w:type="dxa" w:w="80"/>
              <w:left w:type="dxa" w:w="100"/>
              <w:bottom w:type="dxa" w:w="80"/>
              <w:right w:type="dxa" w:w="100"/>
            </w:tcMar>
          </w:tcPr>
          <w:p>
            <w:r>
              <w:rPr>
                <w:b w:val="false"/>
                <w:bCs w:val="false"/>
              </w:rPr>
              <w:t xml:space="preserve">Finalize design, order components</w:t>
            </w:r>
          </w:p>
        </w:tc>
        <w:tc>
          <w:tcPr>
            <w:tcW w:type="dxa" w:w="3200"/>
            <w:tcMar>
              <w:top w:type="dxa" w:w="80"/>
              <w:left w:type="dxa" w:w="100"/>
              <w:bottom w:type="dxa" w:w="80"/>
              <w:right w:type="dxa" w:w="100"/>
            </w:tcMar>
          </w:tcPr>
          <w:p>
            <w:r>
              <w:rPr>
                <w:b w:val="false"/>
                <w:bCs w:val="false"/>
              </w:rPr>
              <w:t xml:space="preserve">Finish literature grounding</w:t>
            </w:r>
          </w:p>
        </w:tc>
        <w:tc>
          <w:tcPr>
            <w:tcW w:type="dxa" w:w="2400"/>
            <w:tcMar>
              <w:top w:type="dxa" w:w="80"/>
              <w:left w:type="dxa" w:w="100"/>
              <w:bottom w:type="dxa" w:w="80"/>
              <w:right w:type="dxa" w:w="100"/>
            </w:tcMar>
          </w:tcPr>
          <w:p>
            <w:r>
              <w:rPr>
                <w:b w:val="false"/>
                <w:bCs w:val="false"/>
              </w:rPr>
              <w:t xml:space="preserve">Informal novelty search</w:t>
            </w:r>
          </w:p>
        </w:tc>
      </w:tr>
      <w:tr>
        <w:tc>
          <w:tcPr>
            <w:tcW w:type="dxa" w:w="1000"/>
            <w:tcMar>
              <w:top w:type="dxa" w:w="80"/>
              <w:left w:type="dxa" w:w="100"/>
              <w:bottom w:type="dxa" w:w="80"/>
              <w:right w:type="dxa" w:w="100"/>
            </w:tcMar>
          </w:tcPr>
          <w:p>
            <w:r>
              <w:rPr>
                <w:b w:val="false"/>
                <w:bCs w:val="false"/>
              </w:rPr>
              <w:t xml:space="preserve">2</w:t>
            </w:r>
          </w:p>
        </w:tc>
        <w:tc>
          <w:tcPr>
            <w:tcW w:type="dxa" w:w="3200"/>
            <w:tcMar>
              <w:top w:type="dxa" w:w="80"/>
              <w:left w:type="dxa" w:w="100"/>
              <w:bottom w:type="dxa" w:w="80"/>
              <w:right w:type="dxa" w:w="100"/>
            </w:tcMar>
          </w:tcPr>
          <w:p>
            <w:r>
              <w:rPr>
                <w:b w:val="false"/>
                <w:bCs w:val="false"/>
              </w:rPr>
              <w:t xml:space="preserve">Analog front-end bring-up, sensor tests</w:t>
            </w:r>
          </w:p>
        </w:tc>
        <w:tc>
          <w:tcPr>
            <w:tcW w:type="dxa" w:w="3200"/>
            <w:tcMar>
              <w:top w:type="dxa" w:w="80"/>
              <w:left w:type="dxa" w:w="100"/>
              <w:bottom w:type="dxa" w:w="80"/>
              <w:right w:type="dxa" w:w="100"/>
            </w:tcMar>
          </w:tcPr>
          <w:p>
            <w:r>
              <w:rPr>
                <w:b w:val="false"/>
                <w:bCs w:val="false"/>
              </w:rPr>
              <w:t xml:space="preserve">Draft invention disclosure</w:t>
            </w:r>
          </w:p>
        </w:tc>
        <w:tc>
          <w:tcPr>
            <w:tcW w:type="dxa" w:w="2400"/>
            <w:tcMar>
              <w:top w:type="dxa" w:w="80"/>
              <w:left w:type="dxa" w:w="100"/>
              <w:bottom w:type="dxa" w:w="80"/>
              <w:right w:type="dxa" w:w="100"/>
            </w:tcMar>
          </w:tcPr>
          <w:p>
            <w:r>
              <w:rPr>
                <w:b w:val="false"/>
                <w:bCs w:val="false"/>
              </w:rPr>
              <w:t xml:space="preserve">Submit disclosure to IPR cell</w:t>
            </w:r>
          </w:p>
        </w:tc>
      </w:tr>
      <w:tr>
        <w:tc>
          <w:tcPr>
            <w:tcW w:type="dxa" w:w="1000"/>
            <w:tcMar>
              <w:top w:type="dxa" w:w="80"/>
              <w:left w:type="dxa" w:w="100"/>
              <w:bottom w:type="dxa" w:w="80"/>
              <w:right w:type="dxa" w:w="100"/>
            </w:tcMar>
          </w:tcPr>
          <w:p>
            <w:r>
              <w:rPr>
                <w:b w:val="false"/>
                <w:bCs w:val="false"/>
              </w:rPr>
              <w:t xml:space="preserve">3–4</w:t>
            </w:r>
          </w:p>
        </w:tc>
        <w:tc>
          <w:tcPr>
            <w:tcW w:type="dxa" w:w="3200"/>
            <w:tcMar>
              <w:top w:type="dxa" w:w="80"/>
              <w:left w:type="dxa" w:w="100"/>
              <w:bottom w:type="dxa" w:w="80"/>
              <w:right w:type="dxa" w:w="100"/>
            </w:tcMar>
          </w:tcPr>
          <w:p>
            <w:r>
              <w:rPr>
                <w:b w:val="false"/>
                <w:bCs w:val="false"/>
              </w:rPr>
              <w:t xml:space="preserve">Deploy 3 plant groups, wire irrigation</w:t>
            </w:r>
          </w:p>
        </w:tc>
        <w:tc>
          <w:tcPr>
            <w:tcW w:type="dxa" w:w="3200"/>
            <w:tcMar>
              <w:top w:type="dxa" w:w="80"/>
              <w:left w:type="dxa" w:w="100"/>
              <w:bottom w:type="dxa" w:w="80"/>
              <w:right w:type="dxa" w:w="100"/>
            </w:tcMar>
          </w:tcPr>
          <w:p>
            <w:r>
              <w:rPr>
                <w:b w:val="false"/>
                <w:bCs w:val="false"/>
              </w:rPr>
              <w:t xml:space="preserve">Draft Intro + System Design</w:t>
            </w:r>
          </w:p>
        </w:tc>
        <w:tc>
          <w:tcPr>
            <w:tcW w:type="dxa" w:w="2400"/>
            <w:tcMar>
              <w:top w:type="dxa" w:w="80"/>
              <w:left w:type="dxa" w:w="100"/>
              <w:bottom w:type="dxa" w:w="80"/>
              <w:right w:type="dxa" w:w="100"/>
            </w:tcMar>
          </w:tcPr>
          <w:p>
            <w:r>
              <w:rPr>
                <w:b w:val="false"/>
                <w:bCs w:val="false"/>
              </w:rPr>
              <w:t xml:space="preserve">File provisional patent</w:t>
            </w:r>
          </w:p>
        </w:tc>
      </w:tr>
      <w:tr>
        <w:tc>
          <w:tcPr>
            <w:tcW w:type="dxa" w:w="1000"/>
            <w:tcMar>
              <w:top w:type="dxa" w:w="80"/>
              <w:left w:type="dxa" w:w="100"/>
              <w:bottom w:type="dxa" w:w="80"/>
              <w:right w:type="dxa" w:w="100"/>
            </w:tcMar>
          </w:tcPr>
          <w:p>
            <w:r>
              <w:rPr>
                <w:b w:val="false"/>
                <w:bCs w:val="false"/>
              </w:rPr>
              <w:t xml:space="preserve">4–5</w:t>
            </w:r>
          </w:p>
        </w:tc>
        <w:tc>
          <w:tcPr>
            <w:tcW w:type="dxa" w:w="3200"/>
            <w:tcMar>
              <w:top w:type="dxa" w:w="80"/>
              <w:left w:type="dxa" w:w="100"/>
              <w:bottom w:type="dxa" w:w="80"/>
              <w:right w:type="dxa" w:w="100"/>
            </w:tcMar>
          </w:tcPr>
          <w:p>
            <w:r>
              <w:rPr>
                <w:b w:val="false"/>
                <w:bCs w:val="false"/>
              </w:rPr>
              <w:t xml:space="preserve">Software pipeline, fusion classifier</w:t>
            </w:r>
          </w:p>
        </w:tc>
        <w:tc>
          <w:tcPr>
            <w:tcW w:type="dxa" w:w="3200"/>
            <w:tcMar>
              <w:top w:type="dxa" w:w="80"/>
              <w:left w:type="dxa" w:w="100"/>
              <w:bottom w:type="dxa" w:w="80"/>
              <w:right w:type="dxa" w:w="100"/>
            </w:tcMar>
          </w:tcPr>
          <w:p>
            <w:r>
              <w:rPr>
                <w:b w:val="false"/>
                <w:bCs w:val="false"/>
              </w:rPr>
              <w:t xml:space="preserve">—</w:t>
            </w:r>
          </w:p>
        </w:tc>
        <w:tc>
          <w:tcPr>
            <w:tcW w:type="dxa" w:w="2400"/>
            <w:tcMar>
              <w:top w:type="dxa" w:w="80"/>
              <w:left w:type="dxa" w:w="100"/>
              <w:bottom w:type="dxa" w:w="80"/>
              <w:right w:type="dxa" w:w="100"/>
            </w:tcMar>
          </w:tcPr>
          <w:p>
            <w:r>
              <w:rPr>
                <w:b w:val="false"/>
                <w:bCs w:val="false"/>
              </w:rPr>
              <w:t xml:space="preserve">— (repo stays private)</w:t>
            </w:r>
          </w:p>
        </w:tc>
      </w:tr>
      <w:tr>
        <w:tc>
          <w:tcPr>
            <w:tcW w:type="dxa" w:w="1000"/>
            <w:tcMar>
              <w:top w:type="dxa" w:w="80"/>
              <w:left w:type="dxa" w:w="100"/>
              <w:bottom w:type="dxa" w:w="80"/>
              <w:right w:type="dxa" w:w="100"/>
            </w:tcMar>
          </w:tcPr>
          <w:p>
            <w:r>
              <w:rPr>
                <w:b w:val="false"/>
                <w:bCs w:val="false"/>
              </w:rPr>
              <w:t xml:space="preserve">5–6</w:t>
            </w:r>
          </w:p>
        </w:tc>
        <w:tc>
          <w:tcPr>
            <w:tcW w:type="dxa" w:w="3200"/>
            <w:tcMar>
              <w:top w:type="dxa" w:w="80"/>
              <w:left w:type="dxa" w:w="100"/>
              <w:bottom w:type="dxa" w:w="80"/>
              <w:right w:type="dxa" w:w="100"/>
            </w:tcMar>
          </w:tcPr>
          <w:p>
            <w:r>
              <w:rPr>
                <w:b w:val="false"/>
                <w:bCs w:val="false"/>
              </w:rPr>
              <w:t xml:space="preserve">Explainability + irrigation control + forecasting</w:t>
            </w:r>
          </w:p>
        </w:tc>
        <w:tc>
          <w:tcPr>
            <w:tcW w:type="dxa" w:w="3200"/>
            <w:tcMar>
              <w:top w:type="dxa" w:w="80"/>
              <w:left w:type="dxa" w:w="100"/>
              <w:bottom w:type="dxa" w:w="80"/>
              <w:right w:type="dxa" w:w="100"/>
            </w:tcMar>
          </w:tcPr>
          <w:p>
            <w:r>
              <w:rPr>
                <w:b w:val="false"/>
                <w:bCs w:val="false"/>
              </w:rPr>
              <w:t xml:space="preserve">Generate result plots, write Methodology/Results</w:t>
            </w:r>
          </w:p>
        </w:tc>
        <w:tc>
          <w:tcPr>
            <w:tcW w:type="dxa" w:w="24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6–7</w:t>
            </w:r>
          </w:p>
        </w:tc>
        <w:tc>
          <w:tcPr>
            <w:tcW w:type="dxa" w:w="3200"/>
            <w:tcMar>
              <w:top w:type="dxa" w:w="80"/>
              <w:left w:type="dxa" w:w="100"/>
              <w:bottom w:type="dxa" w:w="80"/>
              <w:right w:type="dxa" w:w="100"/>
            </w:tcMar>
          </w:tcPr>
          <w:p>
            <w:r>
              <w:rPr>
                <w:b w:val="false"/>
                <w:bCs w:val="false"/>
              </w:rPr>
              <w:t xml:space="preserve">Integration test, BLE/Wi-Fi dashboard</w:t>
            </w:r>
          </w:p>
        </w:tc>
        <w:tc>
          <w:tcPr>
            <w:tcW w:type="dxa" w:w="3200"/>
            <w:tcMar>
              <w:top w:type="dxa" w:w="80"/>
              <w:left w:type="dxa" w:w="100"/>
              <w:bottom w:type="dxa" w:w="80"/>
              <w:right w:type="dxa" w:w="100"/>
            </w:tcMar>
          </w:tcPr>
          <w:p>
            <w:r>
              <w:rPr>
                <w:b w:val="false"/>
                <w:bCs w:val="false"/>
              </w:rPr>
              <w:t xml:space="preserve">Discussion + limitations</w:t>
            </w:r>
          </w:p>
        </w:tc>
        <w:tc>
          <w:tcPr>
            <w:tcW w:type="dxa" w:w="24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t>7–8</w:t>
            </w:r>
          </w:p>
        </w:tc>
        <w:tc>
          <w:tcPr>
            <w:tcW w:type="dxa" w:w="3200"/>
            <w:tcMar>
              <w:top w:type="dxa" w:w="80"/>
              <w:left w:type="dxa" w:w="100"/>
              <w:bottom w:type="dxa" w:w="80"/>
              <w:right w:type="dxa" w:w="100"/>
            </w:tcMar>
          </w:tcPr>
          <w:p>
            <w:r>
              <w:t>PCB/enclosure, replication docs</w:t>
            </w:r>
          </w:p>
        </w:tc>
        <w:tc>
          <w:tcPr>
            <w:tcW w:type="dxa" w:w="3200"/>
            <w:tcMar>
              <w:top w:type="dxa" w:w="80"/>
              <w:left w:type="dxa" w:w="100"/>
              <w:bottom w:type="dxa" w:w="80"/>
              <w:right w:type="dxa" w:w="100"/>
            </w:tcMar>
          </w:tcPr>
          <w:p>
            <w:r>
              <w:t>Faculty review; revise draft</w:t>
            </w:r>
          </w:p>
        </w:tc>
        <w:tc>
          <w:tcPr>
            <w:tcW w:type="dxa" w:w="2400"/>
            <w:tcMar>
              <w:top w:type="dxa" w:w="80"/>
              <w:left w:type="dxa" w:w="100"/>
              <w:bottom w:type="dxa" w:w="80"/>
              <w:right w:type="dxa" w:w="100"/>
            </w:tcMar>
          </w:tcPr>
          <w:p>
            <w:r>
              <w:t>Track 12-month provisional→complete deadline</w:t>
            </w:r>
          </w:p>
        </w:tc>
      </w:tr>
      <w:tr>
        <w:tc>
          <w:tcPr>
            <w:tcW w:type="dxa" w:w="1000"/>
          </w:tcPr>
          <w:p>
            <w:r>
              <w:t>9–10</w:t>
            </w:r>
          </w:p>
        </w:tc>
        <w:tc>
          <w:tcPr>
            <w:tcW w:type="dxa" w:w="3200"/>
          </w:tcPr>
          <w:p>
            <w:r>
              <w:t>Final demo polish, bug-fix buffer</w:t>
            </w:r>
          </w:p>
        </w:tc>
        <w:tc>
          <w:tcPr>
            <w:tcW w:type="dxa" w:w="3200"/>
          </w:tcPr>
          <w:p>
            <w:r>
              <w:t>Incorporate faculty feedback; make repo public; submit paper</w:t>
            </w:r>
          </w:p>
        </w:tc>
        <w:tc>
          <w:tcPr>
            <w:tcW w:type="dxa" w:w="2400"/>
          </w:tcPr>
          <w:p>
            <w:r>
              <w:t>— (buffer; no patent action due)</w:t>
            </w:r>
          </w:p>
        </w:tc>
      </w:tr>
    </w:tbl>
    <w:p>
      <w:pPr>
        <w:pStyle w:val="Heading1"/>
        <w:spacing w:after="160" w:before="320"/>
      </w:pPr>
      <w:r>
        <w:t xml:space="preserve">11. Open Decisions &amp; Risks to Flag Early</w:t>
      </w:r>
    </w:p>
    <w:p>
      <w:pPr>
        <w:pStyle w:val="ListParagraph"/>
        <w:numPr>
          <w:ilvl w:val="0"/>
          <w:numId w:val="2"/>
        </w:numPr>
        <w:spacing w:after="60"/>
      </w:pPr>
      <w:r>
        <w:t>Target paper venue and its deadline — pick the Primary target in Phase 1 so the Week 9–10 finish line (including the review buffer) is real, not aspirational; confirm the Stretch target's deadline separately since it may fall after the course ends.</w:t>
      </w:r>
    </w:p>
    <w:p>
      <w:pPr>
        <w:pStyle w:val="ListParagraph"/>
        <w:numPr>
          <w:ilvl w:val="0"/>
          <w:numId w:val="2"/>
        </w:numPr>
        <w:spacing w:after="60"/>
      </w:pPr>
      <w:r>
        <w:t xml:space="preserve">ESP32-S3 PSRAM spillover: models above ~2MB can take up to 60s to run per Espressif's own docs — keep every on-device model small and bounded-memory by design.</w:t>
      </w:r>
    </w:p>
    <w:p>
      <w:pPr>
        <w:pStyle w:val="ListParagraph"/>
        <w:numPr>
          <w:ilvl w:val="0"/>
          <w:numId w:val="2"/>
        </w:numPr>
        <w:spacing w:after="60"/>
      </w:pPr>
      <w:r>
        <w:t xml:space="preserve">Electrode drift vs. genuine stress — the self-check must be validated early; if it's unreliable, the whole personalization claim weakens.</w:t>
      </w:r>
    </w:p>
    <w:p>
      <w:pPr>
        <w:pStyle w:val="ListParagraph"/>
        <w:numPr>
          <w:ilvl w:val="0"/>
          <w:numId w:val="2"/>
        </w:numPr>
        <w:spacing w:after="60"/>
      </w:pPr>
      <w:r>
        <w:t xml:space="preserve">Repo visibility timing — assign one person (C) to be the single point of accountability for "don't go public before the provisional is filed."</w:t>
      </w:r>
    </w:p>
    <w:p>
      <w:pPr>
        <w:pStyle w:val="ListParagraph"/>
        <w:numPr>
          <w:ilvl w:val="0"/>
          <w:numId w:val="2"/>
        </w:numPr>
        <w:spacing w:after="60"/>
      </w:pPr>
      <w:r>
        <w:t xml:space="preserve">Open-source license choice for the repo — decide after filing, not before.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2026-08-25T04:00:19.380Z</dcterms:created>
  <dcterms:modified xsi:type="dcterms:W3CDTF">2026-08-25T04:00:19.392Z</dcterms:modified>
</cp:coreProperties>
</file>

<file path=docProps/custom.xml><?xml version="1.0" encoding="utf-8"?>
<Properties xmlns="http://schemas.openxmlformats.org/officeDocument/2006/custom-properties" xmlns:vt="http://schemas.openxmlformats.org/officeDocument/2006/docPropsVTypes"/>
</file>