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0000"/>
          <w:sz w:val="52"/>
          <w:szCs w:val="52"/>
        </w:rPr>
        <w:t xml:space="preserve">PhytoSense</w:t>
      </w:r>
    </w:p>
    <w:p>
      <w:pPr>
        <w:spacing w:after="60"/>
      </w:pPr>
      <w:r>
        <w:rPr>
          <w:i/>
          <w:iCs/>
          <w:color w:val="555555"/>
          <w:sz w:val="24"/>
          <w:szCs w:val="24"/>
        </w:rPr>
        <w:t xml:space="preserve">Master Project Document: Findings, Novelty, Patent &amp; Publication Plan</w:t>
      </w:r>
    </w:p>
    <w:p>
      <w:pPr>
        <w:spacing w:after="220"/>
      </w:pPr>
      <w:r>
        <w:rPr>
          <w:color w:val="888888"/>
          <w:sz w:val="18"/>
          <w:szCs w:val="18"/>
        </w:rPr>
        <w:t xml:space="preserve">Embedded Systems Project — Hardware 40% / Software 60%  |  Prepared for departmental pitch and approval</w:t>
      </w:r>
    </w:p>
    <w:p>
      <w:pPr>
        <w:pBdr>
          <w:bottom w:val="single" w:color="AAAAAA" w:sz="6"/>
        </w:pBdr>
        <w:spacing w:after="200"/>
      </w:pPr>
    </w:p>
    <w:p>
      <w:pPr>
        <w:pStyle w:val="Heading1"/>
        <w:spacing w:after="160" w:before="340"/>
      </w:pPr>
      <w:r>
        <w:t xml:space="preserve">1. Project Title</w:t>
      </w:r>
    </w:p>
    <w:p>
      <w:pPr>
        <w:spacing w:after="150"/>
      </w:pPr>
      <w:r>
        <w:rPr>
          <w:b/>
          <w:bCs/>
          <w:color w:val="000000"/>
        </w:rPr>
        <w:t xml:space="preserve">PhytoSense: </w:t>
      </w:r>
      <w:r>
        <w:rPr>
          <w:color w:val="000000"/>
        </w:rPr>
        <w:t xml:space="preserve">Personalized, Bounded-Memory On-Device Bioelectric Monitoring for Early Plant Stress Detection</w:t>
      </w:r>
    </w:p>
    <w:p>
      <w:pPr>
        <w:pStyle w:val="Heading1"/>
        <w:spacing w:after="160" w:before="340"/>
      </w:pPr>
      <w:r>
        <w:t xml:space="preserve">2. Problem Statement</w:t>
      </w:r>
    </w:p>
    <w:p>
      <w:pPr>
        <w:spacing w:after="150"/>
      </w:pPr>
      <w:r>
        <w:rPr>
          <w:color w:val="000000"/>
        </w:rPr>
        <w:t xml:space="preserve">Plant stress from drought, pest attack, disease onset, or nutrient deficiency is currently detected only after visible symptoms appear — wilting, discoloration, leaf curling — by which point damage is often already significant or irreversible. Existing monitoring approaches measure environmental proxies or visible outcomes, not the plant's own internal physiological response. Plant electrophysiology research confirms that plants generate measurable bioelectric signals in response to stress, often before visible symptoms appear — but every existing system that uses this signal applies one generic, pooled, species- or population-wide model. No existing system personalizes to the individual plant, on-device, continuously, under real memory constraints.</w:t>
      </w:r>
    </w:p>
    <w:p>
      <w:pPr>
        <w:pStyle w:val="Heading1"/>
        <w:spacing w:after="160" w:before="340"/>
      </w:pPr>
      <w:r>
        <w:t xml:space="preserve">3. Idea — What PhytoSense Is</w:t>
      </w:r>
    </w:p>
    <w:p>
      <w:pPr>
        <w:spacing w:after="150"/>
      </w:pPr>
      <w:r>
        <w:rPr>
          <w:color w:val="000000"/>
        </w:rPr>
        <w:t xml:space="preserve">A small, non-invasive clip-on device attached to a plant's leaf or stem via surface electrodes, continuously reading bioelectric potential alongside soil moisture, temperature, and light as supporting context. Instead of comparing readings to a fixed population-average threshold, the device learns that specific plant's own normal signal pattern, and flags meaningful deviation from its personal baseline as an early-stress signal — entirely on-device, with no cloud dependency.</w:t>
      </w:r>
    </w:p>
    <w:p>
      <w:pPr>
        <w:pStyle w:val="Heading2"/>
        <w:spacing w:after="120" w:before="260"/>
      </w:pPr>
      <w:r>
        <w:t xml:space="preserve">Three technical mechanisms (the actual contribution)</w:t>
      </w:r>
    </w:p>
    <w:p>
      <w:pPr>
        <w:pStyle w:val="ListParagraph"/>
        <w:numPr>
          <w:ilvl w:val="0"/>
          <w:numId w:val="2"/>
        </w:numPr>
        <w:spacing w:after="70"/>
      </w:pPr>
      <w:r>
        <w:rPr>
          <w:color w:val="000000"/>
        </w:rPr>
        <w:t xml:space="preserve">Personalized, bounded-memory baseline learning — a fixed-size, continuously self-refreshing model of one individual plant's own normal signal pattern (not a pooled multi-plant model).</w:t>
      </w:r>
    </w:p>
    <w:p>
      <w:pPr>
        <w:pStyle w:val="ListParagraph"/>
        <w:numPr>
          <w:ilvl w:val="0"/>
          <w:numId w:val="2"/>
        </w:numPr>
        <w:spacing w:after="70"/>
      </w:pPr>
      <w:r>
        <w:rPr>
          <w:color w:val="000000"/>
        </w:rPr>
        <w:t xml:space="preserve">Electrode-contact-quality self-diagnosis — distinguishes genuine physiological stress from electrode-contact degradation as the plant grows, via periodic impedance self-check (technique adapted from ECG/EEG wearables, never applied to plant tissue).</w:t>
      </w:r>
    </w:p>
    <w:p>
      <w:pPr>
        <w:pStyle w:val="ListParagraph"/>
        <w:numPr>
          <w:ilvl w:val="0"/>
          <w:numId w:val="2"/>
        </w:numPr>
        <w:spacing w:after="70"/>
      </w:pPr>
      <w:r>
        <w:rPr>
          <w:color w:val="000000"/>
        </w:rPr>
        <w:t xml:space="preserve">Confidence-gated personalization — the model updates its baseline only when new data is assessed as reliable, protecting against corruption from noise or contact faults.</w:t>
      </w:r>
    </w:p>
    <w:p>
      <w:r>
        <w:br w:type="page"/>
      </w:r>
    </w:p>
    <w:p>
      <w:pPr>
        <w:pStyle w:val="Heading1"/>
        <w:spacing w:after="160" w:before="340"/>
      </w:pPr>
      <w:r>
        <w:t xml:space="preserve">4. Complete Literature Review — All Related Work Found</w:t>
      </w:r>
    </w:p>
    <w:p>
      <w:pPr>
        <w:spacing w:after="150"/>
      </w:pPr>
      <w:r>
        <w:rPr>
          <w:color w:val="000000"/>
        </w:rPr>
        <w:t xml:space="preserve">A structured search was conducted across web-indexed academic sources (Nature/Scientific Reports, ScienceDirect, MDPI, IEEE Xplore-indexed results, arXiv, Semantic Scholar, and targeted Elicit/Consensus AI-assisted literature scans) plus Google Patents and USPTO. Papers are grouped by theme below. 2026 publications — the most current available — are called out specifically within each table.</w:t>
      </w:r>
    </w:p>
    <w:p>
      <w:pPr>
        <w:pStyle w:val="Heading2"/>
        <w:spacing w:after="120" w:before="260"/>
      </w:pPr>
      <w:r>
        <w:t xml:space="preserve">4.1 Foundational Plant Electrophysiology + ML/Sensing Literature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E5E5E5" w:val="clear"/>
          </w:tcPr>
          <w:p>
            <w:r>
              <w:rPr>
                <w:b/>
                <w:bCs/>
                <w:color w:val="000000"/>
                <w:sz w:val="17"/>
                <w:szCs w:val="17"/>
              </w:rPr>
              <w:t xml:space="preserve">Title / Authors</w:t>
            </w:r>
          </w:p>
        </w:tc>
        <w:tc>
          <w:tcPr>
            <w:tcW w:type="dxa" w:w="1100"/>
            <w:shd w:fill="E5E5E5" w:val="clear"/>
          </w:tcPr>
          <w:p>
            <w:r>
              <w:rPr>
                <w:b/>
                <w:bCs/>
                <w:color w:val="000000"/>
                <w:sz w:val="17"/>
                <w:szCs w:val="17"/>
              </w:rPr>
              <w:t xml:space="preserve">Year</w:t>
            </w:r>
          </w:p>
        </w:tc>
        <w:tc>
          <w:tcPr>
            <w:tcW w:type="dxa" w:w="2000"/>
            <w:shd w:fill="E5E5E5" w:val="clear"/>
          </w:tcPr>
          <w:p>
            <w:r>
              <w:rPr>
                <w:b/>
                <w:bCs/>
                <w:color w:val="000000"/>
                <w:sz w:val="17"/>
                <w:szCs w:val="17"/>
              </w:rPr>
              <w:t xml:space="preserve">Venue</w:t>
            </w:r>
          </w:p>
        </w:tc>
        <w:tc>
          <w:tcPr>
            <w:tcW w:type="dxa" w:w="3600"/>
            <w:shd w:fill="E5E5E5" w:val="clear"/>
          </w:tcPr>
          <w:p>
            <w:r>
              <w:rPr>
                <w:b/>
                <w:bCs/>
                <w:color w:val="000000"/>
                <w:sz w:val="17"/>
                <w:szCs w:val="17"/>
              </w:rPr>
              <w:t xml:space="preserve">Key Finding</w:t>
            </w:r>
          </w:p>
        </w:tc>
      </w:tr>
      <w:tr>
        <w:tc>
          <w:tcPr>
            <w:tcW w:type="dxa" w:w="2500"/>
          </w:tcPr>
          <w:p>
            <w:r>
              <w:rPr>
                <w:b w:val="false"/>
                <w:bCs w:val="false"/>
                <w:color w:val="000000"/>
                <w:sz w:val="17"/>
                <w:szCs w:val="17"/>
              </w:rPr>
              <w:t xml:space="preserve">Najdenovska et al. — PhytlSigns tomato study</w:t>
            </w:r>
          </w:p>
        </w:tc>
        <w:tc>
          <w:tcPr>
            <w:tcW w:type="dxa" w:w="1100"/>
          </w:tcPr>
          <w:p>
            <w:r>
              <w:rPr>
                <w:b w:val="false"/>
                <w:bCs w:val="false"/>
                <w:color w:val="000000"/>
                <w:sz w:val="17"/>
                <w:szCs w:val="17"/>
              </w:rPr>
              <w:t xml:space="preserve">2021</w:t>
            </w:r>
          </w:p>
        </w:tc>
        <w:tc>
          <w:tcPr>
            <w:tcW w:type="dxa" w:w="2000"/>
          </w:tcPr>
          <w:p>
            <w:r>
              <w:rPr>
                <w:b w:val="false"/>
                <w:bCs w:val="false"/>
                <w:color w:val="000000"/>
                <w:sz w:val="17"/>
                <w:szCs w:val="17"/>
              </w:rPr>
              <w:t xml:space="preserve">Journal</w:t>
            </w:r>
          </w:p>
        </w:tc>
        <w:tc>
          <w:tcPr>
            <w:tcW w:type="dxa" w:w="3600"/>
          </w:tcPr>
          <w:p>
            <w:r>
              <w:rPr>
                <w:b w:val="false"/>
                <w:bCs w:val="false"/>
                <w:color w:val="000000"/>
                <w:sz w:val="17"/>
                <w:szCs w:val="17"/>
              </w:rPr>
              <w:t xml:space="preserve">36 tomato plants; XGBoost; 85% acc; pooled multi-plant model (drought/nutrient/pest)</w:t>
            </w:r>
          </w:p>
        </w:tc>
      </w:tr>
      <w:tr>
        <w:tc>
          <w:tcPr>
            <w:tcW w:type="dxa" w:w="2500"/>
          </w:tcPr>
          <w:p>
            <w:r>
              <w:rPr>
                <w:b w:val="false"/>
                <w:bCs w:val="false"/>
                <w:color w:val="000000"/>
                <w:sz w:val="17"/>
                <w:szCs w:val="17"/>
              </w:rPr>
              <w:t xml:space="preserve">González I Juclà et al. — nitrogen-deficit DL</w:t>
            </w:r>
          </w:p>
        </w:tc>
        <w:tc>
          <w:tcPr>
            <w:tcW w:type="dxa" w:w="1100"/>
          </w:tcPr>
          <w:p>
            <w:r>
              <w:rPr>
                <w:b w:val="false"/>
                <w:bCs w:val="false"/>
                <w:color w:val="000000"/>
                <w:sz w:val="17"/>
                <w:szCs w:val="17"/>
              </w:rPr>
              <w:t xml:space="preserve">2023</w:t>
            </w:r>
          </w:p>
        </w:tc>
        <w:tc>
          <w:tcPr>
            <w:tcW w:type="dxa" w:w="2000"/>
          </w:tcPr>
          <w:p>
            <w:r>
              <w:rPr>
                <w:b w:val="false"/>
                <w:bCs w:val="false"/>
                <w:color w:val="000000"/>
                <w:sz w:val="17"/>
                <w:szCs w:val="17"/>
              </w:rPr>
              <w:t xml:space="preserve">Scientific Reports</w:t>
            </w:r>
          </w:p>
        </w:tc>
        <w:tc>
          <w:tcPr>
            <w:tcW w:type="dxa" w:w="3600"/>
          </w:tcPr>
          <w:p>
            <w:r>
              <w:rPr>
                <w:b w:val="false"/>
                <w:bCs w:val="false"/>
                <w:color w:val="000000"/>
                <w:sz w:val="17"/>
                <w:szCs w:val="17"/>
              </w:rPr>
              <w:t xml:space="preserve">16 tomato plants; 4 DL architectures; up to 99% (pooled); states DL “scarcely explored”</w:t>
            </w:r>
          </w:p>
        </w:tc>
      </w:tr>
      <w:tr>
        <w:tc>
          <w:tcPr>
            <w:tcW w:type="dxa" w:w="2500"/>
          </w:tcPr>
          <w:p>
            <w:r>
              <w:rPr>
                <w:b w:val="false"/>
                <w:bCs w:val="false"/>
                <w:color w:val="000000"/>
                <w:sz w:val="17"/>
                <w:szCs w:val="17"/>
              </w:rPr>
              <w:t xml:space="preserve">Kong et al. — dual-conductive microneedle patch</w:t>
            </w:r>
          </w:p>
        </w:tc>
        <w:tc>
          <w:tcPr>
            <w:tcW w:type="dxa" w:w="1100"/>
          </w:tcPr>
          <w:p>
            <w:r>
              <w:rPr>
                <w:b w:val="false"/>
                <w:bCs w:val="false"/>
                <w:color w:val="000000"/>
                <w:sz w:val="17"/>
                <w:szCs w:val="17"/>
              </w:rPr>
              <w:t xml:space="preserve">2023</w:t>
            </w:r>
          </w:p>
        </w:tc>
        <w:tc>
          <w:tcPr>
            <w:tcW w:type="dxa" w:w="2000"/>
          </w:tcPr>
          <w:p>
            <w:r>
              <w:rPr>
                <w:b w:val="false"/>
                <w:bCs w:val="false"/>
                <w:color w:val="000000"/>
                <w:sz w:val="17"/>
                <w:szCs w:val="17"/>
              </w:rPr>
              <w:t xml:space="preserve">Journal article</w:t>
            </w:r>
          </w:p>
        </w:tc>
        <w:tc>
          <w:tcPr>
            <w:tcW w:type="dxa" w:w="3600"/>
          </w:tcPr>
          <w:p>
            <w:r>
              <w:rPr>
                <w:b w:val="false"/>
                <w:bCs w:val="false"/>
                <w:color w:val="000000"/>
                <w:sz w:val="17"/>
                <w:szCs w:val="17"/>
              </w:rPr>
              <w:t xml:space="preserve">Real-time single-session plant response detection via microneedle</w:t>
            </w:r>
          </w:p>
        </w:tc>
      </w:tr>
      <w:tr>
        <w:tc>
          <w:tcPr>
            <w:tcW w:type="dxa" w:w="2500"/>
          </w:tcPr>
          <w:p>
            <w:r>
              <w:rPr>
                <w:b w:val="false"/>
                <w:bCs w:val="false"/>
                <w:color w:val="000000"/>
                <w:sz w:val="17"/>
                <w:szCs w:val="17"/>
              </w:rPr>
              <w:t xml:space="preserve">Zhou et al. — implantable microneedle ML sensor</w:t>
            </w:r>
          </w:p>
        </w:tc>
        <w:tc>
          <w:tcPr>
            <w:tcW w:type="dxa" w:w="1100"/>
          </w:tcPr>
          <w:p>
            <w:r>
              <w:rPr>
                <w:b w:val="false"/>
                <w:bCs w:val="false"/>
                <w:color w:val="000000"/>
                <w:sz w:val="17"/>
                <w:szCs w:val="17"/>
              </w:rPr>
              <w:t xml:space="preserve">2024/2025</w:t>
            </w:r>
          </w:p>
        </w:tc>
        <w:tc>
          <w:tcPr>
            <w:tcW w:type="dxa" w:w="2000"/>
          </w:tcPr>
          <w:p>
            <w:r>
              <w:rPr>
                <w:b w:val="false"/>
                <w:bCs w:val="false"/>
                <w:color w:val="000000"/>
                <w:sz w:val="17"/>
                <w:szCs w:val="17"/>
              </w:rPr>
              <w:t xml:space="preserve">Biosensors &amp; Bioelectronics</w:t>
            </w:r>
          </w:p>
        </w:tc>
        <w:tc>
          <w:tcPr>
            <w:tcW w:type="dxa" w:w="3600"/>
          </w:tcPr>
          <w:p>
            <w:r>
              <w:rPr>
                <w:b w:val="false"/>
                <w:bCs w:val="false"/>
                <w:color w:val="000000"/>
                <w:sz w:val="17"/>
                <w:szCs w:val="17"/>
              </w:rPr>
              <w:t xml:space="preserve">99.29% accuracy, drought/salt stress, pooled model</w:t>
            </w:r>
          </w:p>
        </w:tc>
      </w:tr>
      <w:tr>
        <w:tc>
          <w:tcPr>
            <w:tcW w:type="dxa" w:w="2500"/>
          </w:tcPr>
          <w:p>
            <w:r>
              <w:rPr>
                <w:b w:val="false"/>
                <w:bCs w:val="false"/>
                <w:color w:val="000000"/>
                <w:sz w:val="17"/>
                <w:szCs w:val="17"/>
              </w:rPr>
              <w:t xml:space="preserve">Automated Phytosensing (ozone classification)</w:t>
            </w:r>
          </w:p>
        </w:tc>
        <w:tc>
          <w:tcPr>
            <w:tcW w:type="dxa" w:w="1100"/>
          </w:tcPr>
          <w:p>
            <w:r>
              <w:rPr>
                <w:b w:val="false"/>
                <w:bCs w:val="false"/>
                <w:color w:val="000000"/>
                <w:sz w:val="17"/>
                <w:szCs w:val="17"/>
              </w:rPr>
              <w:t xml:space="preserve">2024</w:t>
            </w:r>
          </w:p>
        </w:tc>
        <w:tc>
          <w:tcPr>
            <w:tcW w:type="dxa" w:w="2000"/>
          </w:tcPr>
          <w:p>
            <w:r>
              <w:rPr>
                <w:b w:val="false"/>
                <w:bCs w:val="false"/>
                <w:color w:val="000000"/>
                <w:sz w:val="17"/>
                <w:szCs w:val="17"/>
              </w:rPr>
              <w:t xml:space="preserve">arXiv</w:t>
            </w:r>
          </w:p>
        </w:tc>
        <w:tc>
          <w:tcPr>
            <w:tcW w:type="dxa" w:w="3600"/>
          </w:tcPr>
          <w:p>
            <w:r>
              <w:rPr>
                <w:b w:val="false"/>
                <w:bCs w:val="false"/>
                <w:color w:val="000000"/>
                <w:sz w:val="17"/>
                <w:szCs w:val="17"/>
              </w:rPr>
              <w:t xml:space="preserve">On-device classification of ozone exposure from plant signals</w:t>
            </w:r>
          </w:p>
        </w:tc>
      </w:tr>
      <w:tr>
        <w:tc>
          <w:tcPr>
            <w:tcW w:type="dxa" w:w="2500"/>
          </w:tcPr>
          <w:p>
            <w:r>
              <w:rPr>
                <w:b w:val="false"/>
                <w:bCs w:val="false"/>
                <w:color w:val="000000"/>
                <w:sz w:val="17"/>
                <w:szCs w:val="17"/>
              </w:rPr>
              <w:t xml:space="preserve">Diálogo Elétrico em Plantas</w:t>
            </w:r>
          </w:p>
        </w:tc>
        <w:tc>
          <w:tcPr>
            <w:tcW w:type="dxa" w:w="1100"/>
          </w:tcPr>
          <w:p>
            <w:r>
              <w:rPr>
                <w:b w:val="false"/>
                <w:bCs w:val="false"/>
                <w:color w:val="000000"/>
                <w:sz w:val="17"/>
                <w:szCs w:val="17"/>
              </w:rPr>
              <w:t xml:space="preserve">2024</w:t>
            </w:r>
          </w:p>
        </w:tc>
        <w:tc>
          <w:tcPr>
            <w:tcW w:type="dxa" w:w="2000"/>
          </w:tcPr>
          <w:p>
            <w:r>
              <w:rPr>
                <w:b w:val="false"/>
                <w:bCs w:val="false"/>
                <w:color w:val="000000"/>
                <w:sz w:val="17"/>
                <w:szCs w:val="17"/>
              </w:rPr>
              <w:t xml:space="preserve">Journal (PT)</w:t>
            </w:r>
          </w:p>
        </w:tc>
        <w:tc>
          <w:tcPr>
            <w:tcW w:type="dxa" w:w="3600"/>
          </w:tcPr>
          <w:p>
            <w:r>
              <w:rPr>
                <w:b w:val="false"/>
                <w:bCs w:val="false"/>
                <w:color w:val="000000"/>
                <w:sz w:val="17"/>
                <w:szCs w:val="17"/>
              </w:rPr>
              <w:t xml:space="preserve">ML applied to plant electrical dialogue / stress ID</w:t>
            </w:r>
          </w:p>
        </w:tc>
      </w:tr>
      <w:tr>
        <w:tc>
          <w:tcPr>
            <w:tcW w:type="dxa" w:w="2500"/>
          </w:tcPr>
          <w:p>
            <w:r>
              <w:rPr>
                <w:b w:val="false"/>
                <w:bCs w:val="false"/>
                <w:color w:val="000000"/>
                <w:sz w:val="17"/>
                <w:szCs w:val="17"/>
              </w:rPr>
              <w:t xml:space="preserve">MIT/Biosensors — environmental &amp; emotional classification</w:t>
            </w:r>
          </w:p>
        </w:tc>
        <w:tc>
          <w:tcPr>
            <w:tcW w:type="dxa" w:w="1100"/>
          </w:tcPr>
          <w:p>
            <w:r>
              <w:rPr>
                <w:b w:val="false"/>
                <w:bCs w:val="false"/>
                <w:color w:val="000000"/>
                <w:sz w:val="17"/>
                <w:szCs w:val="17"/>
              </w:rPr>
              <w:t xml:space="preserve">2025</w:t>
            </w:r>
          </w:p>
        </w:tc>
        <w:tc>
          <w:tcPr>
            <w:tcW w:type="dxa" w:w="2000"/>
          </w:tcPr>
          <w:p>
            <w:r>
              <w:rPr>
                <w:b w:val="false"/>
                <w:bCs w:val="false"/>
                <w:color w:val="000000"/>
                <w:sz w:val="17"/>
                <w:szCs w:val="17"/>
              </w:rPr>
              <w:t xml:space="preserve">Biosensors (MDPI)</w:t>
            </w:r>
          </w:p>
        </w:tc>
        <w:tc>
          <w:tcPr>
            <w:tcW w:type="dxa" w:w="3600"/>
          </w:tcPr>
          <w:p>
            <w:r>
              <w:rPr>
                <w:b w:val="false"/>
                <w:bCs w:val="false"/>
                <w:color w:val="000000"/>
                <w:sz w:val="17"/>
                <w:szCs w:val="17"/>
              </w:rPr>
              <w:t xml:space="preserve">CNN + XGBoost; notes field deployment without Faraday cage advancing</w:t>
            </w:r>
          </w:p>
        </w:tc>
      </w:tr>
      <w:tr>
        <w:tc>
          <w:tcPr>
            <w:tcW w:type="dxa" w:w="2500"/>
          </w:tcPr>
          <w:p>
            <w:r>
              <w:rPr>
                <w:b w:val="false"/>
                <w:bCs w:val="false"/>
                <w:color w:val="000000"/>
                <w:sz w:val="17"/>
                <w:szCs w:val="17"/>
              </w:rPr>
              <w:t xml:space="preserve">PhytoNode</w:t>
            </w:r>
          </w:p>
        </w:tc>
        <w:tc>
          <w:tcPr>
            <w:tcW w:type="dxa" w:w="1100"/>
          </w:tcPr>
          <w:p>
            <w:r>
              <w:rPr>
                <w:b w:val="false"/>
                <w:bCs w:val="false"/>
                <w:color w:val="000000"/>
                <w:sz w:val="17"/>
                <w:szCs w:val="17"/>
              </w:rPr>
              <w:t xml:space="preserve">2022</w:t>
            </w:r>
          </w:p>
        </w:tc>
        <w:tc>
          <w:tcPr>
            <w:tcW w:type="dxa" w:w="2000"/>
          </w:tcPr>
          <w:p>
            <w:r>
              <w:rPr>
                <w:b w:val="false"/>
                <w:bCs w:val="false"/>
                <w:color w:val="000000"/>
                <w:sz w:val="17"/>
                <w:szCs w:val="17"/>
              </w:rPr>
              <w:t xml:space="preserve">Conf. (IT4SG)</w:t>
            </w:r>
          </w:p>
        </w:tc>
        <w:tc>
          <w:tcPr>
            <w:tcW w:type="dxa" w:w="3600"/>
          </w:tcPr>
          <w:p>
            <w:r>
              <w:rPr>
                <w:b w:val="false"/>
                <w:bCs w:val="false"/>
                <w:color w:val="000000"/>
                <w:sz w:val="17"/>
                <w:szCs w:val="17"/>
              </w:rPr>
              <w:t xml:space="preserve">On-device embedded DL for stimulus classification; part of WatchPlant</w:t>
            </w:r>
          </w:p>
        </w:tc>
      </w:tr>
      <w:tr>
        <w:tc>
          <w:tcPr>
            <w:tcW w:type="dxa" w:w="2500"/>
          </w:tcPr>
          <w:p>
            <w:r>
              <w:rPr>
                <w:b w:val="false"/>
                <w:bCs w:val="false"/>
                <w:color w:val="000000"/>
                <w:sz w:val="17"/>
                <w:szCs w:val="17"/>
              </w:rPr>
              <w:t xml:space="preserve">“When Plants Respond” (Buss, Aust, Hamann)</w:t>
            </w:r>
          </w:p>
        </w:tc>
        <w:tc>
          <w:tcPr>
            <w:tcW w:type="dxa" w:w="1100"/>
          </w:tcPr>
          <w:p>
            <w:r>
              <w:rPr>
                <w:b w:val="false"/>
                <w:bCs w:val="false"/>
                <w:color w:val="000000"/>
                <w:sz w:val="17"/>
                <w:szCs w:val="17"/>
              </w:rPr>
              <w:t xml:space="preserve">2025</w:t>
            </w:r>
          </w:p>
        </w:tc>
        <w:tc>
          <w:tcPr>
            <w:tcW w:type="dxa" w:w="2000"/>
          </w:tcPr>
          <w:p>
            <w:r>
              <w:rPr>
                <w:b w:val="false"/>
                <w:bCs w:val="false"/>
                <w:color w:val="000000"/>
                <w:sz w:val="17"/>
                <w:szCs w:val="17"/>
              </w:rPr>
              <w:t xml:space="preserve">Journal</w:t>
            </w:r>
          </w:p>
        </w:tc>
        <w:tc>
          <w:tcPr>
            <w:tcW w:type="dxa" w:w="3600"/>
          </w:tcPr>
          <w:p>
            <w:r>
              <w:rPr>
                <w:b w:val="false"/>
                <w:bCs w:val="false"/>
                <w:color w:val="000000"/>
                <w:sz w:val="17"/>
                <w:szCs w:val="17"/>
              </w:rPr>
              <w:t xml:space="preserve">5-month outdoor PhytoNode deployment + AutoML</w:t>
            </w:r>
          </w:p>
        </w:tc>
      </w:tr>
      <w:tr>
        <w:tc>
          <w:tcPr>
            <w:tcW w:type="dxa" w:w="2500"/>
          </w:tcPr>
          <w:p>
            <w:r>
              <w:rPr>
                <w:b w:val="false"/>
                <w:bCs w:val="false"/>
                <w:color w:val="000000"/>
                <w:sz w:val="17"/>
                <w:szCs w:val="17"/>
              </w:rPr>
              <w:t xml:space="preserve">Rapid Drought Stress — Bioimpedance (Reynolds et al.)</w:t>
            </w:r>
          </w:p>
        </w:tc>
        <w:tc>
          <w:tcPr>
            <w:tcW w:type="dxa" w:w="1100"/>
          </w:tcPr>
          <w:p>
            <w:r>
              <w:rPr>
                <w:b w:val="false"/>
                <w:bCs w:val="false"/>
                <w:color w:val="000000"/>
                <w:sz w:val="17"/>
                <w:szCs w:val="17"/>
              </w:rPr>
              <w:t xml:space="preserve">2023</w:t>
            </w:r>
          </w:p>
        </w:tc>
        <w:tc>
          <w:tcPr>
            <w:tcW w:type="dxa" w:w="2000"/>
          </w:tcPr>
          <w:p>
            <w:r>
              <w:rPr>
                <w:b w:val="false"/>
                <w:bCs w:val="false"/>
                <w:color w:val="000000"/>
                <w:sz w:val="17"/>
                <w:szCs w:val="17"/>
              </w:rPr>
              <w:t xml:space="preserve">IEEE Trans. AgriFood Electronics</w:t>
            </w:r>
          </w:p>
        </w:tc>
        <w:tc>
          <w:tcPr>
            <w:tcW w:type="dxa" w:w="3600"/>
          </w:tcPr>
          <w:p>
            <w:r>
              <w:rPr>
                <w:b w:val="false"/>
                <w:bCs w:val="false"/>
                <w:color w:val="000000"/>
                <w:sz w:val="17"/>
                <w:szCs w:val="17"/>
              </w:rPr>
              <w:t xml:space="preserve">Bioimpedance +25% within 1hr of drought onset</w:t>
            </w:r>
          </w:p>
        </w:tc>
      </w:tr>
      <w:tr>
        <w:tc>
          <w:tcPr>
            <w:tcW w:type="dxa" w:w="2500"/>
          </w:tcPr>
          <w:p>
            <w:r>
              <w:rPr>
                <w:b w:val="false"/>
                <w:bCs w:val="false"/>
                <w:color w:val="000000"/>
                <w:sz w:val="17"/>
                <w:szCs w:val="17"/>
              </w:rPr>
              <w:t xml:space="preserve">Salt-stress biosensor</w:t>
            </w:r>
          </w:p>
        </w:tc>
        <w:tc>
          <w:tcPr>
            <w:tcW w:type="dxa" w:w="1100"/>
          </w:tcPr>
          <w:p>
            <w:r>
              <w:rPr>
                <w:b w:val="false"/>
                <w:bCs w:val="false"/>
                <w:color w:val="000000"/>
                <w:sz w:val="17"/>
                <w:szCs w:val="17"/>
              </w:rPr>
              <w:t xml:space="preserve">2023</w:t>
            </w:r>
          </w:p>
        </w:tc>
        <w:tc>
          <w:tcPr>
            <w:tcW w:type="dxa" w:w="2000"/>
          </w:tcPr>
          <w:p>
            <w:r>
              <w:rPr>
                <w:b w:val="false"/>
                <w:bCs w:val="false"/>
                <w:color w:val="000000"/>
                <w:sz w:val="17"/>
                <w:szCs w:val="17"/>
              </w:rPr>
              <w:t xml:space="preserve">Journal</w:t>
            </w:r>
          </w:p>
        </w:tc>
        <w:tc>
          <w:tcPr>
            <w:tcW w:type="dxa" w:w="3600"/>
          </w:tcPr>
          <w:p>
            <w:r>
              <w:rPr>
                <w:b w:val="false"/>
                <w:bCs w:val="false"/>
                <w:color w:val="000000"/>
                <w:sz w:val="17"/>
                <w:szCs w:val="17"/>
              </w:rPr>
              <w:t xml:space="preserve">Biosensor for monitoring plant salt stress</w:t>
            </w:r>
          </w:p>
        </w:tc>
      </w:tr>
      <w:tr>
        <w:tc>
          <w:tcPr>
            <w:tcW w:type="dxa" w:w="2500"/>
          </w:tcPr>
          <w:p>
            <w:r>
              <w:rPr>
                <w:b w:val="false"/>
                <w:bCs w:val="false"/>
                <w:color w:val="000000"/>
                <w:sz w:val="17"/>
                <w:szCs w:val="17"/>
              </w:rPr>
              <w:t xml:space="preserve">PSO-SVM water-stress classification</w:t>
            </w:r>
          </w:p>
        </w:tc>
        <w:tc>
          <w:tcPr>
            <w:tcW w:type="dxa" w:w="1100"/>
          </w:tcPr>
          <w:p>
            <w:r>
              <w:rPr>
                <w:b w:val="false"/>
                <w:bCs w:val="false"/>
                <w:color w:val="000000"/>
                <w:sz w:val="17"/>
                <w:szCs w:val="17"/>
              </w:rPr>
              <w:t xml:space="preserve">2023</w:t>
            </w:r>
          </w:p>
        </w:tc>
        <w:tc>
          <w:tcPr>
            <w:tcW w:type="dxa" w:w="2000"/>
          </w:tcPr>
          <w:p>
            <w:r>
              <w:rPr>
                <w:b w:val="false"/>
                <w:bCs w:val="false"/>
                <w:color w:val="000000"/>
                <w:sz w:val="17"/>
                <w:szCs w:val="17"/>
              </w:rPr>
              <w:t xml:space="preserve">Journal</w:t>
            </w:r>
          </w:p>
        </w:tc>
        <w:tc>
          <w:tcPr>
            <w:tcW w:type="dxa" w:w="3600"/>
          </w:tcPr>
          <w:p>
            <w:r>
              <w:rPr>
                <w:b w:val="false"/>
                <w:bCs w:val="false"/>
                <w:color w:val="000000"/>
                <w:sz w:val="17"/>
                <w:szCs w:val="17"/>
              </w:rPr>
              <w:t xml:space="preserve">Classical ML (PSO-SVM) water-stress classification</w:t>
            </w:r>
          </w:p>
        </w:tc>
      </w:tr>
      <w:tr>
        <w:tc>
          <w:tcPr>
            <w:tcW w:type="dxa" w:w="2500"/>
          </w:tcPr>
          <w:p>
            <w:r>
              <w:rPr>
                <w:b w:val="false"/>
                <w:bCs w:val="false"/>
                <w:color w:val="000000"/>
                <w:sz w:val="17"/>
                <w:szCs w:val="17"/>
              </w:rPr>
              <w:t xml:space="preserve">Decoding canola &amp; oat crop health</w:t>
            </w:r>
          </w:p>
        </w:tc>
        <w:tc>
          <w:tcPr>
            <w:tcW w:type="dxa" w:w="1100"/>
          </w:tcPr>
          <w:p>
            <w:r>
              <w:rPr>
                <w:b w:val="false"/>
                <w:bCs w:val="false"/>
                <w:color w:val="000000"/>
                <w:sz w:val="17"/>
                <w:szCs w:val="17"/>
              </w:rPr>
              <w:t xml:space="preserve">2025</w:t>
            </w:r>
          </w:p>
        </w:tc>
        <w:tc>
          <w:tcPr>
            <w:tcW w:type="dxa" w:w="2000"/>
          </w:tcPr>
          <w:p>
            <w:r>
              <w:rPr>
                <w:b w:val="false"/>
                <w:bCs w:val="false"/>
                <w:color w:val="000000"/>
                <w:sz w:val="17"/>
                <w:szCs w:val="17"/>
              </w:rPr>
              <w:t xml:space="preserve">Journal</w:t>
            </w:r>
          </w:p>
        </w:tc>
        <w:tc>
          <w:tcPr>
            <w:tcW w:type="dxa" w:w="3600"/>
          </w:tcPr>
          <w:p>
            <w:r>
              <w:rPr>
                <w:b w:val="false"/>
                <w:bCs w:val="false"/>
                <w:color w:val="000000"/>
                <w:sz w:val="17"/>
                <w:szCs w:val="17"/>
              </w:rPr>
              <w:t xml:space="preserve">Bioelectrical signals + ML, drought/heat, pooled cohort model</w:t>
            </w:r>
          </w:p>
        </w:tc>
      </w:tr>
      <w:tr>
        <w:tc>
          <w:tcPr>
            <w:tcW w:type="dxa" w:w="2500"/>
          </w:tcPr>
          <w:p>
            <w:r>
              <w:rPr>
                <w:b w:val="false"/>
                <w:bCs w:val="false"/>
                <w:color w:val="000000"/>
                <w:sz w:val="17"/>
                <w:szCs w:val="17"/>
              </w:rPr>
              <w:t xml:space="preserve">Impedance-Driven Decoupling, Water–Nitrogen (Wheat)</w:t>
            </w:r>
          </w:p>
        </w:tc>
        <w:tc>
          <w:tcPr>
            <w:tcW w:type="dxa" w:w="1100"/>
          </w:tcPr>
          <w:p>
            <w:r>
              <w:rPr>
                <w:b w:val="false"/>
                <w:bCs w:val="false"/>
                <w:color w:val="000000"/>
                <w:sz w:val="17"/>
                <w:szCs w:val="17"/>
              </w:rPr>
              <w:t xml:space="preserve">2025</w:t>
            </w:r>
          </w:p>
        </w:tc>
        <w:tc>
          <w:tcPr>
            <w:tcW w:type="dxa" w:w="2000"/>
          </w:tcPr>
          <w:p>
            <w:r>
              <w:rPr>
                <w:b w:val="false"/>
                <w:bCs w:val="false"/>
                <w:color w:val="000000"/>
                <w:sz w:val="17"/>
                <w:szCs w:val="17"/>
              </w:rPr>
              <w:t xml:space="preserve">Journal</w:t>
            </w:r>
          </w:p>
        </w:tc>
        <w:tc>
          <w:tcPr>
            <w:tcW w:type="dxa" w:w="3600"/>
          </w:tcPr>
          <w:p>
            <w:r>
              <w:rPr>
                <w:b w:val="false"/>
                <w:bCs w:val="false"/>
                <w:color w:val="000000"/>
                <w:sz w:val="17"/>
                <w:szCs w:val="17"/>
              </w:rPr>
              <w:t xml:space="preserve">Multi-modal electrical fusion disambiguates 2 stress types (pooled)</w:t>
            </w:r>
          </w:p>
        </w:tc>
      </w:tr>
      <w:tr>
        <w:tc>
          <w:tcPr>
            <w:tcW w:type="dxa" w:w="2500"/>
          </w:tcPr>
          <w:p>
            <w:r>
              <w:rPr>
                <w:b w:val="false"/>
                <w:bCs w:val="false"/>
                <w:color w:val="000000"/>
                <w:sz w:val="17"/>
                <w:szCs w:val="17"/>
              </w:rPr>
              <w:t xml:space="preserve">DL-based abiotic crop stress assessment (review)</w:t>
            </w:r>
          </w:p>
        </w:tc>
        <w:tc>
          <w:tcPr>
            <w:tcW w:type="dxa" w:w="1100"/>
          </w:tcPr>
          <w:p>
            <w:r>
              <w:rPr>
                <w:b w:val="false"/>
                <w:bCs w:val="false"/>
                <w:color w:val="000000"/>
                <w:sz w:val="17"/>
                <w:szCs w:val="17"/>
              </w:rPr>
              <w:t xml:space="preserve">2025</w:t>
            </w:r>
          </w:p>
        </w:tc>
        <w:tc>
          <w:tcPr>
            <w:tcW w:type="dxa" w:w="2000"/>
          </w:tcPr>
          <w:p>
            <w:r>
              <w:rPr>
                <w:b w:val="false"/>
                <w:bCs w:val="false"/>
                <w:color w:val="000000"/>
                <w:sz w:val="17"/>
                <w:szCs w:val="17"/>
              </w:rPr>
              <w:t xml:space="preserve">Review</w:t>
            </w:r>
          </w:p>
        </w:tc>
        <w:tc>
          <w:tcPr>
            <w:tcW w:type="dxa" w:w="3600"/>
          </w:tcPr>
          <w:p>
            <w:r>
              <w:rPr>
                <w:b w:val="false"/>
                <w:bCs w:val="false"/>
                <w:color w:val="000000"/>
                <w:sz w:val="17"/>
                <w:szCs w:val="17"/>
              </w:rPr>
              <w:t xml:space="preserve">Broader crop-stress DL review (imaging-heavy)</w:t>
            </w:r>
          </w:p>
        </w:tc>
      </w:tr>
    </w:tbl>
    <w:p>
      <w:pPr>
        <w:spacing w:after="180"/>
      </w:pPr>
    </w:p>
    <w:p>
      <w:pPr>
        <w:pStyle w:val="Heading2"/>
        <w:spacing w:after="120" w:before="260"/>
      </w:pPr>
      <w:r>
        <w:t xml:space="preserve">4.2 Closest Prior Art — Including All 2026 Publications (Read Carefully)</w:t>
      </w:r>
    </w:p>
    <w:p>
      <w:pPr>
        <w:spacing w:after="150"/>
      </w:pPr>
      <w:r>
        <w:rPr>
          <w:color w:val="000000"/>
        </w:rPr>
        <w:t xml:space="preserve">This is the most important table in this document. Every entry here was evaluated specifically against PhytoSense's three claimed mechanisms.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E5E5E5" w:val="clear"/>
          </w:tcPr>
          <w:p>
            <w:r>
              <w:rPr>
                <w:b/>
                <w:bCs/>
                <w:color w:val="000000"/>
                <w:sz w:val="17"/>
                <w:szCs w:val="17"/>
              </w:rPr>
              <w:t xml:space="preserve">Title / Authors</w:t>
            </w:r>
          </w:p>
        </w:tc>
        <w:tc>
          <w:tcPr>
            <w:tcW w:type="dxa" w:w="1100"/>
            <w:shd w:fill="E5E5E5" w:val="clear"/>
          </w:tcPr>
          <w:p>
            <w:r>
              <w:rPr>
                <w:b/>
                <w:bCs/>
                <w:color w:val="000000"/>
                <w:sz w:val="17"/>
                <w:szCs w:val="17"/>
              </w:rPr>
              <w:t xml:space="preserve">Year</w:t>
            </w:r>
          </w:p>
        </w:tc>
        <w:tc>
          <w:tcPr>
            <w:tcW w:type="dxa" w:w="2000"/>
            <w:shd w:fill="E5E5E5" w:val="clear"/>
          </w:tcPr>
          <w:p>
            <w:r>
              <w:rPr>
                <w:b/>
                <w:bCs/>
                <w:color w:val="000000"/>
                <w:sz w:val="17"/>
                <w:szCs w:val="17"/>
              </w:rPr>
              <w:t xml:space="preserve">Venue</w:t>
            </w:r>
          </w:p>
        </w:tc>
        <w:tc>
          <w:tcPr>
            <w:tcW w:type="dxa" w:w="3600"/>
            <w:shd w:fill="E5E5E5" w:val="clear"/>
          </w:tcPr>
          <w:p>
            <w:r>
              <w:rPr>
                <w:b/>
                <w:bCs/>
                <w:color w:val="000000"/>
                <w:sz w:val="17"/>
                <w:szCs w:val="17"/>
              </w:rPr>
              <w:t xml:space="preserve">Key Finding</w:t>
            </w:r>
          </w:p>
        </w:tc>
      </w:tr>
      <w:tr>
        <w:tc>
          <w:tcPr>
            <w:tcW w:type="dxa" w:w="2500"/>
          </w:tcPr>
          <w:p>
            <w:r>
              <w:rPr>
                <w:b w:val="false"/>
                <w:bCs w:val="false"/>
                <w:color w:val="000000"/>
                <w:sz w:val="17"/>
                <w:szCs w:val="17"/>
              </w:rPr>
              <w:t xml:space="preserve">Internet of Plants — bioimpedance monitoring</w:t>
            </w:r>
          </w:p>
        </w:tc>
        <w:tc>
          <w:tcPr>
            <w:tcW w:type="dxa" w:w="1100"/>
          </w:tcPr>
          <w:p>
            <w:r>
              <w:rPr>
                <w:b w:val="false"/>
                <w:bCs w:val="false"/>
                <w:color w:val="000000"/>
                <w:sz w:val="17"/>
                <w:szCs w:val="17"/>
              </w:rPr>
              <w:t xml:space="preserve">Dec 12, 2025</w:t>
            </w:r>
          </w:p>
        </w:tc>
        <w:tc>
          <w:tcPr>
            <w:tcW w:type="dxa" w:w="2000"/>
          </w:tcPr>
          <w:p>
            <w:r>
              <w:rPr>
                <w:b w:val="false"/>
                <w:bCs w:val="false"/>
                <w:color w:val="000000"/>
                <w:sz w:val="17"/>
                <w:szCs w:val="17"/>
              </w:rPr>
              <w:t xml:space="preserve">Sensors (MDPI)</w:t>
            </w:r>
          </w:p>
        </w:tc>
        <w:tc>
          <w:tcPr>
            <w:tcW w:type="dxa" w:w="3600"/>
          </w:tcPr>
          <w:p>
            <w:r>
              <w:rPr>
                <w:b w:val="false"/>
                <w:bCs w:val="false"/>
                <w:color w:val="000000"/>
                <w:sz w:val="17"/>
                <w:szCs w:val="17"/>
              </w:rPr>
              <w:t xml:space="preserve">PROPOSES per-plant adaptive baseline drift correction as future work; not implemented/validated — closest prior art</w:t>
            </w:r>
          </w:p>
        </w:tc>
      </w:tr>
      <w:tr>
        <w:tc>
          <w:tcPr>
            <w:tcW w:type="dxa" w:w="2500"/>
          </w:tcPr>
          <w:p>
            <w:r>
              <w:rPr>
                <w:b w:val="false"/>
                <w:bCs w:val="false"/>
                <w:color w:val="000000"/>
                <w:sz w:val="17"/>
                <w:szCs w:val="17"/>
              </w:rPr>
              <w:t xml:space="preserve">Scoping review — AI + plant electrophysiology (Basnayake et al.)</w:t>
            </w:r>
          </w:p>
        </w:tc>
        <w:tc>
          <w:tcPr>
            <w:tcW w:type="dxa" w:w="1100"/>
          </w:tcPr>
          <w:p>
            <w:r>
              <w:rPr>
                <w:b w:val="false"/>
                <w:bCs w:val="false"/>
                <w:color w:val="000000"/>
                <w:sz w:val="17"/>
                <w:szCs w:val="17"/>
              </w:rPr>
              <w:t xml:space="preserve">2025/2026</w:t>
            </w:r>
          </w:p>
        </w:tc>
        <w:tc>
          <w:tcPr>
            <w:tcW w:type="dxa" w:w="2000"/>
          </w:tcPr>
          <w:p>
            <w:r>
              <w:rPr>
                <w:b w:val="false"/>
                <w:bCs w:val="false"/>
                <w:color w:val="000000"/>
                <w:sz w:val="17"/>
                <w:szCs w:val="17"/>
              </w:rPr>
              <w:t xml:space="preserve">Review</w:t>
            </w:r>
          </w:p>
        </w:tc>
        <w:tc>
          <w:tcPr>
            <w:tcW w:type="dxa" w:w="3600"/>
          </w:tcPr>
          <w:p>
            <w:r>
              <w:rPr>
                <w:b w:val="false"/>
                <w:bCs w:val="false"/>
                <w:color w:val="000000"/>
                <w:sz w:val="17"/>
                <w:szCs w:val="17"/>
              </w:rPr>
              <w:t xml:space="preserve">16 studies; names small datasets, generalizability, calls for Explainable AI</w:t>
            </w:r>
          </w:p>
        </w:tc>
      </w:tr>
      <w:tr>
        <w:tc>
          <w:tcPr>
            <w:tcW w:type="dxa" w:w="2500"/>
          </w:tcPr>
          <w:p>
            <w:r>
              <w:rPr>
                <w:b w:val="false"/>
                <w:bCs w:val="false"/>
                <w:color w:val="000000"/>
                <w:sz w:val="17"/>
                <w:szCs w:val="17"/>
              </w:rPr>
              <w:t xml:space="preserve">Javed &amp; Azeem — Electrobiological Signatures</w:t>
            </w:r>
          </w:p>
        </w:tc>
        <w:tc>
          <w:tcPr>
            <w:tcW w:type="dxa" w:w="1100"/>
          </w:tcPr>
          <w:p>
            <w:r>
              <w:rPr>
                <w:b w:val="false"/>
                <w:bCs w:val="false"/>
                <w:color w:val="000000"/>
                <w:sz w:val="17"/>
                <w:szCs w:val="17"/>
              </w:rPr>
              <w:t xml:space="preserve">Mar 31, 2026</w:t>
            </w:r>
          </w:p>
        </w:tc>
        <w:tc>
          <w:tcPr>
            <w:tcW w:type="dxa" w:w="2000"/>
          </w:tcPr>
          <w:p>
            <w:r>
              <w:rPr>
                <w:b w:val="false"/>
                <w:bCs w:val="false"/>
                <w:color w:val="000000"/>
                <w:sz w:val="17"/>
                <w:szCs w:val="17"/>
              </w:rPr>
              <w:t xml:space="preserve">J. Plant Electrobiology</w:t>
            </w:r>
          </w:p>
        </w:tc>
        <w:tc>
          <w:tcPr>
            <w:tcW w:type="dxa" w:w="3600"/>
          </w:tcPr>
          <w:p>
            <w:r>
              <w:rPr>
                <w:b w:val="false"/>
                <w:bCs w:val="false"/>
                <w:color w:val="000000"/>
                <w:sz w:val="17"/>
                <w:szCs w:val="17"/>
              </w:rPr>
              <w:t xml:space="preserve">Electrical signals as early-warning cues; precision-ag framing</w:t>
            </w:r>
          </w:p>
        </w:tc>
      </w:tr>
      <w:tr>
        <w:tc>
          <w:tcPr>
            <w:tcW w:type="dxa" w:w="2500"/>
          </w:tcPr>
          <w:p>
            <w:r>
              <w:rPr>
                <w:b w:val="false"/>
                <w:bCs w:val="false"/>
                <w:color w:val="000000"/>
                <w:sz w:val="17"/>
                <w:szCs w:val="17"/>
              </w:rPr>
              <w:t xml:space="preserve">“Silent Signals” — AD8232 ambient sensing</w:t>
            </w:r>
          </w:p>
        </w:tc>
        <w:tc>
          <w:tcPr>
            <w:tcW w:type="dxa" w:w="1100"/>
          </w:tcPr>
          <w:p>
            <w:r>
              <w:rPr>
                <w:b w:val="false"/>
                <w:bCs w:val="false"/>
                <w:color w:val="000000"/>
                <w:sz w:val="17"/>
                <w:szCs w:val="17"/>
              </w:rPr>
              <w:t xml:space="preserve">Apr 2, 2026</w:t>
            </w:r>
          </w:p>
        </w:tc>
        <w:tc>
          <w:tcPr>
            <w:tcW w:type="dxa" w:w="2000"/>
          </w:tcPr>
          <w:p>
            <w:r>
              <w:rPr>
                <w:b w:val="false"/>
                <w:bCs w:val="false"/>
                <w:color w:val="000000"/>
                <w:sz w:val="17"/>
                <w:szCs w:val="17"/>
              </w:rPr>
              <w:t xml:space="preserve">MDPI</w:t>
            </w:r>
          </w:p>
        </w:tc>
        <w:tc>
          <w:tcPr>
            <w:tcW w:type="dxa" w:w="3600"/>
          </w:tcPr>
          <w:p>
            <w:r>
              <w:rPr>
                <w:b w:val="false"/>
                <w:bCs w:val="false"/>
                <w:color w:val="000000"/>
                <w:sz w:val="17"/>
                <w:szCs w:val="17"/>
              </w:rPr>
              <w:t xml:space="preserve">Confirms AD8232 as current-standard amplifier for plant bioelectrics</w:t>
            </w:r>
          </w:p>
        </w:tc>
      </w:tr>
      <w:tr>
        <w:tc>
          <w:tcPr>
            <w:tcW w:type="dxa" w:w="2500"/>
          </w:tcPr>
          <w:p>
            <w:r>
              <w:rPr>
                <w:b w:val="false"/>
                <w:bCs w:val="false"/>
                <w:color w:val="000000"/>
                <w:sz w:val="17"/>
                <w:szCs w:val="17"/>
              </w:rPr>
              <w:t xml:space="preserve">Water-stress irrigation (Buss et al., AutoML)</w:t>
            </w:r>
          </w:p>
        </w:tc>
        <w:tc>
          <w:tcPr>
            <w:tcW w:type="dxa" w:w="1100"/>
          </w:tcPr>
          <w:p>
            <w:r>
              <w:rPr>
                <w:b w:val="false"/>
                <w:bCs w:val="false"/>
                <w:color w:val="000000"/>
                <w:sz w:val="17"/>
                <w:szCs w:val="17"/>
              </w:rPr>
              <w:t xml:space="preserve">2026</w:t>
            </w:r>
          </w:p>
        </w:tc>
        <w:tc>
          <w:tcPr>
            <w:tcW w:type="dxa" w:w="2000"/>
          </w:tcPr>
          <w:p>
            <w:r>
              <w:rPr>
                <w:b w:val="false"/>
                <w:bCs w:val="false"/>
                <w:color w:val="000000"/>
                <w:sz w:val="17"/>
                <w:szCs w:val="17"/>
              </w:rPr>
              <w:t xml:space="preserve">arXiv</w:t>
            </w:r>
          </w:p>
        </w:tc>
        <w:tc>
          <w:tcPr>
            <w:tcW w:type="dxa" w:w="3600"/>
          </w:tcPr>
          <w:p>
            <w:r>
              <w:rPr>
                <w:b w:val="false"/>
                <w:bCs w:val="false"/>
                <w:color w:val="000000"/>
                <w:sz w:val="17"/>
                <w:szCs w:val="17"/>
              </w:rPr>
              <w:t xml:space="preserve">Extends XGBoost approach with AutoML; still pooled model</w:t>
            </w:r>
          </w:p>
        </w:tc>
      </w:tr>
      <w:tr>
        <w:tc>
          <w:tcPr>
            <w:tcW w:type="dxa" w:w="2500"/>
          </w:tcPr>
          <w:p>
            <w:r>
              <w:rPr>
                <w:b w:val="false"/>
                <w:bCs w:val="false"/>
                <w:color w:val="000000"/>
                <w:sz w:val="17"/>
                <w:szCs w:val="17"/>
              </w:rPr>
              <w:t xml:space="preserve">Sun et al. — On-Site Detection Methods Review</w:t>
            </w:r>
          </w:p>
        </w:tc>
        <w:tc>
          <w:tcPr>
            <w:tcW w:type="dxa" w:w="1100"/>
          </w:tcPr>
          <w:p>
            <w:r>
              <w:rPr>
                <w:b w:val="false"/>
                <w:bCs w:val="false"/>
                <w:color w:val="000000"/>
                <w:sz w:val="17"/>
                <w:szCs w:val="17"/>
              </w:rPr>
              <w:t xml:space="preserve">Jan 28, 2026</w:t>
            </w:r>
          </w:p>
        </w:tc>
        <w:tc>
          <w:tcPr>
            <w:tcW w:type="dxa" w:w="2000"/>
          </w:tcPr>
          <w:p>
            <w:r>
              <w:rPr>
                <w:b w:val="false"/>
                <w:bCs w:val="false"/>
                <w:color w:val="000000"/>
                <w:sz w:val="17"/>
                <w:szCs w:val="17"/>
              </w:rPr>
              <w:t xml:space="preserve">J. of Sensors (Wiley)</w:t>
            </w:r>
          </w:p>
        </w:tc>
        <w:tc>
          <w:tcPr>
            <w:tcW w:type="dxa" w:w="3600"/>
          </w:tcPr>
          <w:p>
            <w:r>
              <w:rPr>
                <w:b w:val="false"/>
                <w:bCs w:val="false"/>
                <w:color w:val="000000"/>
                <w:sz w:val="17"/>
                <w:szCs w:val="17"/>
              </w:rPr>
              <w:t xml:space="preserve">Freshest general review of electrical-signature plant health detection</w:t>
            </w:r>
          </w:p>
        </w:tc>
      </w:tr>
      <w:tr>
        <w:tc>
          <w:tcPr>
            <w:tcW w:type="dxa" w:w="2500"/>
          </w:tcPr>
          <w:p>
            <w:r>
              <w:rPr>
                <w:b w:val="false"/>
                <w:bCs w:val="false"/>
                <w:color w:val="000000"/>
                <w:sz w:val="17"/>
                <w:szCs w:val="17"/>
              </w:rPr>
              <w:t xml:space="preserve">AdaptBio — Drift-Aware On-Device Learning (Gupta et al.)</w:t>
            </w:r>
          </w:p>
        </w:tc>
        <w:tc>
          <w:tcPr>
            <w:tcW w:type="dxa" w:w="1100"/>
          </w:tcPr>
          <w:p>
            <w:r>
              <w:rPr>
                <w:b w:val="false"/>
                <w:bCs w:val="false"/>
                <w:color w:val="000000"/>
                <w:sz w:val="17"/>
                <w:szCs w:val="17"/>
              </w:rPr>
              <w:t xml:space="preserve">2026</w:t>
            </w:r>
          </w:p>
        </w:tc>
        <w:tc>
          <w:tcPr>
            <w:tcW w:type="dxa" w:w="2000"/>
          </w:tcPr>
          <w:p>
            <w:r>
              <w:rPr>
                <w:b w:val="false"/>
                <w:bCs w:val="false"/>
                <w:color w:val="000000"/>
                <w:sz w:val="17"/>
                <w:szCs w:val="17"/>
              </w:rPr>
              <w:t xml:space="preserve">IEEE World AI IoT Congress</w:t>
            </w:r>
          </w:p>
        </w:tc>
        <w:tc>
          <w:tcPr>
            <w:tcW w:type="dxa" w:w="3600"/>
          </w:tcPr>
          <w:p>
            <w:r>
              <w:rPr>
                <w:b w:val="false"/>
                <w:bCs w:val="false"/>
                <w:color w:val="000000"/>
                <w:sz w:val="17"/>
                <w:szCs w:val="17"/>
              </w:rPr>
              <w:t xml:space="preserve">ESP32-S3, 25-device field trial; SHARED model, ACOUSTIC drift only, no personalization</w:t>
            </w:r>
          </w:p>
        </w:tc>
      </w:tr>
      <w:tr>
        <w:tc>
          <w:tcPr>
            <w:tcW w:type="dxa" w:w="2500"/>
          </w:tcPr>
          <w:p>
            <w:r>
              <w:rPr>
                <w:b w:val="false"/>
                <w:bCs w:val="false"/>
                <w:color w:val="000000"/>
                <w:sz w:val="17"/>
                <w:szCs w:val="17"/>
              </w:rPr>
              <w:t xml:space="preserve">Crichton et al. — printed adhesive gel bioelectrodes</w:t>
            </w:r>
          </w:p>
        </w:tc>
        <w:tc>
          <w:tcPr>
            <w:tcW w:type="dxa" w:w="1100"/>
          </w:tcPr>
          <w:p>
            <w:r>
              <w:rPr>
                <w:b w:val="false"/>
                <w:bCs w:val="false"/>
                <w:color w:val="000000"/>
                <w:sz w:val="17"/>
                <w:szCs w:val="17"/>
              </w:rPr>
              <w:t xml:space="preserve">2026</w:t>
            </w:r>
          </w:p>
        </w:tc>
        <w:tc>
          <w:tcPr>
            <w:tcW w:type="dxa" w:w="2000"/>
          </w:tcPr>
          <w:p>
            <w:r>
              <w:rPr>
                <w:b w:val="false"/>
                <w:bCs w:val="false"/>
                <w:color w:val="000000"/>
                <w:sz w:val="17"/>
                <w:szCs w:val="17"/>
              </w:rPr>
              <w:t xml:space="preserve">Communications Engineer</w:t>
            </w:r>
          </w:p>
        </w:tc>
        <w:tc>
          <w:tcPr>
            <w:tcW w:type="dxa" w:w="3600"/>
          </w:tcPr>
          <w:p>
            <w:r>
              <w:rPr>
                <w:b w:val="false"/>
                <w:bCs w:val="false"/>
                <w:color w:val="000000"/>
                <w:sz w:val="17"/>
                <w:szCs w:val="17"/>
              </w:rPr>
              <w:t xml:space="preserve">Materials fix for long-term electrode coupling (hardware approach to drift)</w:t>
            </w:r>
          </w:p>
        </w:tc>
      </w:tr>
      <w:tr>
        <w:tc>
          <w:tcPr>
            <w:tcW w:type="dxa" w:w="2500"/>
          </w:tcPr>
          <w:p>
            <w:r>
              <w:rPr>
                <w:b w:val="false"/>
                <w:bCs w:val="false"/>
                <w:color w:val="000000"/>
                <w:sz w:val="17"/>
                <w:szCs w:val="17"/>
              </w:rPr>
              <w:t xml:space="preserve">Su et al. — G-Quadruplex ionogel electrodes</w:t>
            </w:r>
          </w:p>
        </w:tc>
        <w:tc>
          <w:tcPr>
            <w:tcW w:type="dxa" w:w="1100"/>
          </w:tcPr>
          <w:p>
            <w:r>
              <w:rPr>
                <w:b w:val="false"/>
                <w:bCs w:val="false"/>
                <w:color w:val="000000"/>
                <w:sz w:val="17"/>
                <w:szCs w:val="17"/>
              </w:rPr>
              <w:t xml:space="preserve">2026</w:t>
            </w:r>
          </w:p>
        </w:tc>
        <w:tc>
          <w:tcPr>
            <w:tcW w:type="dxa" w:w="2000"/>
          </w:tcPr>
          <w:p>
            <w:r>
              <w:rPr>
                <w:b w:val="false"/>
                <w:bCs w:val="false"/>
                <w:color w:val="000000"/>
                <w:sz w:val="17"/>
                <w:szCs w:val="17"/>
              </w:rPr>
              <w:t xml:space="preserve">ACS Nano</w:t>
            </w:r>
          </w:p>
        </w:tc>
        <w:tc>
          <w:tcPr>
            <w:tcW w:type="dxa" w:w="3600"/>
          </w:tcPr>
          <w:p>
            <w:r>
              <w:rPr>
                <w:b w:val="false"/>
                <w:bCs w:val="false"/>
                <w:color w:val="000000"/>
                <w:sz w:val="17"/>
                <w:szCs w:val="17"/>
              </w:rPr>
              <w:t xml:space="preserve">Materials fix for robust plant bioelectrode interfaces</w:t>
            </w:r>
          </w:p>
        </w:tc>
      </w:tr>
      <w:tr>
        <w:tc>
          <w:tcPr>
            <w:tcW w:type="dxa" w:w="2500"/>
          </w:tcPr>
          <w:p>
            <w:r>
              <w:rPr>
                <w:b w:val="false"/>
                <w:bCs w:val="false"/>
                <w:color w:val="000000"/>
                <w:sz w:val="17"/>
                <w:szCs w:val="17"/>
              </w:rPr>
              <w:t xml:space="preserve">Shinoda &amp; Sugiyama — EIS water-stress detection</w:t>
            </w:r>
          </w:p>
        </w:tc>
        <w:tc>
          <w:tcPr>
            <w:tcW w:type="dxa" w:w="1100"/>
          </w:tcPr>
          <w:p>
            <w:r>
              <w:rPr>
                <w:b w:val="false"/>
                <w:bCs w:val="false"/>
                <w:color w:val="000000"/>
                <w:sz w:val="17"/>
                <w:szCs w:val="17"/>
              </w:rPr>
              <w:t xml:space="preserve">2026</w:t>
            </w:r>
          </w:p>
        </w:tc>
        <w:tc>
          <w:tcPr>
            <w:tcW w:type="dxa" w:w="2000"/>
          </w:tcPr>
          <w:p>
            <w:r>
              <w:rPr>
                <w:b w:val="false"/>
                <w:bCs w:val="false"/>
                <w:color w:val="000000"/>
                <w:sz w:val="17"/>
                <w:szCs w:val="17"/>
              </w:rPr>
              <w:t xml:space="preserve">J. Electrical Bioimpedance</w:t>
            </w:r>
          </w:p>
        </w:tc>
        <w:tc>
          <w:tcPr>
            <w:tcW w:type="dxa" w:w="3600"/>
          </w:tcPr>
          <w:p>
            <w:r>
              <w:rPr>
                <w:b w:val="false"/>
                <w:bCs w:val="false"/>
                <w:color w:val="000000"/>
                <w:sz w:val="17"/>
                <w:szCs w:val="17"/>
              </w:rPr>
              <w:t xml:space="preserve">Separates electrode-interface effects from plant biology (for water-stress, not drift-diagnosis)</w:t>
            </w:r>
          </w:p>
        </w:tc>
      </w:tr>
      <w:tr>
        <w:tc>
          <w:tcPr>
            <w:tcW w:type="dxa" w:w="2500"/>
          </w:tcPr>
          <w:p>
            <w:r>
              <w:rPr>
                <w:b w:val="false"/>
                <w:bCs w:val="false"/>
                <w:color w:val="000000"/>
                <w:sz w:val="17"/>
                <w:szCs w:val="17"/>
              </w:rPr>
              <w:t xml:space="preserve">Wong et al. — thermoresponsive polymer coupling</w:t>
            </w:r>
          </w:p>
        </w:tc>
        <w:tc>
          <w:tcPr>
            <w:tcW w:type="dxa" w:w="1100"/>
          </w:tcPr>
          <w:p>
            <w:r>
              <w:rPr>
                <w:b w:val="false"/>
                <w:bCs w:val="false"/>
                <w:color w:val="000000"/>
                <w:sz w:val="17"/>
                <w:szCs w:val="17"/>
              </w:rPr>
              <w:t xml:space="preserve">2026</w:t>
            </w:r>
          </w:p>
        </w:tc>
        <w:tc>
          <w:tcPr>
            <w:tcW w:type="dxa" w:w="2000"/>
          </w:tcPr>
          <w:p>
            <w:r>
              <w:rPr>
                <w:b w:val="false"/>
                <w:bCs w:val="false"/>
                <w:color w:val="000000"/>
                <w:sz w:val="17"/>
                <w:szCs w:val="17"/>
              </w:rPr>
              <w:t xml:space="preserve">Science Advances</w:t>
            </w:r>
          </w:p>
        </w:tc>
        <w:tc>
          <w:tcPr>
            <w:tcW w:type="dxa" w:w="3600"/>
          </w:tcPr>
          <w:p>
            <w:r>
              <w:rPr>
                <w:b w:val="false"/>
                <w:bCs w:val="false"/>
                <w:color w:val="000000"/>
                <w:sz w:val="17"/>
                <w:szCs w:val="17"/>
              </w:rPr>
              <w:t xml:space="preserve">Month-long stable electrode coupling (materials, not software, fix)</w:t>
            </w:r>
          </w:p>
        </w:tc>
      </w:tr>
      <w:tr>
        <w:tc>
          <w:tcPr>
            <w:tcW w:type="dxa" w:w="2500"/>
          </w:tcPr>
          <w:p>
            <w:r>
              <w:rPr>
                <w:b w:val="false"/>
                <w:bCs w:val="false"/>
                <w:color w:val="000000"/>
                <w:sz w:val="17"/>
                <w:szCs w:val="17"/>
              </w:rPr>
              <w:t xml:space="preserve">Electrophysiological Assessment of Tomato (Circuit Component Analysis)</w:t>
            </w:r>
          </w:p>
        </w:tc>
        <w:tc>
          <w:tcPr>
            <w:tcW w:type="dxa" w:w="1100"/>
          </w:tcPr>
          <w:p>
            <w:r>
              <w:rPr>
                <w:b w:val="false"/>
                <w:bCs w:val="false"/>
                <w:color w:val="000000"/>
                <w:sz w:val="17"/>
                <w:szCs w:val="17"/>
              </w:rPr>
              <w:t xml:space="preserve">2026</w:t>
            </w:r>
          </w:p>
        </w:tc>
        <w:tc>
          <w:tcPr>
            <w:tcW w:type="dxa" w:w="2000"/>
          </w:tcPr>
          <w:p>
            <w:r>
              <w:rPr>
                <w:b w:val="false"/>
                <w:bCs w:val="false"/>
                <w:color w:val="000000"/>
                <w:sz w:val="17"/>
                <w:szCs w:val="17"/>
              </w:rPr>
              <w:t xml:space="preserve">Journal</w:t>
            </w:r>
          </w:p>
        </w:tc>
        <w:tc>
          <w:tcPr>
            <w:tcW w:type="dxa" w:w="3600"/>
          </w:tcPr>
          <w:p>
            <w:r>
              <w:rPr>
                <w:b w:val="false"/>
                <w:bCs w:val="false"/>
                <w:color w:val="000000"/>
                <w:sz w:val="17"/>
                <w:szCs w:val="17"/>
              </w:rPr>
              <w:t xml:space="preserve">ML augmentation + circuit analysis, pooled cohort</w:t>
            </w:r>
          </w:p>
        </w:tc>
      </w:tr>
      <w:tr>
        <w:tc>
          <w:tcPr>
            <w:tcW w:type="dxa" w:w="2500"/>
          </w:tcPr>
          <w:p>
            <w:r>
              <w:rPr>
                <w:b w:val="false"/>
                <w:bCs w:val="false"/>
                <w:color w:val="000000"/>
                <w:sz w:val="17"/>
                <w:szCs w:val="17"/>
              </w:rPr>
              <w:t xml:space="preserve">ImageHD — Hyperdimensional On-Device Continual Learning</w:t>
            </w:r>
          </w:p>
        </w:tc>
        <w:tc>
          <w:tcPr>
            <w:tcW w:type="dxa" w:w="1100"/>
          </w:tcPr>
          <w:p>
            <w:r>
              <w:rPr>
                <w:b w:val="false"/>
                <w:bCs w:val="false"/>
                <w:color w:val="000000"/>
                <w:sz w:val="17"/>
                <w:szCs w:val="17"/>
              </w:rPr>
              <w:t xml:space="preserve">2026</w:t>
            </w:r>
          </w:p>
        </w:tc>
        <w:tc>
          <w:tcPr>
            <w:tcW w:type="dxa" w:w="2000"/>
          </w:tcPr>
          <w:p>
            <w:r>
              <w:rPr>
                <w:b w:val="false"/>
                <w:bCs w:val="false"/>
                <w:color w:val="000000"/>
                <w:sz w:val="17"/>
                <w:szCs w:val="17"/>
              </w:rPr>
              <w:t xml:space="preserve">IEEE FCCM</w:t>
            </w:r>
          </w:p>
        </w:tc>
        <w:tc>
          <w:tcPr>
            <w:tcW w:type="dxa" w:w="3600"/>
          </w:tcPr>
          <w:p>
            <w:r>
              <w:rPr>
                <w:b w:val="false"/>
                <w:bCs w:val="false"/>
                <w:color w:val="000000"/>
                <w:sz w:val="17"/>
                <w:szCs w:val="17"/>
              </w:rPr>
              <w:t xml:space="preserve">Bounded-exemplar hyperdimensional CL (general ML, not plant-specific)</w:t>
            </w:r>
          </w:p>
        </w:tc>
      </w:tr>
      <w:tr>
        <w:tc>
          <w:tcPr>
            <w:tcW w:type="dxa" w:w="2500"/>
          </w:tcPr>
          <w:p>
            <w:r>
              <w:rPr>
                <w:b w:val="false"/>
                <w:bCs w:val="false"/>
                <w:color w:val="000000"/>
                <w:sz w:val="17"/>
                <w:szCs w:val="17"/>
              </w:rPr>
              <w:t xml:space="preserve">Plant Species-Specific Anomaly Detection (Lo et al.)</w:t>
            </w:r>
          </w:p>
        </w:tc>
        <w:tc>
          <w:tcPr>
            <w:tcW w:type="dxa" w:w="1100"/>
          </w:tcPr>
          <w:p>
            <w:r>
              <w:rPr>
                <w:b w:val="false"/>
                <w:bCs w:val="false"/>
                <w:color w:val="000000"/>
                <w:sz w:val="17"/>
                <w:szCs w:val="17"/>
              </w:rPr>
              <w:t xml:space="preserve">2025</w:t>
            </w:r>
          </w:p>
        </w:tc>
        <w:tc>
          <w:tcPr>
            <w:tcW w:type="dxa" w:w="2000"/>
          </w:tcPr>
          <w:p>
            <w:r>
              <w:rPr>
                <w:b w:val="false"/>
                <w:bCs w:val="false"/>
                <w:color w:val="000000"/>
                <w:sz w:val="17"/>
                <w:szCs w:val="17"/>
              </w:rPr>
              <w:t xml:space="preserve">APSIPA ASC</w:t>
            </w:r>
          </w:p>
        </w:tc>
        <w:tc>
          <w:tcPr>
            <w:tcW w:type="dxa" w:w="3600"/>
          </w:tcPr>
          <w:p>
            <w:r>
              <w:rPr>
                <w:b w:val="false"/>
                <w:bCs w:val="false"/>
                <w:color w:val="000000"/>
                <w:sz w:val="17"/>
                <w:szCs w:val="17"/>
              </w:rPr>
              <w:t xml:space="preserve">1D autoencoder; SPECIES-level (not individual); IoU 0.050–0.701 across 9 species; static model</w:t>
            </w:r>
          </w:p>
        </w:tc>
      </w:tr>
      <w:tr>
        <w:tc>
          <w:tcPr>
            <w:tcW w:type="dxa" w:w="2500"/>
          </w:tcPr>
          <w:p>
            <w:r>
              <w:rPr>
                <w:b w:val="false"/>
                <w:bCs w:val="false"/>
                <w:color w:val="000000"/>
                <w:sz w:val="17"/>
                <w:szCs w:val="17"/>
              </w:rPr>
              <w:t xml:space="preserve">Dynamic Two-Stage Autoencoder Selection (Lo et al.)</w:t>
            </w:r>
          </w:p>
        </w:tc>
        <w:tc>
          <w:tcPr>
            <w:tcW w:type="dxa" w:w="1100"/>
          </w:tcPr>
          <w:p>
            <w:r>
              <w:rPr>
                <w:b w:val="false"/>
                <w:bCs w:val="false"/>
                <w:color w:val="000000"/>
                <w:sz w:val="17"/>
                <w:szCs w:val="17"/>
              </w:rPr>
              <w:t xml:space="preserve">2025</w:t>
            </w:r>
          </w:p>
        </w:tc>
        <w:tc>
          <w:tcPr>
            <w:tcW w:type="dxa" w:w="2000"/>
          </w:tcPr>
          <w:p>
            <w:r>
              <w:rPr>
                <w:b w:val="false"/>
                <w:bCs w:val="false"/>
                <w:color w:val="000000"/>
                <w:sz w:val="17"/>
                <w:szCs w:val="17"/>
              </w:rPr>
              <w:t xml:space="preserve">HNICEM</w:t>
            </w:r>
          </w:p>
        </w:tc>
        <w:tc>
          <w:tcPr>
            <w:tcW w:type="dxa" w:w="3600"/>
          </w:tcPr>
          <w:p>
            <w:r>
              <w:rPr>
                <w:b w:val="false"/>
                <w:bCs w:val="false"/>
                <w:color w:val="000000"/>
                <w:sz w:val="17"/>
                <w:szCs w:val="17"/>
              </w:rPr>
              <w:t xml:space="preserve">Inference-time selection among fixed pre-trained species models; 0.64/0.71 IoU; no per-plant adaptation</w:t>
            </w:r>
          </w:p>
        </w:tc>
      </w:tr>
      <w:tr>
        <w:tc>
          <w:tcPr>
            <w:tcW w:type="dxa" w:w="2500"/>
          </w:tcPr>
          <w:p>
            <w:r>
              <w:rPr>
                <w:b w:val="false"/>
                <w:bCs w:val="false"/>
                <w:color w:val="000000"/>
                <w:sz w:val="17"/>
                <w:szCs w:val="17"/>
              </w:rPr>
              <w:t xml:space="preserve">Neuroscience-Inspired Plant Electrophysiology (Wang et al.)</w:t>
            </w:r>
          </w:p>
        </w:tc>
        <w:tc>
          <w:tcPr>
            <w:tcW w:type="dxa" w:w="1100"/>
          </w:tcPr>
          <w:p>
            <w:r>
              <w:rPr>
                <w:b w:val="false"/>
                <w:bCs w:val="false"/>
                <w:color w:val="000000"/>
                <w:sz w:val="17"/>
                <w:szCs w:val="17"/>
              </w:rPr>
              <w:t xml:space="preserve">Jun 30, 2026</w:t>
            </w:r>
          </w:p>
        </w:tc>
        <w:tc>
          <w:tcPr>
            <w:tcW w:type="dxa" w:w="2000"/>
          </w:tcPr>
          <w:p>
            <w:r>
              <w:rPr>
                <w:b w:val="false"/>
                <w:bCs w:val="false"/>
                <w:color w:val="000000"/>
                <w:sz w:val="17"/>
                <w:szCs w:val="17"/>
              </w:rPr>
              <w:t xml:space="preserve">J. Plant Electrobiology</w:t>
            </w:r>
          </w:p>
        </w:tc>
        <w:tc>
          <w:tcPr>
            <w:tcW w:type="dxa" w:w="3600"/>
          </w:tcPr>
          <w:p>
            <w:r>
              <w:rPr>
                <w:b w:val="false"/>
                <w:bCs w:val="false"/>
                <w:color w:val="000000"/>
                <w:sz w:val="17"/>
                <w:szCs w:val="17"/>
              </w:rPr>
              <w:t xml:space="preserve">Proposes BCI-paradigm transfer (SSVEP/ERP) to plants; growth-artifact drift named as open theoretical blind spot; no personalization/calibration mechanism proposed</w:t>
            </w:r>
          </w:p>
        </w:tc>
      </w:tr>
    </w:tbl>
    <w:p>
      <w:pPr>
        <w:spacing w:after="180"/>
      </w:pPr>
    </w:p>
    <w:p>
      <w:pPr>
        <w:pStyle w:val="Heading2"/>
        <w:spacing w:after="120" w:before="260"/>
      </w:pPr>
      <w:r>
        <w:t xml:space="preserve">4.3 Bounded-Memory / Continual Learning on Embedded Hardware (Technical Precedent)</w:t>
      </w:r>
    </w:p>
    <w:p>
      <w:pPr>
        <w:spacing w:after="150"/>
      </w:pPr>
      <w:r>
        <w:rPr>
          <w:color w:val="000000"/>
        </w:rPr>
        <w:t xml:space="preserve">These papers are NOT competitors — they establish that the underlying memory-bounding technique is feasible and proven. PhytoSense applies this established technique family to a domain (plant bioelectrics) where it has not yet been used.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E5E5E5" w:val="clear"/>
          </w:tcPr>
          <w:p>
            <w:r>
              <w:rPr>
                <w:b/>
                <w:bCs/>
                <w:color w:val="000000"/>
                <w:sz w:val="17"/>
                <w:szCs w:val="17"/>
              </w:rPr>
              <w:t xml:space="preserve">Title / Authors</w:t>
            </w:r>
          </w:p>
        </w:tc>
        <w:tc>
          <w:tcPr>
            <w:tcW w:type="dxa" w:w="1100"/>
            <w:shd w:fill="E5E5E5" w:val="clear"/>
          </w:tcPr>
          <w:p>
            <w:r>
              <w:rPr>
                <w:b/>
                <w:bCs/>
                <w:color w:val="000000"/>
                <w:sz w:val="17"/>
                <w:szCs w:val="17"/>
              </w:rPr>
              <w:t xml:space="preserve">Year</w:t>
            </w:r>
          </w:p>
        </w:tc>
        <w:tc>
          <w:tcPr>
            <w:tcW w:type="dxa" w:w="2000"/>
            <w:shd w:fill="E5E5E5" w:val="clear"/>
          </w:tcPr>
          <w:p>
            <w:r>
              <w:rPr>
                <w:b/>
                <w:bCs/>
                <w:color w:val="000000"/>
                <w:sz w:val="17"/>
                <w:szCs w:val="17"/>
              </w:rPr>
              <w:t xml:space="preserve">Venue</w:t>
            </w:r>
          </w:p>
        </w:tc>
        <w:tc>
          <w:tcPr>
            <w:tcW w:type="dxa" w:w="3600"/>
            <w:shd w:fill="E5E5E5" w:val="clear"/>
          </w:tcPr>
          <w:p>
            <w:r>
              <w:rPr>
                <w:b/>
                <w:bCs/>
                <w:color w:val="000000"/>
                <w:sz w:val="17"/>
                <w:szCs w:val="17"/>
              </w:rPr>
              <w:t xml:space="preserve">Key Finding</w:t>
            </w:r>
          </w:p>
        </w:tc>
      </w:tr>
      <w:tr>
        <w:tc>
          <w:tcPr>
            <w:tcW w:type="dxa" w:w="2500"/>
          </w:tcPr>
          <w:p>
            <w:r>
              <w:rPr>
                <w:b w:val="false"/>
                <w:bCs w:val="false"/>
                <w:color w:val="000000"/>
                <w:sz w:val="17"/>
                <w:szCs w:val="17"/>
              </w:rPr>
              <w:t xml:space="preserve">LifeLearner (Kwon et al.)</w:t>
            </w:r>
          </w:p>
        </w:tc>
        <w:tc>
          <w:tcPr>
            <w:tcW w:type="dxa" w:w="1100"/>
          </w:tcPr>
          <w:p>
            <w:r>
              <w:rPr>
                <w:b w:val="false"/>
                <w:bCs w:val="false"/>
                <w:color w:val="000000"/>
                <w:sz w:val="17"/>
                <w:szCs w:val="17"/>
              </w:rPr>
              <w:t xml:space="preserve">2023</w:t>
            </w:r>
          </w:p>
        </w:tc>
        <w:tc>
          <w:tcPr>
            <w:tcW w:type="dxa" w:w="2000"/>
          </w:tcPr>
          <w:p>
            <w:r>
              <w:rPr>
                <w:b w:val="false"/>
                <w:bCs w:val="false"/>
                <w:color w:val="000000"/>
                <w:sz w:val="17"/>
                <w:szCs w:val="17"/>
              </w:rPr>
              <w:t xml:space="preserve">ACM SenSys</w:t>
            </w:r>
          </w:p>
        </w:tc>
        <w:tc>
          <w:tcPr>
            <w:tcW w:type="dxa" w:w="3600"/>
          </w:tcPr>
          <w:p>
            <w:r>
              <w:rPr>
                <w:b w:val="false"/>
                <w:bCs w:val="false"/>
                <w:color w:val="000000"/>
                <w:sz w:val="17"/>
                <w:szCs w:val="17"/>
              </w:rPr>
              <w:t xml:space="preserve">178.7× memory reduction, deployed on real MCU</w:t>
            </w:r>
          </w:p>
        </w:tc>
      </w:tr>
      <w:tr>
        <w:tc>
          <w:tcPr>
            <w:tcW w:type="dxa" w:w="2500"/>
          </w:tcPr>
          <w:p>
            <w:r>
              <w:rPr>
                <w:b w:val="false"/>
                <w:bCs w:val="false"/>
                <w:color w:val="000000"/>
                <w:sz w:val="17"/>
                <w:szCs w:val="17"/>
              </w:rPr>
              <w:t xml:space="preserve">TinyOL (Ren et al.)</w:t>
            </w:r>
          </w:p>
        </w:tc>
        <w:tc>
          <w:tcPr>
            <w:tcW w:type="dxa" w:w="1100"/>
          </w:tcPr>
          <w:p>
            <w:r>
              <w:rPr>
                <w:b w:val="false"/>
                <w:bCs w:val="false"/>
                <w:color w:val="000000"/>
                <w:sz w:val="17"/>
                <w:szCs w:val="17"/>
              </w:rPr>
              <w:t xml:space="preserve">2021</w:t>
            </w:r>
          </w:p>
        </w:tc>
        <w:tc>
          <w:tcPr>
            <w:tcW w:type="dxa" w:w="2000"/>
          </w:tcPr>
          <w:p>
            <w:r>
              <w:rPr>
                <w:b w:val="false"/>
                <w:bCs w:val="false"/>
                <w:color w:val="000000"/>
                <w:sz w:val="17"/>
                <w:szCs w:val="17"/>
              </w:rPr>
              <w:t xml:space="preserve">IEEE IJCNN</w:t>
            </w:r>
          </w:p>
        </w:tc>
        <w:tc>
          <w:tcPr>
            <w:tcW w:type="dxa" w:w="3600"/>
          </w:tcPr>
          <w:p>
            <w:r>
              <w:rPr>
                <w:b w:val="false"/>
                <w:bCs w:val="false"/>
                <w:color w:val="000000"/>
                <w:sz w:val="17"/>
                <w:szCs w:val="17"/>
              </w:rPr>
              <w:t xml:space="preserve">Online learning on microcontrollers</w:t>
            </w:r>
          </w:p>
        </w:tc>
      </w:tr>
      <w:tr>
        <w:tc>
          <w:tcPr>
            <w:tcW w:type="dxa" w:w="2500"/>
          </w:tcPr>
          <w:p>
            <w:r>
              <w:rPr>
                <w:b w:val="false"/>
                <w:bCs w:val="false"/>
                <w:color w:val="000000"/>
                <w:sz w:val="17"/>
                <w:szCs w:val="17"/>
              </w:rPr>
              <w:t xml:space="preserve">TinyML Quantized Latent Replay (Ravaglia et al.)</w:t>
            </w:r>
          </w:p>
        </w:tc>
        <w:tc>
          <w:tcPr>
            <w:tcW w:type="dxa" w:w="1100"/>
          </w:tcPr>
          <w:p>
            <w:r>
              <w:rPr>
                <w:b w:val="false"/>
                <w:bCs w:val="false"/>
                <w:color w:val="000000"/>
                <w:sz w:val="17"/>
                <w:szCs w:val="17"/>
              </w:rPr>
              <w:t xml:space="preserve">2021</w:t>
            </w:r>
          </w:p>
        </w:tc>
        <w:tc>
          <w:tcPr>
            <w:tcW w:type="dxa" w:w="2000"/>
          </w:tcPr>
          <w:p>
            <w:r>
              <w:rPr>
                <w:b w:val="false"/>
                <w:bCs w:val="false"/>
                <w:color w:val="000000"/>
                <w:sz w:val="17"/>
                <w:szCs w:val="17"/>
              </w:rPr>
              <w:t xml:space="preserve">IEEE JETCAS</w:t>
            </w:r>
          </w:p>
        </w:tc>
        <w:tc>
          <w:tcPr>
            <w:tcW w:type="dxa" w:w="3600"/>
          </w:tcPr>
          <w:p>
            <w:r>
              <w:rPr>
                <w:b w:val="false"/>
                <w:bCs w:val="false"/>
                <w:color w:val="000000"/>
                <w:sz w:val="17"/>
                <w:szCs w:val="17"/>
              </w:rPr>
              <w:t xml:space="preserve">4× replay memory reduction, near-unchanged accuracy</w:t>
            </w:r>
          </w:p>
        </w:tc>
      </w:tr>
      <w:tr>
        <w:tc>
          <w:tcPr>
            <w:tcW w:type="dxa" w:w="2500"/>
          </w:tcPr>
          <w:p>
            <w:r>
              <w:rPr>
                <w:b w:val="false"/>
                <w:bCs w:val="false"/>
                <w:color w:val="000000"/>
                <w:sz w:val="17"/>
                <w:szCs w:val="17"/>
              </w:rPr>
              <w:t xml:space="preserve">Structured Sparse Backprop (Paissan et al.)</w:t>
            </w:r>
          </w:p>
        </w:tc>
        <w:tc>
          <w:tcPr>
            <w:tcW w:type="dxa" w:w="1100"/>
          </w:tcPr>
          <w:p>
            <w:r>
              <w:rPr>
                <w:b w:val="false"/>
                <w:bCs w:val="false"/>
                <w:color w:val="000000"/>
                <w:sz w:val="17"/>
                <w:szCs w:val="17"/>
              </w:rPr>
              <w:t xml:space="preserve">2024</w:t>
            </w:r>
          </w:p>
        </w:tc>
        <w:tc>
          <w:tcPr>
            <w:tcW w:type="dxa" w:w="2000"/>
          </w:tcPr>
          <w:p>
            <w:r>
              <w:rPr>
                <w:b w:val="false"/>
                <w:bCs w:val="false"/>
                <w:color w:val="000000"/>
                <w:sz w:val="17"/>
                <w:szCs w:val="17"/>
              </w:rPr>
              <w:t xml:space="preserve">IEEE/CVF CVPRW</w:t>
            </w:r>
          </w:p>
        </w:tc>
        <w:tc>
          <w:tcPr>
            <w:tcW w:type="dxa" w:w="3600"/>
          </w:tcPr>
          <w:p>
            <w:r>
              <w:rPr>
                <w:b w:val="false"/>
                <w:bCs w:val="false"/>
                <w:color w:val="000000"/>
                <w:sz w:val="17"/>
                <w:szCs w:val="17"/>
              </w:rPr>
              <w:t xml:space="preserve">Class-incremental CL on RISC-V MCU, 4.63MB, ~2% acc drop</w:t>
            </w:r>
          </w:p>
        </w:tc>
      </w:tr>
      <w:tr>
        <w:tc>
          <w:tcPr>
            <w:tcW w:type="dxa" w:w="2500"/>
          </w:tcPr>
          <w:p>
            <w:r>
              <w:rPr>
                <w:b w:val="false"/>
                <w:bCs w:val="false"/>
                <w:color w:val="000000"/>
                <w:sz w:val="17"/>
                <w:szCs w:val="17"/>
              </w:rPr>
              <w:t xml:space="preserve">Survey on Replay-Based CL (Park et al.)</w:t>
            </w:r>
          </w:p>
        </w:tc>
        <w:tc>
          <w:tcPr>
            <w:tcW w:type="dxa" w:w="1100"/>
          </w:tcPr>
          <w:p>
            <w:r>
              <w:rPr>
                <w:b w:val="false"/>
                <w:bCs w:val="false"/>
                <w:color w:val="000000"/>
                <w:sz w:val="17"/>
                <w:szCs w:val="17"/>
              </w:rPr>
              <w:t xml:space="preserve">2025</w:t>
            </w:r>
          </w:p>
        </w:tc>
        <w:tc>
          <w:tcPr>
            <w:tcW w:type="dxa" w:w="2000"/>
          </w:tcPr>
          <w:p>
            <w:r>
              <w:rPr>
                <w:b w:val="false"/>
                <w:bCs w:val="false"/>
                <w:color w:val="000000"/>
                <w:sz w:val="17"/>
                <w:szCs w:val="17"/>
              </w:rPr>
              <w:t xml:space="preserve">Mathematics</w:t>
            </w:r>
          </w:p>
        </w:tc>
        <w:tc>
          <w:tcPr>
            <w:tcW w:type="dxa" w:w="3600"/>
          </w:tcPr>
          <w:p>
            <w:r>
              <w:rPr>
                <w:b w:val="false"/>
                <w:bCs w:val="false"/>
                <w:color w:val="000000"/>
                <w:sz w:val="17"/>
                <w:szCs w:val="17"/>
              </w:rPr>
              <w:t xml:space="preserve">Replay-based CL maintains compact structure under edge constraints</w:t>
            </w:r>
          </w:p>
        </w:tc>
      </w:tr>
      <w:tr>
        <w:tc>
          <w:tcPr>
            <w:tcW w:type="dxa" w:w="2500"/>
          </w:tcPr>
          <w:p>
            <w:r>
              <w:rPr>
                <w:b w:val="false"/>
                <w:bCs w:val="false"/>
                <w:color w:val="000000"/>
                <w:sz w:val="17"/>
                <w:szCs w:val="17"/>
              </w:rPr>
              <w:t xml:space="preserve">MicroT (Huang et al.)</w:t>
            </w:r>
          </w:p>
        </w:tc>
        <w:tc>
          <w:tcPr>
            <w:tcW w:type="dxa" w:w="1100"/>
          </w:tcPr>
          <w:p>
            <w:r>
              <w:rPr>
                <w:b w:val="false"/>
                <w:bCs w:val="false"/>
                <w:color w:val="000000"/>
                <w:sz w:val="17"/>
                <w:szCs w:val="17"/>
              </w:rPr>
              <w:t xml:space="preserve">2024</w:t>
            </w:r>
          </w:p>
        </w:tc>
        <w:tc>
          <w:tcPr>
            <w:tcW w:type="dxa" w:w="2000"/>
          </w:tcPr>
          <w:p>
            <w:r>
              <w:rPr>
                <w:b w:val="false"/>
                <w:bCs w:val="false"/>
                <w:color w:val="000000"/>
                <w:sz w:val="17"/>
                <w:szCs w:val="17"/>
              </w:rPr>
              <w:t xml:space="preserve">arXiv / IFIP</w:t>
            </w:r>
          </w:p>
        </w:tc>
        <w:tc>
          <w:tcPr>
            <w:tcW w:type="dxa" w:w="3600"/>
          </w:tcPr>
          <w:p>
            <w:r>
              <w:rPr>
                <w:b w:val="false"/>
                <w:bCs w:val="false"/>
                <w:color w:val="000000"/>
                <w:sz w:val="17"/>
                <w:szCs w:val="17"/>
              </w:rPr>
              <w:t xml:space="preserve">Low-energy on-device personalization for MCUs</w:t>
            </w:r>
          </w:p>
        </w:tc>
      </w:tr>
      <w:tr>
        <w:tc>
          <w:tcPr>
            <w:tcW w:type="dxa" w:w="2500"/>
          </w:tcPr>
          <w:p>
            <w:r>
              <w:rPr>
                <w:b w:val="false"/>
                <w:bCs w:val="false"/>
                <w:color w:val="000000"/>
                <w:sz w:val="17"/>
                <w:szCs w:val="17"/>
              </w:rPr>
              <w:t xml:space="preserve">PersonalizedHD (Jang et al.)</w:t>
            </w:r>
          </w:p>
        </w:tc>
        <w:tc>
          <w:tcPr>
            <w:tcW w:type="dxa" w:w="1100"/>
          </w:tcPr>
          <w:p>
            <w:r>
              <w:rPr>
                <w:b w:val="false"/>
                <w:bCs w:val="false"/>
                <w:color w:val="000000"/>
                <w:sz w:val="17"/>
                <w:szCs w:val="17"/>
              </w:rPr>
              <w:t xml:space="preserve">2025</w:t>
            </w:r>
          </w:p>
        </w:tc>
        <w:tc>
          <w:tcPr>
            <w:tcW w:type="dxa" w:w="2000"/>
          </w:tcPr>
          <w:p>
            <w:r>
              <w:rPr>
                <w:b w:val="false"/>
                <w:bCs w:val="false"/>
                <w:color w:val="000000"/>
                <w:sz w:val="17"/>
                <w:szCs w:val="17"/>
              </w:rPr>
              <w:t xml:space="preserve">BigData Congress</w:t>
            </w:r>
          </w:p>
        </w:tc>
        <w:tc>
          <w:tcPr>
            <w:tcW w:type="dxa" w:w="3600"/>
          </w:tcPr>
          <w:p>
            <w:r>
              <w:rPr>
                <w:b w:val="false"/>
                <w:bCs w:val="false"/>
                <w:color w:val="000000"/>
                <w:sz w:val="17"/>
                <w:szCs w:val="17"/>
              </w:rPr>
              <w:t xml:space="preserve">Hyperdimensional online learning with scalable personalization</w:t>
            </w:r>
          </w:p>
        </w:tc>
      </w:tr>
      <w:tr>
        <w:tc>
          <w:tcPr>
            <w:tcW w:type="dxa" w:w="2500"/>
          </w:tcPr>
          <w:p>
            <w:r>
              <w:rPr>
                <w:b w:val="false"/>
                <w:bCs w:val="false"/>
                <w:color w:val="000000"/>
                <w:sz w:val="17"/>
                <w:szCs w:val="17"/>
              </w:rPr>
              <w:t xml:space="preserve">ImageHD (Arockiaraj et al.)</w:t>
            </w:r>
          </w:p>
        </w:tc>
        <w:tc>
          <w:tcPr>
            <w:tcW w:type="dxa" w:w="1100"/>
          </w:tcPr>
          <w:p>
            <w:r>
              <w:rPr>
                <w:b w:val="false"/>
                <w:bCs w:val="false"/>
                <w:color w:val="000000"/>
                <w:sz w:val="17"/>
                <w:szCs w:val="17"/>
              </w:rPr>
              <w:t xml:space="preserve">2026</w:t>
            </w:r>
          </w:p>
        </w:tc>
        <w:tc>
          <w:tcPr>
            <w:tcW w:type="dxa" w:w="2000"/>
          </w:tcPr>
          <w:p>
            <w:r>
              <w:rPr>
                <w:b w:val="false"/>
                <w:bCs w:val="false"/>
                <w:color w:val="000000"/>
                <w:sz w:val="17"/>
                <w:szCs w:val="17"/>
              </w:rPr>
              <w:t xml:space="preserve">IEEE FCCM</w:t>
            </w:r>
          </w:p>
        </w:tc>
        <w:tc>
          <w:tcPr>
            <w:tcW w:type="dxa" w:w="3600"/>
          </w:tcPr>
          <w:p>
            <w:r>
              <w:rPr>
                <w:b w:val="false"/>
                <w:bCs w:val="false"/>
                <w:color w:val="000000"/>
                <w:sz w:val="17"/>
                <w:szCs w:val="17"/>
              </w:rPr>
              <w:t xml:space="preserve">Energy-efficient on-device CL via hyperdimensional computing</w:t>
            </w:r>
          </w:p>
        </w:tc>
      </w:tr>
      <w:tr>
        <w:tc>
          <w:tcPr>
            <w:tcW w:type="dxa" w:w="2500"/>
          </w:tcPr>
          <w:p>
            <w:r>
              <w:rPr>
                <w:b w:val="false"/>
                <w:bCs w:val="false"/>
                <w:color w:val="000000"/>
                <w:sz w:val="17"/>
                <w:szCs w:val="17"/>
              </w:rPr>
              <w:t xml:space="preserve">HAR on-device personalization (Craighero et al.)</w:t>
            </w:r>
          </w:p>
        </w:tc>
        <w:tc>
          <w:tcPr>
            <w:tcW w:type="dxa" w:w="1100"/>
          </w:tcPr>
          <w:p>
            <w:r>
              <w:rPr>
                <w:b w:val="false"/>
                <w:bCs w:val="false"/>
                <w:color w:val="000000"/>
                <w:sz w:val="17"/>
                <w:szCs w:val="17"/>
              </w:rPr>
              <w:t xml:space="preserve">2024</w:t>
            </w:r>
          </w:p>
        </w:tc>
        <w:tc>
          <w:tcPr>
            <w:tcW w:type="dxa" w:w="2000"/>
          </w:tcPr>
          <w:p>
            <w:r>
              <w:rPr>
                <w:b w:val="false"/>
                <w:bCs w:val="false"/>
                <w:color w:val="000000"/>
                <w:sz w:val="17"/>
                <w:szCs w:val="17"/>
              </w:rPr>
              <w:t xml:space="preserve">IEEE Emb. Sys. Letters</w:t>
            </w:r>
          </w:p>
        </w:tc>
        <w:tc>
          <w:tcPr>
            <w:tcW w:type="dxa" w:w="3600"/>
          </w:tcPr>
          <w:p>
            <w:r>
              <w:rPr>
                <w:b w:val="false"/>
                <w:bCs w:val="false"/>
                <w:color w:val="000000"/>
                <w:sz w:val="17"/>
                <w:szCs w:val="17"/>
              </w:rPr>
              <w:t xml:space="preserve">On-device personalization for HAR on STM32</w:t>
            </w:r>
          </w:p>
        </w:tc>
      </w:tr>
      <w:tr>
        <w:tc>
          <w:tcPr>
            <w:tcW w:type="dxa" w:w="2500"/>
          </w:tcPr>
          <w:p>
            <w:r>
              <w:rPr>
                <w:b w:val="false"/>
                <w:bCs w:val="false"/>
                <w:color w:val="000000"/>
                <w:sz w:val="17"/>
                <w:szCs w:val="17"/>
              </w:rPr>
              <w:t xml:space="preserve">Few-shot HAR personalization (Kang et al.)</w:t>
            </w:r>
          </w:p>
        </w:tc>
        <w:tc>
          <w:tcPr>
            <w:tcW w:type="dxa" w:w="1100"/>
          </w:tcPr>
          <w:p>
            <w:r>
              <w:rPr>
                <w:b w:val="false"/>
                <w:bCs w:val="false"/>
                <w:color w:val="000000"/>
                <w:sz w:val="17"/>
                <w:szCs w:val="17"/>
              </w:rPr>
              <w:t xml:space="preserve">2025</w:t>
            </w:r>
          </w:p>
        </w:tc>
        <w:tc>
          <w:tcPr>
            <w:tcW w:type="dxa" w:w="2000"/>
          </w:tcPr>
          <w:p>
            <w:r>
              <w:rPr>
                <w:b w:val="false"/>
                <w:bCs w:val="false"/>
                <w:color w:val="000000"/>
                <w:sz w:val="17"/>
                <w:szCs w:val="17"/>
              </w:rPr>
              <w:t xml:space="preserve">Conf.</w:t>
            </w:r>
          </w:p>
        </w:tc>
        <w:tc>
          <w:tcPr>
            <w:tcW w:type="dxa" w:w="3600"/>
          </w:tcPr>
          <w:p>
            <w:r>
              <w:rPr>
                <w:b w:val="false"/>
                <w:bCs w:val="false"/>
                <w:color w:val="000000"/>
                <w:sz w:val="17"/>
                <w:szCs w:val="17"/>
              </w:rPr>
              <w:t xml:space="preserve">On-device few-shot learning on RISC-V GAP9</w:t>
            </w:r>
          </w:p>
        </w:tc>
      </w:tr>
      <w:tr>
        <w:tc>
          <w:tcPr>
            <w:tcW w:type="dxa" w:w="2500"/>
          </w:tcPr>
          <w:p>
            <w:r>
              <w:rPr>
                <w:b w:val="false"/>
                <w:bCs w:val="false"/>
                <w:color w:val="000000"/>
                <w:sz w:val="17"/>
                <w:szCs w:val="17"/>
              </w:rPr>
              <w:t xml:space="preserve">Keyword spotting personalization (Cioflan et al.)</w:t>
            </w:r>
          </w:p>
        </w:tc>
        <w:tc>
          <w:tcPr>
            <w:tcW w:type="dxa" w:w="1100"/>
          </w:tcPr>
          <w:p>
            <w:r>
              <w:rPr>
                <w:b w:val="false"/>
                <w:bCs w:val="false"/>
                <w:color w:val="000000"/>
                <w:sz w:val="17"/>
                <w:szCs w:val="17"/>
              </w:rPr>
              <w:t xml:space="preserve">2024</w:t>
            </w:r>
          </w:p>
        </w:tc>
        <w:tc>
          <w:tcPr>
            <w:tcW w:type="dxa" w:w="2000"/>
          </w:tcPr>
          <w:p>
            <w:r>
              <w:rPr>
                <w:b w:val="false"/>
                <w:bCs w:val="false"/>
                <w:color w:val="000000"/>
                <w:sz w:val="17"/>
                <w:szCs w:val="17"/>
              </w:rPr>
              <w:t xml:space="preserve">arXiv</w:t>
            </w:r>
          </w:p>
        </w:tc>
        <w:tc>
          <w:tcPr>
            <w:tcW w:type="dxa" w:w="3600"/>
          </w:tcPr>
          <w:p>
            <w:r>
              <w:rPr>
                <w:b w:val="false"/>
                <w:bCs w:val="false"/>
                <w:color w:val="000000"/>
                <w:sz w:val="17"/>
                <w:szCs w:val="17"/>
              </w:rPr>
              <w:t xml:space="preserve">Learns user speech characteristics on battery-powered MCU</w:t>
            </w:r>
          </w:p>
        </w:tc>
      </w:tr>
      <w:tr>
        <w:tc>
          <w:tcPr>
            <w:tcW w:type="dxa" w:w="2500"/>
          </w:tcPr>
          <w:p>
            <w:r>
              <w:rPr>
                <w:b w:val="false"/>
                <w:bCs w:val="false"/>
                <w:color w:val="000000"/>
                <w:sz w:val="17"/>
                <w:szCs w:val="17"/>
              </w:rPr>
              <w:t xml:space="preserve">Pressure-sensor drift (Saccani et al.)</w:t>
            </w:r>
          </w:p>
        </w:tc>
        <w:tc>
          <w:tcPr>
            <w:tcW w:type="dxa" w:w="1100"/>
          </w:tcPr>
          <w:p>
            <w:r>
              <w:rPr>
                <w:b w:val="false"/>
                <w:bCs w:val="false"/>
                <w:color w:val="000000"/>
                <w:sz w:val="17"/>
                <w:szCs w:val="17"/>
              </w:rPr>
              <w:t xml:space="preserve">2024</w:t>
            </w:r>
          </w:p>
        </w:tc>
        <w:tc>
          <w:tcPr>
            <w:tcW w:type="dxa" w:w="2000"/>
          </w:tcPr>
          <w:p>
            <w:r>
              <w:rPr>
                <w:b w:val="false"/>
                <w:bCs w:val="false"/>
                <w:color w:val="000000"/>
                <w:sz w:val="17"/>
                <w:szCs w:val="17"/>
              </w:rPr>
              <w:t xml:space="preserve">IEEE Sensors Letters</w:t>
            </w:r>
          </w:p>
        </w:tc>
        <w:tc>
          <w:tcPr>
            <w:tcW w:type="dxa" w:w="3600"/>
          </w:tcPr>
          <w:p>
            <w:r>
              <w:rPr>
                <w:b w:val="false"/>
                <w:bCs w:val="false"/>
                <w:color w:val="000000"/>
                <w:sz w:val="17"/>
                <w:szCs w:val="17"/>
              </w:rPr>
              <w:t xml:space="preserve">Drift learning under extreme memory constraints</w:t>
            </w:r>
          </w:p>
        </w:tc>
      </w:tr>
      <w:tr>
        <w:tc>
          <w:tcPr>
            <w:tcW w:type="dxa" w:w="2500"/>
          </w:tcPr>
          <w:p>
            <w:r>
              <w:rPr>
                <w:b w:val="false"/>
                <w:bCs w:val="false"/>
                <w:color w:val="000000"/>
                <w:sz w:val="17"/>
                <w:szCs w:val="17"/>
              </w:rPr>
              <w:t xml:space="preserve">MEMS-IMU online calibration (Pau et al.)</w:t>
            </w:r>
          </w:p>
        </w:tc>
        <w:tc>
          <w:tcPr>
            <w:tcW w:type="dxa" w:w="1100"/>
          </w:tcPr>
          <w:p>
            <w:r>
              <w:rPr>
                <w:b w:val="false"/>
                <w:bCs w:val="false"/>
                <w:color w:val="000000"/>
                <w:sz w:val="17"/>
                <w:szCs w:val="17"/>
              </w:rPr>
              <w:t xml:space="preserve">2025</w:t>
            </w:r>
          </w:p>
        </w:tc>
        <w:tc>
          <w:tcPr>
            <w:tcW w:type="dxa" w:w="2000"/>
          </w:tcPr>
          <w:p>
            <w:r>
              <w:rPr>
                <w:b w:val="false"/>
                <w:bCs w:val="false"/>
                <w:color w:val="000000"/>
                <w:sz w:val="17"/>
                <w:szCs w:val="17"/>
              </w:rPr>
              <w:t xml:space="preserve">Italian Nat'l Conf. Sensors</w:t>
            </w:r>
          </w:p>
        </w:tc>
        <w:tc>
          <w:tcPr>
            <w:tcW w:type="dxa" w:w="3600"/>
          </w:tcPr>
          <w:p>
            <w:r>
              <w:rPr>
                <w:b w:val="false"/>
                <w:bCs w:val="false"/>
                <w:color w:val="000000"/>
                <w:sz w:val="17"/>
                <w:szCs w:val="17"/>
              </w:rPr>
              <w:t xml:space="preserve">Memory-efficient Gaussian neural topologies for self-calibration</w:t>
            </w:r>
          </w:p>
        </w:tc>
      </w:tr>
      <w:tr>
        <w:tc>
          <w:tcPr>
            <w:tcW w:type="dxa" w:w="2500"/>
          </w:tcPr>
          <w:p>
            <w:r>
              <w:rPr>
                <w:b w:val="false"/>
                <w:bCs w:val="false"/>
                <w:color w:val="000000"/>
                <w:sz w:val="17"/>
                <w:szCs w:val="17"/>
              </w:rPr>
              <w:t xml:space="preserve">Chameleon (dual-buffer replay)</w:t>
            </w:r>
          </w:p>
        </w:tc>
        <w:tc>
          <w:tcPr>
            <w:tcW w:type="dxa" w:w="1100"/>
          </w:tcPr>
          <w:p>
            <w:r>
              <w:rPr>
                <w:b w:val="false"/>
                <w:bCs w:val="false"/>
                <w:color w:val="000000"/>
                <w:sz w:val="17"/>
                <w:szCs w:val="17"/>
              </w:rPr>
              <w:t xml:space="preserve">—</w:t>
            </w:r>
          </w:p>
        </w:tc>
        <w:tc>
          <w:tcPr>
            <w:tcW w:type="dxa" w:w="2000"/>
          </w:tcPr>
          <w:p>
            <w:r>
              <w:rPr>
                <w:b w:val="false"/>
                <w:bCs w:val="false"/>
                <w:color w:val="000000"/>
                <w:sz w:val="17"/>
                <w:szCs w:val="17"/>
              </w:rPr>
              <w:t xml:space="preserve">—</w:t>
            </w:r>
          </w:p>
        </w:tc>
        <w:tc>
          <w:tcPr>
            <w:tcW w:type="dxa" w:w="3600"/>
          </w:tcPr>
          <w:p>
            <w:r>
              <w:rPr>
                <w:b w:val="false"/>
                <w:bCs w:val="false"/>
                <w:color w:val="000000"/>
                <w:sz w:val="17"/>
                <w:szCs w:val="17"/>
              </w:rPr>
              <w:t xml:space="preserve">Short-term on-chip + long-term off-chip replay buffers</w:t>
            </w:r>
          </w:p>
        </w:tc>
      </w:tr>
      <w:tr>
        <w:tc>
          <w:tcPr>
            <w:tcW w:type="dxa" w:w="2500"/>
          </w:tcPr>
          <w:p>
            <w:r>
              <w:rPr>
                <w:b w:val="false"/>
                <w:bCs w:val="false"/>
                <w:color w:val="000000"/>
                <w:sz w:val="17"/>
                <w:szCs w:val="17"/>
              </w:rPr>
              <w:t xml:space="preserve">SensOL</w:t>
            </w:r>
          </w:p>
        </w:tc>
        <w:tc>
          <w:tcPr>
            <w:tcW w:type="dxa" w:w="1100"/>
          </w:tcPr>
          <w:p>
            <w:r>
              <w:rPr>
                <w:b w:val="false"/>
                <w:bCs w:val="false"/>
                <w:color w:val="000000"/>
                <w:sz w:val="17"/>
                <w:szCs w:val="17"/>
              </w:rPr>
              <w:t xml:space="preserve">—</w:t>
            </w:r>
          </w:p>
        </w:tc>
        <w:tc>
          <w:tcPr>
            <w:tcW w:type="dxa" w:w="2000"/>
          </w:tcPr>
          <w:p>
            <w:r>
              <w:rPr>
                <w:b w:val="false"/>
                <w:bCs w:val="false"/>
                <w:color w:val="000000"/>
                <w:sz w:val="17"/>
                <w:szCs w:val="17"/>
              </w:rPr>
              <w:t xml:space="preserve">—</w:t>
            </w:r>
          </w:p>
        </w:tc>
        <w:tc>
          <w:tcPr>
            <w:tcW w:type="dxa" w:w="3600"/>
          </w:tcPr>
          <w:p>
            <w:r>
              <w:rPr>
                <w:b w:val="false"/>
                <w:bCs w:val="false"/>
                <w:color w:val="000000"/>
                <w:sz w:val="17"/>
                <w:szCs w:val="17"/>
              </w:rPr>
              <w:t xml:space="preserve">115× memory reduction on STM32 via quantized/sparse replay</w:t>
            </w:r>
          </w:p>
        </w:tc>
      </w:tr>
      <w:tr>
        <w:tc>
          <w:tcPr>
            <w:tcW w:type="dxa" w:w="2500"/>
          </w:tcPr>
          <w:p>
            <w:r>
              <w:rPr>
                <w:b w:val="false"/>
                <w:bCs w:val="false"/>
                <w:color w:val="000000"/>
                <w:sz w:val="17"/>
                <w:szCs w:val="17"/>
              </w:rPr>
              <w:t xml:space="preserve">AdaptBio (Gupta et al.)</w:t>
            </w:r>
          </w:p>
        </w:tc>
        <w:tc>
          <w:tcPr>
            <w:tcW w:type="dxa" w:w="1100"/>
          </w:tcPr>
          <w:p>
            <w:r>
              <w:rPr>
                <w:b w:val="false"/>
                <w:bCs w:val="false"/>
                <w:color w:val="000000"/>
                <w:sz w:val="17"/>
                <w:szCs w:val="17"/>
              </w:rPr>
              <w:t xml:space="preserve">2026</w:t>
            </w:r>
          </w:p>
        </w:tc>
        <w:tc>
          <w:tcPr>
            <w:tcW w:type="dxa" w:w="2000"/>
          </w:tcPr>
          <w:p>
            <w:r>
              <w:rPr>
                <w:b w:val="false"/>
                <w:bCs w:val="false"/>
                <w:color w:val="000000"/>
                <w:sz w:val="17"/>
                <w:szCs w:val="17"/>
              </w:rPr>
              <w:t xml:space="preserve">IEEE AIIoT</w:t>
            </w:r>
          </w:p>
        </w:tc>
        <w:tc>
          <w:tcPr>
            <w:tcW w:type="dxa" w:w="3600"/>
          </w:tcPr>
          <w:p>
            <w:r>
              <w:rPr>
                <w:b w:val="false"/>
                <w:bCs w:val="false"/>
                <w:color w:val="000000"/>
                <w:sz w:val="17"/>
                <w:szCs w:val="17"/>
              </w:rPr>
              <w:t xml:space="preserve">Drift-aware CL on ESP32-S3; shared model; acoustic drift only</w:t>
            </w:r>
          </w:p>
        </w:tc>
      </w:tr>
    </w:tbl>
    <w:p>
      <w:pPr>
        <w:spacing w:after="180"/>
      </w:pPr>
    </w:p>
    <w:p>
      <w:pPr>
        <w:pStyle w:val="Heading2"/>
        <w:spacing w:after="120" w:before="260"/>
      </w:pPr>
      <w:r>
        <w:t xml:space="preserve">4.4 Electrode-Contact-Drift Literature (Cross-Domain Precedent)</w:t>
      </w:r>
    </w:p>
    <w:p>
      <w:pPr>
        <w:spacing w:after="150"/>
      </w:pPr>
      <w:r>
        <w:rPr>
          <w:color w:val="000000"/>
        </w:rPr>
        <w:t xml:space="preserve">Confirms real-time electrode-contact-quality self-diagnosis is a mature, decades-old technique in human biosignal wearables (ECG/EEG) — and has never been transferred to plant tissue.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E5E5E5" w:val="clear"/>
          </w:tcPr>
          <w:p>
            <w:r>
              <w:rPr>
                <w:b/>
                <w:bCs/>
                <w:color w:val="000000"/>
                <w:sz w:val="17"/>
                <w:szCs w:val="17"/>
              </w:rPr>
              <w:t xml:space="preserve">Title / Authors</w:t>
            </w:r>
          </w:p>
        </w:tc>
        <w:tc>
          <w:tcPr>
            <w:tcW w:type="dxa" w:w="1100"/>
            <w:shd w:fill="E5E5E5" w:val="clear"/>
          </w:tcPr>
          <w:p>
            <w:r>
              <w:rPr>
                <w:b/>
                <w:bCs/>
                <w:color w:val="000000"/>
                <w:sz w:val="17"/>
                <w:szCs w:val="17"/>
              </w:rPr>
              <w:t xml:space="preserve">Year</w:t>
            </w:r>
          </w:p>
        </w:tc>
        <w:tc>
          <w:tcPr>
            <w:tcW w:type="dxa" w:w="2000"/>
            <w:shd w:fill="E5E5E5" w:val="clear"/>
          </w:tcPr>
          <w:p>
            <w:r>
              <w:rPr>
                <w:b/>
                <w:bCs/>
                <w:color w:val="000000"/>
                <w:sz w:val="17"/>
                <w:szCs w:val="17"/>
              </w:rPr>
              <w:t xml:space="preserve">Venue</w:t>
            </w:r>
          </w:p>
        </w:tc>
        <w:tc>
          <w:tcPr>
            <w:tcW w:type="dxa" w:w="3600"/>
            <w:shd w:fill="E5E5E5" w:val="clear"/>
          </w:tcPr>
          <w:p>
            <w:r>
              <w:rPr>
                <w:b/>
                <w:bCs/>
                <w:color w:val="000000"/>
                <w:sz w:val="17"/>
                <w:szCs w:val="17"/>
              </w:rPr>
              <w:t xml:space="preserve">Key Finding</w:t>
            </w:r>
          </w:p>
        </w:tc>
      </w:tr>
      <w:tr>
        <w:tc>
          <w:tcPr>
            <w:tcW w:type="dxa" w:w="2500"/>
          </w:tcPr>
          <w:p>
            <w:r>
              <w:rPr>
                <w:b w:val="false"/>
                <w:bCs w:val="false"/>
                <w:color w:val="000000"/>
                <w:sz w:val="17"/>
                <w:szCs w:val="17"/>
              </w:rPr>
              <w:t xml:space="preserve">Das et al. — IIR filtering / wavelet energy drift removal</w:t>
            </w:r>
          </w:p>
        </w:tc>
        <w:tc>
          <w:tcPr>
            <w:tcW w:type="dxa" w:w="1100"/>
          </w:tcPr>
          <w:p>
            <w:r>
              <w:rPr>
                <w:b w:val="false"/>
                <w:bCs w:val="false"/>
                <w:color w:val="000000"/>
                <w:sz w:val="17"/>
                <w:szCs w:val="17"/>
              </w:rPr>
              <w:t xml:space="preserve">2015</w:t>
            </w:r>
          </w:p>
        </w:tc>
        <w:tc>
          <w:tcPr>
            <w:tcW w:type="dxa" w:w="2000"/>
          </w:tcPr>
          <w:p>
            <w:r>
              <w:rPr>
                <w:b w:val="false"/>
                <w:bCs w:val="false"/>
                <w:color w:val="000000"/>
                <w:sz w:val="17"/>
                <w:szCs w:val="17"/>
              </w:rPr>
              <w:t xml:space="preserve">Computers &amp; Electronics in Agriculture</w:t>
            </w:r>
          </w:p>
        </w:tc>
        <w:tc>
          <w:tcPr>
            <w:tcW w:type="dxa" w:w="3600"/>
          </w:tcPr>
          <w:p>
            <w:r>
              <w:rPr>
                <w:b w:val="false"/>
                <w:bCs w:val="false"/>
                <w:color w:val="000000"/>
                <w:sz w:val="17"/>
                <w:szCs w:val="17"/>
              </w:rPr>
              <w:t xml:space="preserve">Removes SIGNAL baseline-wander drift (not physical contact drift)</w:t>
            </w:r>
          </w:p>
        </w:tc>
      </w:tr>
      <w:tr>
        <w:tc>
          <w:tcPr>
            <w:tcW w:type="dxa" w:w="2500"/>
          </w:tcPr>
          <w:p>
            <w:r>
              <w:rPr>
                <w:b w:val="false"/>
                <w:bCs w:val="false"/>
                <w:color w:val="000000"/>
                <w:sz w:val="17"/>
                <w:szCs w:val="17"/>
              </w:rPr>
              <w:t xml:space="preserve">Liu et al. — CEEMDAN-WST denoising (maize)</w:t>
            </w:r>
          </w:p>
        </w:tc>
        <w:tc>
          <w:tcPr>
            <w:tcW w:type="dxa" w:w="1100"/>
          </w:tcPr>
          <w:p>
            <w:r>
              <w:rPr>
                <w:b w:val="false"/>
                <w:bCs w:val="false"/>
                <w:color w:val="000000"/>
                <w:sz w:val="17"/>
                <w:szCs w:val="17"/>
              </w:rPr>
              <w:t xml:space="preserve">2025</w:t>
            </w:r>
          </w:p>
        </w:tc>
        <w:tc>
          <w:tcPr>
            <w:tcW w:type="dxa" w:w="2000"/>
          </w:tcPr>
          <w:p>
            <w:r>
              <w:rPr>
                <w:b w:val="false"/>
                <w:bCs w:val="false"/>
                <w:color w:val="000000"/>
                <w:sz w:val="17"/>
                <w:szCs w:val="17"/>
              </w:rPr>
              <w:t xml:space="preserve">Agriculture</w:t>
            </w:r>
          </w:p>
        </w:tc>
        <w:tc>
          <w:tcPr>
            <w:tcW w:type="dxa" w:w="3600"/>
          </w:tcPr>
          <w:p>
            <w:r>
              <w:rPr>
                <w:b w:val="false"/>
                <w:bCs w:val="false"/>
                <w:color w:val="000000"/>
                <w:sz w:val="17"/>
                <w:szCs w:val="17"/>
              </w:rPr>
              <w:t xml:space="preserve">Signal preprocessing / denoising, not personalization</w:t>
            </w:r>
          </w:p>
        </w:tc>
      </w:tr>
      <w:tr>
        <w:tc>
          <w:tcPr>
            <w:tcW w:type="dxa" w:w="2500"/>
          </w:tcPr>
          <w:p>
            <w:r>
              <w:rPr>
                <w:b w:val="false"/>
                <w:bCs w:val="false"/>
                <w:color w:val="000000"/>
                <w:sz w:val="17"/>
                <w:szCs w:val="17"/>
              </w:rPr>
              <w:t xml:space="preserve">Liu et al. — EMD + wavelet threshold (aloe)</w:t>
            </w:r>
          </w:p>
        </w:tc>
        <w:tc>
          <w:tcPr>
            <w:tcW w:type="dxa" w:w="1100"/>
          </w:tcPr>
          <w:p>
            <w:r>
              <w:rPr>
                <w:b w:val="false"/>
                <w:bCs w:val="false"/>
                <w:color w:val="000000"/>
                <w:sz w:val="17"/>
                <w:szCs w:val="17"/>
              </w:rPr>
              <w:t xml:space="preserve">2021</w:t>
            </w:r>
          </w:p>
        </w:tc>
        <w:tc>
          <w:tcPr>
            <w:tcW w:type="dxa" w:w="2000"/>
          </w:tcPr>
          <w:p>
            <w:r>
              <w:rPr>
                <w:b w:val="false"/>
                <w:bCs w:val="false"/>
                <w:color w:val="000000"/>
                <w:sz w:val="17"/>
                <w:szCs w:val="17"/>
              </w:rPr>
              <w:t xml:space="preserve">IEEE ICCAR</w:t>
            </w:r>
          </w:p>
        </w:tc>
        <w:tc>
          <w:tcPr>
            <w:tcW w:type="dxa" w:w="3600"/>
          </w:tcPr>
          <w:p>
            <w:r>
              <w:rPr>
                <w:b w:val="false"/>
                <w:bCs w:val="false"/>
                <w:color w:val="000000"/>
                <w:sz w:val="17"/>
                <w:szCs w:val="17"/>
              </w:rPr>
              <w:t xml:space="preserve">Signal preprocessing / denoising</w:t>
            </w:r>
          </w:p>
        </w:tc>
      </w:tr>
      <w:tr>
        <w:tc>
          <w:tcPr>
            <w:tcW w:type="dxa" w:w="2500"/>
          </w:tcPr>
          <w:p>
            <w:r>
              <w:rPr>
                <w:b w:val="false"/>
                <w:bCs w:val="false"/>
                <w:color w:val="000000"/>
                <w:sz w:val="17"/>
                <w:szCs w:val="17"/>
              </w:rPr>
              <w:t xml:space="preserve">Wearable ECG contact-quality monitor (Shukla &amp; Sarje)</w:t>
            </w:r>
          </w:p>
        </w:tc>
        <w:tc>
          <w:tcPr>
            <w:tcW w:type="dxa" w:w="1100"/>
          </w:tcPr>
          <w:p>
            <w:r>
              <w:rPr>
                <w:b w:val="false"/>
                <w:bCs w:val="false"/>
                <w:color w:val="000000"/>
                <w:sz w:val="17"/>
                <w:szCs w:val="17"/>
              </w:rPr>
              <w:t xml:space="preserve">2026</w:t>
            </w:r>
          </w:p>
        </w:tc>
        <w:tc>
          <w:tcPr>
            <w:tcW w:type="dxa" w:w="2000"/>
          </w:tcPr>
          <w:p>
            <w:r>
              <w:rPr>
                <w:b w:val="false"/>
                <w:bCs w:val="false"/>
                <w:color w:val="000000"/>
                <w:sz w:val="17"/>
                <w:szCs w:val="17"/>
              </w:rPr>
              <w:t xml:space="preserve">IEEE ISCAS</w:t>
            </w:r>
          </w:p>
        </w:tc>
        <w:tc>
          <w:tcPr>
            <w:tcW w:type="dxa" w:w="3600"/>
          </w:tcPr>
          <w:p>
            <w:r>
              <w:rPr>
                <w:b w:val="false"/>
                <w:bCs w:val="false"/>
                <w:color w:val="000000"/>
                <w:sz w:val="17"/>
                <w:szCs w:val="17"/>
              </w:rPr>
              <w:t xml:space="preserve">Real-time electrode-quality evaluation — established in ECG, not plants</w:t>
            </w:r>
          </w:p>
        </w:tc>
      </w:tr>
      <w:tr>
        <w:tc>
          <w:tcPr>
            <w:tcW w:type="dxa" w:w="2500"/>
          </w:tcPr>
          <w:p>
            <w:r>
              <w:rPr>
                <w:b w:val="false"/>
                <w:bCs w:val="false"/>
                <w:color w:val="000000"/>
                <w:sz w:val="17"/>
                <w:szCs w:val="17"/>
              </w:rPr>
              <w:t xml:space="preserve">Oberg — Contact monitoring circuit</w:t>
            </w:r>
          </w:p>
        </w:tc>
        <w:tc>
          <w:tcPr>
            <w:tcW w:type="dxa" w:w="1100"/>
          </w:tcPr>
          <w:p>
            <w:r>
              <w:rPr>
                <w:b w:val="false"/>
                <w:bCs w:val="false"/>
                <w:color w:val="000000"/>
                <w:sz w:val="17"/>
                <w:szCs w:val="17"/>
              </w:rPr>
              <w:t xml:space="preserve">1982</w:t>
            </w:r>
          </w:p>
        </w:tc>
        <w:tc>
          <w:tcPr>
            <w:tcW w:type="dxa" w:w="2000"/>
          </w:tcPr>
          <w:p>
            <w:r>
              <w:rPr>
                <w:b w:val="false"/>
                <w:bCs w:val="false"/>
                <w:color w:val="000000"/>
                <w:sz w:val="17"/>
                <w:szCs w:val="17"/>
              </w:rPr>
              <w:t xml:space="preserve">IEEE Trans. Biomed. Eng.</w:t>
            </w:r>
          </w:p>
        </w:tc>
        <w:tc>
          <w:tcPr>
            <w:tcW w:type="dxa" w:w="3600"/>
          </w:tcPr>
          <w:p>
            <w:r>
              <w:rPr>
                <w:b w:val="false"/>
                <w:bCs w:val="false"/>
                <w:color w:val="000000"/>
                <w:sz w:val="17"/>
                <w:szCs w:val="17"/>
              </w:rPr>
              <w:t xml:space="preserve">Classic ECG electrode-contact monitoring (40+ years established)</w:t>
            </w:r>
          </w:p>
        </w:tc>
      </w:tr>
      <w:tr>
        <w:tc>
          <w:tcPr>
            <w:tcW w:type="dxa" w:w="2500"/>
          </w:tcPr>
          <w:p>
            <w:r>
              <w:rPr>
                <w:b w:val="false"/>
                <w:bCs w:val="false"/>
                <w:color w:val="000000"/>
                <w:sz w:val="17"/>
                <w:szCs w:val="17"/>
              </w:rPr>
              <w:t xml:space="preserve">EEG skin-electrode impedance monitoring (Casadei &amp; Ferrero)</w:t>
            </w:r>
          </w:p>
        </w:tc>
        <w:tc>
          <w:tcPr>
            <w:tcW w:type="dxa" w:w="1100"/>
          </w:tcPr>
          <w:p>
            <w:r>
              <w:rPr>
                <w:b w:val="false"/>
                <w:bCs w:val="false"/>
                <w:color w:val="000000"/>
                <w:sz w:val="17"/>
                <w:szCs w:val="17"/>
              </w:rPr>
              <w:t xml:space="preserve">2022</w:t>
            </w:r>
          </w:p>
        </w:tc>
        <w:tc>
          <w:tcPr>
            <w:tcW w:type="dxa" w:w="2000"/>
          </w:tcPr>
          <w:p>
            <w:r>
              <w:rPr>
                <w:b w:val="false"/>
                <w:bCs w:val="false"/>
                <w:color w:val="000000"/>
                <w:sz w:val="17"/>
                <w:szCs w:val="17"/>
              </w:rPr>
              <w:t xml:space="preserve">IEEE I2MTC</w:t>
            </w:r>
          </w:p>
        </w:tc>
        <w:tc>
          <w:tcPr>
            <w:tcW w:type="dxa" w:w="3600"/>
          </w:tcPr>
          <w:p>
            <w:r>
              <w:rPr>
                <w:b w:val="false"/>
                <w:bCs w:val="false"/>
                <w:color w:val="000000"/>
                <w:sz w:val="17"/>
                <w:szCs w:val="17"/>
              </w:rPr>
              <w:t xml:space="preserve">Real-time contact-quality monitoring in EEG wearables</w:t>
            </w:r>
          </w:p>
        </w:tc>
      </w:tr>
      <w:tr>
        <w:tc>
          <w:tcPr>
            <w:tcW w:type="dxa" w:w="2500"/>
          </w:tcPr>
          <w:p>
            <w:r>
              <w:rPr>
                <w:b w:val="false"/>
                <w:bCs w:val="false"/>
                <w:color w:val="000000"/>
                <w:sz w:val="17"/>
                <w:szCs w:val="17"/>
              </w:rPr>
              <w:t xml:space="preserve">EEG/contact-impedance acquisition chip (Mitra et al.)</w:t>
            </w:r>
          </w:p>
        </w:tc>
        <w:tc>
          <w:tcPr>
            <w:tcW w:type="dxa" w:w="1100"/>
          </w:tcPr>
          <w:p>
            <w:r>
              <w:rPr>
                <w:b w:val="false"/>
                <w:bCs w:val="false"/>
                <w:color w:val="000000"/>
                <w:sz w:val="17"/>
                <w:szCs w:val="17"/>
              </w:rPr>
              <w:t xml:space="preserve">2012</w:t>
            </w:r>
          </w:p>
        </w:tc>
        <w:tc>
          <w:tcPr>
            <w:tcW w:type="dxa" w:w="2000"/>
          </w:tcPr>
          <w:p>
            <w:r>
              <w:rPr>
                <w:b w:val="false"/>
                <w:bCs w:val="false"/>
                <w:color w:val="000000"/>
                <w:sz w:val="17"/>
                <w:szCs w:val="17"/>
              </w:rPr>
              <w:t xml:space="preserve">IEEE VLSI Symp.</w:t>
            </w:r>
          </w:p>
        </w:tc>
        <w:tc>
          <w:tcPr>
            <w:tcW w:type="dxa" w:w="3600"/>
          </w:tcPr>
          <w:p>
            <w:r>
              <w:rPr>
                <w:b w:val="false"/>
                <w:bCs w:val="false"/>
                <w:color w:val="000000"/>
                <w:sz w:val="17"/>
                <w:szCs w:val="17"/>
              </w:rPr>
              <w:t xml:space="preserve">Dry-electrode contact-impedance measurement hardware</w:t>
            </w:r>
          </w:p>
        </w:tc>
      </w:tr>
      <w:tr>
        <w:tc>
          <w:tcPr>
            <w:tcW w:type="dxa" w:w="2500"/>
          </w:tcPr>
          <w:p>
            <w:r>
              <w:rPr>
                <w:b w:val="false"/>
                <w:bCs w:val="false"/>
                <w:color w:val="000000"/>
                <w:sz w:val="17"/>
                <w:szCs w:val="17"/>
              </w:rPr>
              <w:t xml:space="preserve">Closed-loop ear-EEG contact impedance (Sheeraz et al.)</w:t>
            </w:r>
          </w:p>
        </w:tc>
        <w:tc>
          <w:tcPr>
            <w:tcW w:type="dxa" w:w="1100"/>
          </w:tcPr>
          <w:p>
            <w:r>
              <w:rPr>
                <w:b w:val="false"/>
                <w:bCs w:val="false"/>
                <w:color w:val="000000"/>
                <w:sz w:val="17"/>
                <w:szCs w:val="17"/>
              </w:rPr>
              <w:t xml:space="preserve">2022</w:t>
            </w:r>
          </w:p>
        </w:tc>
        <w:tc>
          <w:tcPr>
            <w:tcW w:type="dxa" w:w="2000"/>
          </w:tcPr>
          <w:p>
            <w:r>
              <w:rPr>
                <w:b w:val="false"/>
                <w:bCs w:val="false"/>
                <w:color w:val="000000"/>
                <w:sz w:val="17"/>
                <w:szCs w:val="17"/>
              </w:rPr>
              <w:t xml:space="preserve">IEEE NEWCAS</w:t>
            </w:r>
          </w:p>
        </w:tc>
        <w:tc>
          <w:tcPr>
            <w:tcW w:type="dxa" w:w="3600"/>
          </w:tcPr>
          <w:p>
            <w:r>
              <w:rPr>
                <w:b w:val="false"/>
                <w:bCs w:val="false"/>
                <w:color w:val="000000"/>
                <w:sz w:val="17"/>
                <w:szCs w:val="17"/>
              </w:rPr>
              <w:t xml:space="preserve">Real-time skin-impedance measurement during EEG</w:t>
            </w:r>
          </w:p>
        </w:tc>
      </w:tr>
    </w:tbl>
    <w:p>
      <w:pPr>
        <w:spacing w:after="180"/>
      </w:pPr>
    </w:p>
    <w:p>
      <w:pPr>
        <w:pStyle w:val="Heading2"/>
        <w:spacing w:after="120" w:before="260"/>
      </w:pPr>
      <w:r>
        <w:t xml:space="preserve">4.5 BCI Per-Subject Calibration Literature (Methodological Precedent)</w:t>
      </w:r>
    </w:p>
    <w:p>
      <w:pPr>
        <w:spacing w:after="150"/>
      </w:pPr>
      <w:r>
        <w:rPr>
          <w:color w:val="000000"/>
        </w:rPr>
        <w:t xml:space="preserve">Supports the framing that personalized/reduced-calibration approaches are an established, successful strategy family in adjacent biosignal fields — applied here for the first time to plants.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E5E5E5" w:val="clear"/>
          </w:tcPr>
          <w:p>
            <w:r>
              <w:rPr>
                <w:b/>
                <w:bCs/>
                <w:color w:val="000000"/>
                <w:sz w:val="17"/>
                <w:szCs w:val="17"/>
              </w:rPr>
              <w:t xml:space="preserve">Title / Authors</w:t>
            </w:r>
          </w:p>
        </w:tc>
        <w:tc>
          <w:tcPr>
            <w:tcW w:type="dxa" w:w="1100"/>
            <w:shd w:fill="E5E5E5" w:val="clear"/>
          </w:tcPr>
          <w:p>
            <w:r>
              <w:rPr>
                <w:b/>
                <w:bCs/>
                <w:color w:val="000000"/>
                <w:sz w:val="17"/>
                <w:szCs w:val="17"/>
              </w:rPr>
              <w:t xml:space="preserve">Year</w:t>
            </w:r>
          </w:p>
        </w:tc>
        <w:tc>
          <w:tcPr>
            <w:tcW w:type="dxa" w:w="2000"/>
            <w:shd w:fill="E5E5E5" w:val="clear"/>
          </w:tcPr>
          <w:p>
            <w:r>
              <w:rPr>
                <w:b/>
                <w:bCs/>
                <w:color w:val="000000"/>
                <w:sz w:val="17"/>
                <w:szCs w:val="17"/>
              </w:rPr>
              <w:t xml:space="preserve">Venue</w:t>
            </w:r>
          </w:p>
        </w:tc>
        <w:tc>
          <w:tcPr>
            <w:tcW w:type="dxa" w:w="3600"/>
            <w:shd w:fill="E5E5E5" w:val="clear"/>
          </w:tcPr>
          <w:p>
            <w:r>
              <w:rPr>
                <w:b/>
                <w:bCs/>
                <w:color w:val="000000"/>
                <w:sz w:val="17"/>
                <w:szCs w:val="17"/>
              </w:rPr>
              <w:t xml:space="preserve">Key Finding</w:t>
            </w:r>
          </w:p>
        </w:tc>
      </w:tr>
      <w:tr>
        <w:tc>
          <w:tcPr>
            <w:tcW w:type="dxa" w:w="2500"/>
          </w:tcPr>
          <w:p>
            <w:r>
              <w:rPr>
                <w:b w:val="false"/>
                <w:bCs w:val="false"/>
                <w:color w:val="000000"/>
                <w:sz w:val="17"/>
                <w:szCs w:val="17"/>
              </w:rPr>
              <w:t xml:space="preserve">Azab et al. — Transfer learning in BCI (review)</w:t>
            </w:r>
          </w:p>
        </w:tc>
        <w:tc>
          <w:tcPr>
            <w:tcW w:type="dxa" w:w="1100"/>
          </w:tcPr>
          <w:p>
            <w:r>
              <w:rPr>
                <w:b w:val="false"/>
                <w:bCs w:val="false"/>
                <w:color w:val="000000"/>
                <w:sz w:val="17"/>
                <w:szCs w:val="17"/>
              </w:rPr>
              <w:t xml:space="preserve">2018</w:t>
            </w:r>
          </w:p>
        </w:tc>
        <w:tc>
          <w:tcPr>
            <w:tcW w:type="dxa" w:w="2000"/>
          </w:tcPr>
          <w:p>
            <w:r>
              <w:rPr>
                <w:b w:val="false"/>
                <w:bCs w:val="false"/>
                <w:color w:val="000000"/>
                <w:sz w:val="17"/>
                <w:szCs w:val="17"/>
              </w:rPr>
              <w:t xml:space="preserve">Review</w:t>
            </w:r>
          </w:p>
        </w:tc>
        <w:tc>
          <w:tcPr>
            <w:tcW w:type="dxa" w:w="3600"/>
          </w:tcPr>
          <w:p>
            <w:r>
              <w:rPr>
                <w:b w:val="false"/>
                <w:bCs w:val="false"/>
                <w:color w:val="000000"/>
                <w:sz w:val="17"/>
                <w:szCs w:val="17"/>
              </w:rPr>
              <w:t xml:space="preserve">Long calibration time is a major BCI limitation; transfer learning is the solution</w:t>
            </w:r>
          </w:p>
        </w:tc>
      </w:tr>
      <w:tr>
        <w:tc>
          <w:tcPr>
            <w:tcW w:type="dxa" w:w="2500"/>
          </w:tcPr>
          <w:p>
            <w:r>
              <w:rPr>
                <w:b w:val="false"/>
                <w:bCs w:val="false"/>
                <w:color w:val="000000"/>
                <w:sz w:val="17"/>
                <w:szCs w:val="17"/>
              </w:rPr>
              <w:t xml:space="preserve">Khazem et al. — Riemannian Transfer Learning</w:t>
            </w:r>
          </w:p>
        </w:tc>
        <w:tc>
          <w:tcPr>
            <w:tcW w:type="dxa" w:w="1100"/>
          </w:tcPr>
          <w:p>
            <w:r>
              <w:rPr>
                <w:b w:val="false"/>
                <w:bCs w:val="false"/>
                <w:color w:val="000000"/>
                <w:sz w:val="17"/>
                <w:szCs w:val="17"/>
              </w:rPr>
              <w:t xml:space="preserve">2021</w:t>
            </w:r>
          </w:p>
        </w:tc>
        <w:tc>
          <w:tcPr>
            <w:tcW w:type="dxa" w:w="2000"/>
          </w:tcPr>
          <w:p>
            <w:r>
              <w:rPr>
                <w:b w:val="false"/>
                <w:bCs w:val="false"/>
                <w:color w:val="000000"/>
                <w:sz w:val="17"/>
                <w:szCs w:val="17"/>
              </w:rPr>
              <w:t xml:space="preserve">IEEE/EMBS NER</w:t>
            </w:r>
          </w:p>
        </w:tc>
        <w:tc>
          <w:tcPr>
            <w:tcW w:type="dxa" w:w="3600"/>
          </w:tcPr>
          <w:p>
            <w:r>
              <w:rPr>
                <w:b w:val="false"/>
                <w:bCs w:val="false"/>
                <w:color w:val="000000"/>
                <w:sz w:val="17"/>
                <w:szCs w:val="17"/>
              </w:rPr>
              <w:t xml:space="preserve">Applicable across BCI paradigms; improves classifier reliability</w:t>
            </w:r>
          </w:p>
        </w:tc>
      </w:tr>
      <w:tr>
        <w:tc>
          <w:tcPr>
            <w:tcW w:type="dxa" w:w="2500"/>
          </w:tcPr>
          <w:p>
            <w:r>
              <w:rPr>
                <w:b w:val="false"/>
                <w:bCs w:val="false"/>
                <w:color w:val="000000"/>
                <w:sz w:val="17"/>
                <w:szCs w:val="17"/>
              </w:rPr>
              <w:t xml:space="preserve">Khalaf &amp; Akçakaya — hybrid EEG–fTCD calibration reduction</w:t>
            </w:r>
          </w:p>
        </w:tc>
        <w:tc>
          <w:tcPr>
            <w:tcW w:type="dxa" w:w="1100"/>
          </w:tcPr>
          <w:p>
            <w:r>
              <w:rPr>
                <w:b w:val="false"/>
                <w:bCs w:val="false"/>
                <w:color w:val="000000"/>
                <w:sz w:val="17"/>
                <w:szCs w:val="17"/>
              </w:rPr>
              <w:t xml:space="preserve">2020</w:t>
            </w:r>
          </w:p>
        </w:tc>
        <w:tc>
          <w:tcPr>
            <w:tcW w:type="dxa" w:w="2000"/>
          </w:tcPr>
          <w:p>
            <w:r>
              <w:rPr>
                <w:b w:val="false"/>
                <w:bCs w:val="false"/>
                <w:color w:val="000000"/>
                <w:sz w:val="17"/>
                <w:szCs w:val="17"/>
              </w:rPr>
              <w:t xml:space="preserve">BioMed Eng OnLine</w:t>
            </w:r>
          </w:p>
        </w:tc>
        <w:tc>
          <w:tcPr>
            <w:tcW w:type="dxa" w:w="3600"/>
          </w:tcPr>
          <w:p>
            <w:r>
              <w:rPr>
                <w:b w:val="false"/>
                <w:bCs w:val="false"/>
                <w:color w:val="000000"/>
                <w:sz w:val="17"/>
                <w:szCs w:val="17"/>
              </w:rPr>
              <w:t xml:space="preserve">Calibration time reduced by ≥60.43% in motor-imagery setting</w:t>
            </w:r>
          </w:p>
        </w:tc>
      </w:tr>
    </w:tbl>
    <w:p>
      <w:r>
        <w:br w:type="page"/>
      </w:r>
    </w:p>
    <w:p>
      <w:pPr>
        <w:pStyle w:val="Heading1"/>
        <w:spacing w:after="160" w:before="340"/>
      </w:pPr>
      <w:r>
        <w:t xml:space="preserve">5. Patents Reviewed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E5E5E5" w:val="clear"/>
          </w:tcPr>
          <w:p>
            <w:r>
              <w:rPr>
                <w:b/>
                <w:bCs/>
                <w:color w:val="000000"/>
                <w:sz w:val="17"/>
                <w:szCs w:val="17"/>
              </w:rPr>
              <w:t xml:space="preserve">Patent</w:t>
            </w:r>
          </w:p>
        </w:tc>
        <w:tc>
          <w:tcPr>
            <w:tcW w:type="dxa" w:w="1900"/>
            <w:shd w:fill="E5E5E5" w:val="clear"/>
          </w:tcPr>
          <w:p>
            <w:r>
              <w:rPr>
                <w:b/>
                <w:bCs/>
                <w:color w:val="000000"/>
                <w:sz w:val="17"/>
                <w:szCs w:val="17"/>
              </w:rPr>
              <w:t xml:space="preserve">Number</w:t>
            </w:r>
          </w:p>
        </w:tc>
        <w:tc>
          <w:tcPr>
            <w:tcW w:type="dxa" w:w="4800"/>
            <w:shd w:fill="E5E5E5" w:val="clear"/>
          </w:tcPr>
          <w:p>
            <w:r>
              <w:rPr>
                <w:b/>
                <w:bCs/>
                <w:color w:val="000000"/>
                <w:sz w:val="17"/>
                <w:szCs w:val="17"/>
              </w:rPr>
              <w:t xml:space="preserve">What it covers</w:t>
            </w:r>
          </w:p>
        </w:tc>
      </w:tr>
      <w:tr>
        <w:tc>
          <w:tcPr>
            <w:tcW w:type="dxa" w:w="2500"/>
          </w:tcPr>
          <w:p>
            <w:r>
              <w:rPr>
                <w:b w:val="false"/>
                <w:bCs w:val="false"/>
                <w:color w:val="000000"/>
                <w:sz w:val="17"/>
                <w:szCs w:val="17"/>
              </w:rPr>
              <w:t xml:space="preserve">Heat/plant stress monitor system</w:t>
            </w:r>
          </w:p>
        </w:tc>
        <w:tc>
          <w:tcPr>
            <w:tcW w:type="dxa" w:w="1900"/>
          </w:tcPr>
          <w:p>
            <w:r>
              <w:rPr>
                <w:b w:val="false"/>
                <w:bCs w:val="false"/>
                <w:color w:val="000000"/>
                <w:sz w:val="17"/>
                <w:szCs w:val="17"/>
              </w:rPr>
              <w:t xml:space="preserve">US8325030B2</w:t>
            </w:r>
          </w:p>
        </w:tc>
        <w:tc>
          <w:tcPr>
            <w:tcW w:type="dxa" w:w="4800"/>
          </w:tcPr>
          <w:p>
            <w:r>
              <w:rPr>
                <w:b w:val="false"/>
                <w:bCs w:val="false"/>
                <w:color w:val="000000"/>
                <w:sz w:val="17"/>
                <w:szCs w:val="17"/>
              </w:rPr>
              <w:t xml:space="preserve">Environmental sensors only — not bioelectric</w:t>
            </w:r>
          </w:p>
        </w:tc>
      </w:tr>
      <w:tr>
        <w:tc>
          <w:tcPr>
            <w:tcW w:type="dxa" w:w="2500"/>
          </w:tcPr>
          <w:p>
            <w:r>
              <w:rPr>
                <w:b w:val="false"/>
                <w:bCs w:val="false"/>
                <w:color w:val="000000"/>
                <w:sz w:val="17"/>
                <w:szCs w:val="17"/>
              </w:rPr>
              <w:t xml:space="preserve">Film-shaped electret sensor for plant health</w:t>
            </w:r>
          </w:p>
        </w:tc>
        <w:tc>
          <w:tcPr>
            <w:tcW w:type="dxa" w:w="1900"/>
          </w:tcPr>
          <w:p>
            <w:r>
              <w:rPr>
                <w:b w:val="false"/>
                <w:bCs w:val="false"/>
                <w:color w:val="000000"/>
                <w:sz w:val="17"/>
                <w:szCs w:val="17"/>
              </w:rPr>
              <w:t xml:space="preserve">EP2359678B1</w:t>
            </w:r>
          </w:p>
        </w:tc>
        <w:tc>
          <w:tcPr>
            <w:tcW w:type="dxa" w:w="4800"/>
          </w:tcPr>
          <w:p>
            <w:r>
              <w:rPr>
                <w:b w:val="false"/>
                <w:bCs w:val="false"/>
                <w:color w:val="000000"/>
                <w:sz w:val="17"/>
                <w:szCs w:val="17"/>
              </w:rPr>
              <w:t xml:space="preserve">Water stress/embolism — not bioelectric, not personalized</w:t>
            </w:r>
          </w:p>
        </w:tc>
      </w:tr>
      <w:tr>
        <w:tc>
          <w:tcPr>
            <w:tcW w:type="dxa" w:w="2500"/>
          </w:tcPr>
          <w:p>
            <w:r>
              <w:rPr>
                <w:b w:val="false"/>
                <w:bCs w:val="false"/>
                <w:color w:val="000000"/>
                <w:sz w:val="17"/>
                <w:szCs w:val="17"/>
              </w:rPr>
              <w:t xml:space="preserve">Fluorescence-based plant stress detection</w:t>
            </w:r>
          </w:p>
        </w:tc>
        <w:tc>
          <w:tcPr>
            <w:tcW w:type="dxa" w:w="1900"/>
          </w:tcPr>
          <w:p>
            <w:r>
              <w:rPr>
                <w:b w:val="false"/>
                <w:bCs w:val="false"/>
                <w:color w:val="000000"/>
                <w:sz w:val="17"/>
                <w:szCs w:val="17"/>
              </w:rPr>
              <w:t xml:space="preserve">EP0215399A2</w:t>
            </w:r>
          </w:p>
        </w:tc>
        <w:tc>
          <w:tcPr>
            <w:tcW w:type="dxa" w:w="4800"/>
          </w:tcPr>
          <w:p>
            <w:r>
              <w:rPr>
                <w:b w:val="false"/>
                <w:bCs w:val="false"/>
                <w:color w:val="000000"/>
                <w:sz w:val="17"/>
                <w:szCs w:val="17"/>
              </w:rPr>
              <w:t xml:space="preserve">Unrelated modality (photosynthetic fluorescence)</w:t>
            </w:r>
          </w:p>
        </w:tc>
      </w:tr>
      <w:tr>
        <w:tc>
          <w:tcPr>
            <w:tcW w:type="dxa" w:w="2500"/>
          </w:tcPr>
          <w:p>
            <w:r>
              <w:rPr>
                <w:b w:val="false"/>
                <w:bCs w:val="false"/>
                <w:color w:val="000000"/>
                <w:sz w:val="17"/>
                <w:szCs w:val="17"/>
              </w:rPr>
              <w:t xml:space="preserve">AI plant-growth optimization system</w:t>
            </w:r>
          </w:p>
        </w:tc>
        <w:tc>
          <w:tcPr>
            <w:tcW w:type="dxa" w:w="1900"/>
          </w:tcPr>
          <w:p>
            <w:r>
              <w:rPr>
                <w:b w:val="false"/>
                <w:bCs w:val="false"/>
                <w:color w:val="000000"/>
                <w:sz w:val="17"/>
                <w:szCs w:val="17"/>
              </w:rPr>
              <w:t xml:space="preserve">US11308715B2 / US10803312B2</w:t>
            </w:r>
          </w:p>
        </w:tc>
        <w:tc>
          <w:tcPr>
            <w:tcW w:type="dxa" w:w="4800"/>
          </w:tcPr>
          <w:p>
            <w:r>
              <w:rPr>
                <w:b w:val="false"/>
                <w:bCs w:val="false"/>
                <w:color w:val="000000"/>
                <w:sz w:val="17"/>
                <w:szCs w:val="17"/>
              </w:rPr>
              <w:t xml:space="preserve">Image + environmental sensors, cloud-trained — not bioelectric, not per-plant personalized</w:t>
            </w:r>
          </w:p>
        </w:tc>
      </w:tr>
      <w:tr>
        <w:tc>
          <w:tcPr>
            <w:tcW w:type="dxa" w:w="2500"/>
          </w:tcPr>
          <w:p>
            <w:r>
              <w:rPr>
                <w:b w:val="false"/>
                <w:bCs w:val="false"/>
                <w:color w:val="000000"/>
                <w:sz w:val="17"/>
                <w:szCs w:val="17"/>
              </w:rPr>
              <w:t xml:space="preserve">Robotic watering unit (“per-plant prescription”)</w:t>
            </w:r>
          </w:p>
        </w:tc>
        <w:tc>
          <w:tcPr>
            <w:tcW w:type="dxa" w:w="1900"/>
          </w:tcPr>
          <w:p>
            <w:r>
              <w:rPr>
                <w:b w:val="false"/>
                <w:bCs w:val="false"/>
                <w:color w:val="000000"/>
                <w:sz w:val="17"/>
                <w:szCs w:val="17"/>
              </w:rPr>
              <w:t xml:space="preserve">US8322072 / US8028470</w:t>
            </w:r>
          </w:p>
        </w:tc>
        <w:tc>
          <w:tcPr>
            <w:tcW w:type="dxa" w:w="4800"/>
          </w:tcPr>
          <w:p>
            <w:r>
              <w:rPr>
                <w:b w:val="false"/>
                <w:bCs w:val="false"/>
                <w:color w:val="000000"/>
                <w:sz w:val="17"/>
                <w:szCs w:val="17"/>
              </w:rPr>
              <w:t xml:space="preserve">“Per-plant” = water dosing target, not a learned personalized baseline</w:t>
            </w:r>
          </w:p>
        </w:tc>
      </w:tr>
      <w:tr>
        <w:tc>
          <w:tcPr>
            <w:tcW w:type="dxa" w:w="2500"/>
          </w:tcPr>
          <w:p>
            <w:r>
              <w:rPr>
                <w:b w:val="false"/>
                <w:bCs w:val="false"/>
                <w:color w:val="000000"/>
                <w:sz w:val="17"/>
                <w:szCs w:val="17"/>
              </w:rPr>
              <w:t xml:space="preserve">ML-triggered sensor-node calibration</w:t>
            </w:r>
          </w:p>
        </w:tc>
        <w:tc>
          <w:tcPr>
            <w:tcW w:type="dxa" w:w="1900"/>
          </w:tcPr>
          <w:p>
            <w:r>
              <w:rPr>
                <w:b w:val="false"/>
                <w:bCs w:val="false"/>
                <w:color w:val="000000"/>
                <w:sz w:val="17"/>
                <w:szCs w:val="17"/>
              </w:rPr>
              <w:t xml:space="preserve">US11686803</w:t>
            </w:r>
          </w:p>
        </w:tc>
        <w:tc>
          <w:tcPr>
            <w:tcW w:type="dxa" w:w="4800"/>
          </w:tcPr>
          <w:p>
            <w:r>
              <w:rPr>
                <w:b w:val="false"/>
                <w:bCs w:val="false"/>
                <w:color w:val="000000"/>
                <w:sz w:val="17"/>
                <w:szCs w:val="17"/>
              </w:rPr>
              <w:t xml:space="preserve">General industrial calibration triggering — not plant-specific, not bioelectric</w:t>
            </w:r>
          </w:p>
        </w:tc>
      </w:tr>
      <w:tr>
        <w:tc>
          <w:tcPr>
            <w:tcW w:type="dxa" w:w="2500"/>
          </w:tcPr>
          <w:p>
            <w:r>
              <w:rPr>
                <w:b w:val="false"/>
                <w:bCs w:val="false"/>
                <w:color w:val="000000"/>
                <w:sz w:val="17"/>
                <w:szCs w:val="17"/>
              </w:rPr>
              <w:t xml:space="preserve">Personalized baseline calibration (wearable health)</w:t>
            </w:r>
          </w:p>
        </w:tc>
        <w:tc>
          <w:tcPr>
            <w:tcW w:type="dxa" w:w="1900"/>
          </w:tcPr>
          <w:p>
            <w:r>
              <w:rPr>
                <w:b w:val="false"/>
                <w:bCs w:val="false"/>
                <w:color w:val="000000"/>
                <w:sz w:val="17"/>
                <w:szCs w:val="17"/>
              </w:rPr>
              <w:t xml:space="preserve">Pending CN application (Philips), 2026</w:t>
            </w:r>
          </w:p>
        </w:tc>
        <w:tc>
          <w:tcPr>
            <w:tcW w:type="dxa" w:w="4800"/>
          </w:tcPr>
          <w:p>
            <w:r>
              <w:rPr>
                <w:b w:val="false"/>
                <w:bCs w:val="false"/>
                <w:color w:val="000000"/>
                <w:sz w:val="17"/>
                <w:szCs w:val="17"/>
              </w:rPr>
              <w:t xml:space="preserve">Confirms the claim PATTERN is accepted by examiners — different domain (human health)</w:t>
            </w:r>
          </w:p>
        </w:tc>
      </w:tr>
      <w:tr>
        <w:tc>
          <w:tcPr>
            <w:tcW w:type="dxa" w:w="2500"/>
          </w:tcPr>
          <w:p>
            <w:r>
              <w:rPr>
                <w:b w:val="false"/>
                <w:bCs w:val="false"/>
                <w:color w:val="000000"/>
                <w:sz w:val="17"/>
                <w:szCs w:val="17"/>
              </w:rPr>
              <w:t xml:space="preserve">Dual-reporter electrochemical drift correction</w:t>
            </w:r>
          </w:p>
        </w:tc>
        <w:tc>
          <w:tcPr>
            <w:tcW w:type="dxa" w:w="1900"/>
          </w:tcPr>
          <w:p>
            <w:r>
              <w:rPr>
                <w:b w:val="false"/>
                <w:bCs w:val="false"/>
                <w:color w:val="000000"/>
                <w:sz w:val="17"/>
                <w:szCs w:val="17"/>
              </w:rPr>
              <w:t xml:space="preserve">US11202587</w:t>
            </w:r>
          </w:p>
        </w:tc>
        <w:tc>
          <w:tcPr>
            <w:tcW w:type="dxa" w:w="4800"/>
          </w:tcPr>
          <w:p>
            <w:r>
              <w:rPr>
                <w:b w:val="false"/>
                <w:bCs w:val="false"/>
                <w:color w:val="000000"/>
                <w:sz w:val="17"/>
                <w:szCs w:val="17"/>
              </w:rPr>
              <w:t xml:space="preserve">Medical point-of-care sensors — not plant bioelectric</w:t>
            </w:r>
          </w:p>
        </w:tc>
      </w:tr>
      <w:tr>
        <w:tc>
          <w:tcPr>
            <w:tcW w:type="dxa" w:w="2500"/>
          </w:tcPr>
          <w:p>
            <w:r>
              <w:rPr>
                <w:b w:val="false"/>
                <w:bCs w:val="false"/>
                <w:color w:val="000000"/>
                <w:sz w:val="17"/>
                <w:szCs w:val="17"/>
              </w:rPr>
              <w:t xml:space="preserve">Biosignal device, dynamic electrode selection</w:t>
            </w:r>
          </w:p>
        </w:tc>
        <w:tc>
          <w:tcPr>
            <w:tcW w:type="dxa" w:w="1900"/>
          </w:tcPr>
          <w:p>
            <w:r>
              <w:rPr>
                <w:b w:val="false"/>
                <w:bCs w:val="false"/>
                <w:color w:val="000000"/>
                <w:sz w:val="17"/>
                <w:szCs w:val="17"/>
              </w:rPr>
              <w:t xml:space="preserve">US20230225659</w:t>
            </w:r>
          </w:p>
        </w:tc>
        <w:tc>
          <w:tcPr>
            <w:tcW w:type="dxa" w:w="4800"/>
          </w:tcPr>
          <w:p>
            <w:r>
              <w:rPr>
                <w:b w:val="false"/>
                <w:bCs w:val="false"/>
                <w:color w:val="000000"/>
                <w:sz w:val="17"/>
                <w:szCs w:val="17"/>
              </w:rPr>
              <w:t xml:space="preserve">Electrode selection, not per-individual baseline personalization</w:t>
            </w:r>
          </w:p>
        </w:tc>
      </w:tr>
      <w:tr>
        <w:tc>
          <w:tcPr>
            <w:tcW w:type="dxa" w:w="2500"/>
          </w:tcPr>
          <w:p>
            <w:r>
              <w:rPr>
                <w:b w:val="false"/>
                <w:bCs w:val="false"/>
                <w:color w:val="000000"/>
                <w:sz w:val="17"/>
                <w:szCs w:val="17"/>
              </w:rPr>
              <w:t xml:space="preserve">Sensor array calibration method</w:t>
            </w:r>
          </w:p>
        </w:tc>
        <w:tc>
          <w:tcPr>
            <w:tcW w:type="dxa" w:w="1900"/>
          </w:tcPr>
          <w:p>
            <w:r>
              <w:rPr>
                <w:b w:val="false"/>
                <w:bCs w:val="false"/>
                <w:color w:val="000000"/>
                <w:sz w:val="17"/>
                <w:szCs w:val="17"/>
              </w:rPr>
              <w:t xml:space="preserve">WO/2013/096897</w:t>
            </w:r>
          </w:p>
        </w:tc>
        <w:tc>
          <w:tcPr>
            <w:tcW w:type="dxa" w:w="4800"/>
          </w:tcPr>
          <w:p>
            <w:r>
              <w:rPr>
                <w:b w:val="false"/>
                <w:bCs w:val="false"/>
                <w:color w:val="000000"/>
                <w:sz w:val="17"/>
                <w:szCs w:val="17"/>
              </w:rPr>
              <w:t xml:space="preserve">General sensor calibration — not plant-specific, not personalized</w:t>
            </w:r>
          </w:p>
        </w:tc>
      </w:tr>
      <w:tr>
        <w:tc>
          <w:tcPr>
            <w:tcW w:type="dxa" w:w="2500"/>
          </w:tcPr>
          <w:p>
            <w:r>
              <w:rPr>
                <w:b w:val="false"/>
                <w:bCs w:val="false"/>
                <w:color w:val="000000"/>
                <w:sz w:val="17"/>
                <w:szCs w:val="17"/>
              </w:rPr>
              <w:t xml:space="preserve">Stretchable PEDOT:PSS bioelectronics</w:t>
            </w:r>
          </w:p>
        </w:tc>
        <w:tc>
          <w:tcPr>
            <w:tcW w:type="dxa" w:w="1900"/>
          </w:tcPr>
          <w:p>
            <w:r>
              <w:rPr>
                <w:b w:val="false"/>
                <w:bCs w:val="false"/>
                <w:color w:val="000000"/>
                <w:sz w:val="17"/>
                <w:szCs w:val="17"/>
              </w:rPr>
              <w:t xml:space="preserve">WO/2022/159512</w:t>
            </w:r>
          </w:p>
        </w:tc>
        <w:tc>
          <w:tcPr>
            <w:tcW w:type="dxa" w:w="4800"/>
          </w:tcPr>
          <w:p>
            <w:r>
              <w:rPr>
                <w:b w:val="false"/>
                <w:bCs w:val="false"/>
                <w:color w:val="000000"/>
                <w:sz w:val="17"/>
                <w:szCs w:val="17"/>
              </w:rPr>
              <w:t xml:space="preserve">Materials patent — not a personalization/software claim</w:t>
            </w:r>
          </w:p>
        </w:tc>
      </w:tr>
    </w:tbl>
    <w:p>
      <w:r>
        <w:br w:type="page"/>
      </w:r>
    </w:p>
    <w:p>
      <w:pPr>
        <w:pStyle w:val="Heading1"/>
        <w:spacing w:after="160" w:before="340"/>
      </w:pPr>
      <w:r>
        <w:t xml:space="preserve">6. Gap Analysis — What Is Established vs. What Remains Open</w:t>
      </w:r>
    </w:p>
    <w:p>
      <w:pPr>
        <w:pStyle w:val="Heading2"/>
        <w:spacing w:after="120" w:before="260"/>
      </w:pPr>
      <w:r>
        <w:t xml:space="preserve">6.1 Established (NOT claimed as novel)</w:t>
      </w:r>
    </w:p>
    <w:p>
      <w:pPr>
        <w:pStyle w:val="ListParagraph"/>
        <w:numPr>
          <w:ilvl w:val="0"/>
          <w:numId w:val="2"/>
        </w:numPr>
        <w:spacing w:after="70"/>
      </w:pPr>
      <w:r>
        <w:rPr>
          <w:color w:val="000000"/>
        </w:rPr>
        <w:t xml:space="preserve">Plants produce measurable bioelectric signals in response to stress.</w:t>
      </w:r>
    </w:p>
    <w:p>
      <w:pPr>
        <w:pStyle w:val="ListParagraph"/>
        <w:numPr>
          <w:ilvl w:val="0"/>
          <w:numId w:val="2"/>
        </w:numPr>
        <w:spacing w:after="70"/>
      </w:pPr>
      <w:r>
        <w:rPr>
          <w:color w:val="000000"/>
        </w:rPr>
        <w:t xml:space="preserve">On-device, real-time embedded ML/DL classification of these signals (PhytoNode and others).</w:t>
      </w:r>
    </w:p>
    <w:p>
      <w:pPr>
        <w:pStyle w:val="ListParagraph"/>
        <w:numPr>
          <w:ilvl w:val="0"/>
          <w:numId w:val="2"/>
        </w:numPr>
        <w:spacing w:after="70"/>
      </w:pPr>
      <w:r>
        <w:rPr>
          <w:color w:val="000000"/>
        </w:rPr>
        <w:t xml:space="preserve">Species-level anomaly detection via autoencoder reconstruction error (Lo et al., 2025) — static, pooled by species, uneven performance (IoU 0.050–0.701).</w:t>
      </w:r>
    </w:p>
    <w:p>
      <w:pPr>
        <w:pStyle w:val="ListParagraph"/>
        <w:numPr>
          <w:ilvl w:val="0"/>
          <w:numId w:val="2"/>
        </w:numPr>
        <w:spacing w:after="70"/>
      </w:pPr>
      <w:r>
        <w:rPr>
          <w:color w:val="000000"/>
        </w:rPr>
        <w:t xml:space="preserve">Bounded-memory continual learning on constrained embedded hardware, in general ML systems (LifeLearner, SensOL, Chameleon, and others).</w:t>
      </w:r>
    </w:p>
    <w:p>
      <w:pPr>
        <w:pStyle w:val="ListParagraph"/>
        <w:numPr>
          <w:ilvl w:val="0"/>
          <w:numId w:val="2"/>
        </w:numPr>
        <w:spacing w:after="70"/>
      </w:pPr>
      <w:r>
        <w:rPr>
          <w:color w:val="000000"/>
        </w:rPr>
        <w:t xml:space="preserve">Real-time electrode-contact-quality self-diagnosis, in ECG/EEG wearables (established since 1982).</w:t>
      </w:r>
    </w:p>
    <w:p>
      <w:pPr>
        <w:pStyle w:val="ListParagraph"/>
        <w:numPr>
          <w:ilvl w:val="0"/>
          <w:numId w:val="2"/>
        </w:numPr>
        <w:spacing w:after="70"/>
      </w:pPr>
      <w:r>
        <w:rPr>
          <w:color w:val="000000"/>
        </w:rPr>
        <w:t xml:space="preserve">Per-subject calibration-reduction strategies, in BCI research.</w:t>
      </w:r>
    </w:p>
    <w:p>
      <w:pPr>
        <w:pStyle w:val="ListParagraph"/>
        <w:numPr>
          <w:ilvl w:val="0"/>
          <w:numId w:val="2"/>
        </w:numPr>
        <w:spacing w:after="70"/>
      </w:pPr>
      <w:r>
        <w:rPr>
          <w:color w:val="000000"/>
        </w:rPr>
        <w:t xml:space="preserve">Field deployment without lab/Faraday-cage shielding — advancing, not fully solved.</w:t>
      </w:r>
    </w:p>
    <w:p>
      <w:pPr>
        <w:pStyle w:val="Heading2"/>
        <w:spacing w:after="120" w:before="260"/>
      </w:pPr>
      <w:r>
        <w:t xml:space="preserve">6.2 Proposed in literature but not built or validated</w:t>
      </w:r>
    </w:p>
    <w:p>
      <w:pPr>
        <w:spacing w:after="150"/>
      </w:pPr>
      <w:r>
        <w:rPr>
          <w:b/>
          <w:bCs/>
          <w:color w:val="000000"/>
        </w:rPr>
        <w:t xml:space="preserve">Per-plant adaptive baseline correction: </w:t>
      </w:r>
      <w:r>
        <w:rPr>
          <w:color w:val="000000"/>
        </w:rPr>
        <w:t xml:space="preserve">“Internet of Plants” (Dec 2025) explicitly names this as a necessary future direction and proposes a general retraining-based concept, but does not implement, test, or validate it. This is the single closest piece of prior art and must be directly cited and differentiated from.</w:t>
      </w:r>
    </w:p>
    <w:p>
      <w:pPr>
        <w:pStyle w:val="Heading2"/>
        <w:spacing w:after="120" w:before="260"/>
      </w:pPr>
      <w:r>
        <w:t xml:space="preserve">6.3 Confirmed open — the actual novelty claim</w:t>
      </w:r>
    </w:p>
    <w:p>
      <w:pPr>
        <w:pStyle w:val="ListParagraph"/>
        <w:numPr>
          <w:ilvl w:val="0"/>
          <w:numId w:val="2"/>
        </w:numPr>
        <w:spacing w:after="70"/>
      </w:pPr>
      <w:r>
        <w:rPr>
          <w:color w:val="000000"/>
        </w:rPr>
        <w:t xml:space="preserve">A bounded-memory (fixed-size, continuously self-refreshing) mechanism for per-INDIVIDUAL-plant personalization — not found anywhere reviewed, including in Lo et al.'s species-level work.</w:t>
      </w:r>
    </w:p>
    <w:p>
      <w:pPr>
        <w:pStyle w:val="ListParagraph"/>
        <w:numPr>
          <w:ilvl w:val="0"/>
          <w:numId w:val="2"/>
        </w:numPr>
        <w:spacing w:after="70"/>
      </w:pPr>
      <w:r>
        <w:rPr>
          <w:color w:val="000000"/>
        </w:rPr>
        <w:t xml:space="preserve">A confidence-gated update policy protecting a personalized plant model from corrupted/noisy data — not found in the plant-sensing literature.</w:t>
      </w:r>
    </w:p>
    <w:p>
      <w:pPr>
        <w:pStyle w:val="ListParagraph"/>
        <w:numPr>
          <w:ilvl w:val="0"/>
          <w:numId w:val="2"/>
        </w:numPr>
        <w:spacing w:after="70"/>
      </w:pPr>
      <w:r>
        <w:rPr>
          <w:color w:val="000000"/>
        </w:rPr>
        <w:t xml:space="preserve">Electrode-contact-quality self-diagnosis specific to plant tissue, distinct from electrical baseline-wander drift — not found anywhere reviewed; established only in human ECG/EEG wearables.</w:t>
      </w:r>
    </w:p>
    <w:p>
      <w:pPr>
        <w:pStyle w:val="ListParagraph"/>
        <w:numPr>
          <w:ilvl w:val="0"/>
          <w:numId w:val="2"/>
        </w:numPr>
        <w:spacing w:after="70"/>
      </w:pPr>
      <w:r>
        <w:rPr>
          <w:color w:val="000000"/>
        </w:rPr>
        <w:t xml:space="preserve">The full combination — personalized + bounded-memory + confidence-gated + electrode-drift-aware + field-deployable — as a single system, is not described anywhere in the literature or patents reviewed.</w:t>
      </w:r>
    </w:p>
    <w:p>
      <w:pPr>
        <w:pStyle w:val="ListParagraph"/>
        <w:numPr>
          <w:ilvl w:val="0"/>
          <w:numId w:val="2"/>
        </w:numPr>
        <w:spacing w:after="70"/>
      </w:pPr>
      <w:r>
        <w:rPr>
          <w:color w:val="000000"/>
        </w:rPr>
        <w:t xml:space="preserve">Adversarial gut-check (2026 scan): when explicitly asked to find a counterexample disproving this claim, no end-to-end personalized on-device plant bioelectric system was found; the term “personalized” appears only in human-stress literature, never in plant electrophysiology papers.</w:t>
      </w:r>
    </w:p>
    <w:p>
      <w:r>
        <w:br w:type="page"/>
      </w:r>
    </w:p>
    <w:p>
      <w:pPr>
        <w:pStyle w:val="Heading1"/>
        <w:spacing w:after="160" w:before="340"/>
      </w:pPr>
      <w:r>
        <w:t xml:space="preserve">7. What Can Be Patented</w:t>
      </w:r>
    </w:p>
    <w:p>
      <w:pPr>
        <w:spacing w:after="150"/>
      </w:pPr>
      <w:r>
        <w:rPr>
          <w:b/>
          <w:bCs/>
          <w:color w:val="000000"/>
        </w:rPr>
        <w:t xml:space="preserve">Primary claim: </w:t>
      </w:r>
      <w:r>
        <w:rPr>
          <w:color w:val="000000"/>
        </w:rPr>
        <w:t xml:space="preserve">A method for continually learning and maintaining a per-plant, bounded-memory bioelectric baseline model on a resource-constrained embedded device, combined with a multi-modal fusion technique that disambiguates stress cause (drought vs. pest vs. disease) using bioelectric deviation patterns fused with environmental context — enabling real-time, field-deployable, personalized stress prediction without cloud dependency.</w:t>
      </w:r>
    </w:p>
    <w:p>
      <w:pPr>
        <w:spacing w:after="150"/>
      </w:pPr>
      <w:r>
        <w:rPr>
          <w:b/>
          <w:bCs/>
          <w:color w:val="000000"/>
        </w:rPr>
        <w:t xml:space="preserve">Dependent claim 1 — Electrode-contact-quality self-monitoring: </w:t>
      </w:r>
      <w:r>
        <w:rPr>
          <w:color w:val="000000"/>
        </w:rPr>
        <w:t xml:space="preserve">a mechanism (periodic impedance-check pulses) distinguishing genuine physiological signal change from electrode-contact degradation as the plant grows — adapted from ECG/EEG practice, never before applied to plant tissue.</w:t>
      </w:r>
    </w:p>
    <w:p>
      <w:pPr>
        <w:spacing w:after="150"/>
      </w:pPr>
      <w:r>
        <w:rPr>
          <w:b/>
          <w:bCs/>
          <w:color w:val="000000"/>
        </w:rPr>
        <w:t xml:space="preserve">Dependent claim 2 — Confidence-gated personalization: </w:t>
      </w:r>
      <w:r>
        <w:rPr>
          <w:color w:val="000000"/>
        </w:rPr>
        <w:t xml:space="preserve">the model updates its personal baseline only when new data is assessed as reliable, protecting the mechanism from corruption by noise or contact faults.</w:t>
      </w:r>
    </w:p>
    <w:p>
      <w:pPr>
        <w:spacing w:after="150"/>
      </w:pPr>
      <w:r>
        <w:rPr>
          <w:color w:val="000000"/>
        </w:rPr>
        <w:t xml:space="preserve">Framing note: the claim is deliberately narrow. It is NOT “plants produce bioelectric signals” (established) or “embedded ML can classify plant signals” (already demonstrated). It is the personalized, bounded-memory, self-diagnosing calibration method applied on top of that established foundation — directly answering a gap that PhytoNode, Internet of Plants, and Lo et al. each separately name or demonstrate as unresolved.</w:t>
      </w:r>
    </w:p>
    <w:p>
      <w:pPr>
        <w:pStyle w:val="Heading2"/>
      </w:pPr>
      <w:r>
        <w:t>7.1 Claim Boundary — What Is In vs Out of the Patent Claim</w:t>
      </w:r>
    </w:p>
    <w:p>
      <w:r>
        <w:t>This boundary is binding on any invention disclosure, provisional draft, or claim language. It exists because the pitch deck and Execution Plan describe a broader four-pillar system (“PhytoSense++”), and that broader framing must never be allowed to quietly widen the patent claim.</w:t>
      </w:r>
    </w:p>
    <w:p>
      <w:r>
        <w:rPr>
          <w:b/>
        </w:rPr>
        <w:t>IN the patent claim (Section 7, above):</w:t>
      </w:r>
    </w:p>
    <w:p>
      <w:r>
        <w:t>Personalized, bounded-memory baseline learning; electrode-contact-quality self-diagnosis; confidence-gated personalization. Nothing else.</w:t>
      </w:r>
    </w:p>
    <w:p>
      <w:r>
        <w:rPr>
          <w:b/>
        </w:rPr>
        <w:t>OUT of the patent claim — system features only, described in the paper/demo, never in claim language:</w:t>
      </w:r>
    </w:p>
    <w:p>
      <w:r>
        <w:t>On-device explainability, autonomous/closed-loop irrigation, and predictive forecasting. These are heavily prior-arted individually (see Sections 4 and 5) and would dilute, not strengthen, the claim if folded in.</w:t>
      </w:r>
    </w:p>
    <w:p>
      <w:r>
        <w:rPr>
          <w:b/>
        </w:rPr>
        <w:t>Non-obviousness defense (raise this explicitly with the patent agent):</w:t>
      </w:r>
    </w:p>
    <w:p>
      <w:r>
        <w:t>The likely examiner objection is that combining known techniques (ECG/EEG drift-checking, TinyML continual learning, BCI-style calibration) for their known purpose in a new domain is obvious. The rebuttal must be a specific technical reason a naive port from ECG/EEG does not simply work on plant tissue — e.g., plant bioelectric signals have different noise, drift, and amplitude characteristics, so the confidence-gating threshold had to be independently derived, not copied — plus a measured, non-obvious result from Section 11's experiment (e.g., detection lead-time improvement) as evidence the combination does more than the sum of its parts.</w:t>
      </w:r>
    </w:p>
    <w:p>
      <w:r>
        <w:t>Process note: do not finalize claim language until the professional novelty and freedom-to-operate search (see Section 7 framing note, and the Execution Plan's Patent Filing Process) returns — this section states scope, not final wording.</w:t>
      </w:r>
    </w:p>
    <w:p>
      <w:pPr>
        <w:pStyle w:val="Heading1"/>
        <w:spacing w:after="160" w:before="340"/>
      </w:pPr>
      <w:r>
        <w:t xml:space="preserve">8. What Can Be Published as a Research Paper</w:t>
      </w:r>
    </w:p>
    <w:p>
      <w:pPr>
        <w:spacing w:after="150"/>
      </w:pPr>
      <w:r>
        <w:rPr>
          <w:b/>
          <w:bCs/>
          <w:color w:val="000000"/>
        </w:rPr>
        <w:t xml:space="preserve">Core experiment: </w:t>
      </w:r>
      <w:r>
        <w:rPr>
          <w:color w:val="000000"/>
        </w:rPr>
        <w:t xml:space="preserve">personalized bounded-memory model vs. a fixed/generic-threshold baseline (representative of current published approaches), tested on real potted plants over 2–4 weeks, measured on: (a) lead time before visible symptoms, (b) false-alarm rate, (c) stress-type classification accuracy.</w:t>
      </w:r>
    </w:p>
    <w:p>
      <w:pPr>
        <w:spacing w:after="150"/>
      </w:pPr>
      <w:r>
        <w:rPr>
          <w:b/>
          <w:bCs/>
          <w:color w:val="000000"/>
        </w:rPr>
        <w:t xml:space="preserve">Secondary result: </w:t>
      </w:r>
      <w:r>
        <w:rPr>
          <w:color w:val="000000"/>
        </w:rPr>
        <w:t xml:space="preserve">signal-quality / noise-robustness under real unshielded field conditions, compared to figures reported in lab-only prior work.</w:t>
      </w:r>
    </w:p>
    <w:p>
      <w:pPr>
        <w:spacing w:after="150"/>
      </w:pPr>
      <w:r>
        <w:rPr>
          <w:b/>
          <w:bCs/>
          <w:color w:val="000000"/>
        </w:rPr>
        <w:t xml:space="preserve">Positioning for reviewers: </w:t>
      </w:r>
      <w:r>
        <w:rPr>
          <w:color w:val="000000"/>
        </w:rPr>
        <w:t xml:space="preserve">explicitly cite PhytoNode, Internet of Plants, and Lo et al. as the established baseline, and position this work as directly answering the per-individual personalization gap each names or demonstrates as unresolved — a credible, citation-grounded contribution.</w:t>
      </w:r>
    </w:p>
    <w:p>
      <w:pPr>
        <w:spacing w:after="150"/>
      </w:pPr>
      <w:r>
        <w:rPr>
          <w:b/>
          <w:bCs/>
          <w:color w:val="000000"/>
        </w:rPr>
        <w:t>Target venues — split into primary and stretch, given sample-size limits in Section 11: Primary target: a national/regional embedded-systems, IoT, or precision-agriculture student conference or workshop track — achievable with a 2–4 week, small-n trial. Stretch target: IEEE Internet of Things Journal or a comparable selective journal — pursued only if Phase 3–4 data is unusually strong, or after a second, larger data-collection round (more plants, a second species) run after the course timeline closes. Do not submit to the stretch venue on the first dataset alone — a rejection there costs a review cycle the semester timeline can't afford.</w:t>
      </w:r>
      <w:r>
        <w:rPr>
          <w:color w:val="000000"/>
        </w:rPr>
      </w:r>
    </w:p>
    <w:p>
      <w:r>
        <w:br w:type="page"/>
      </w:r>
    </w:p>
    <w:p>
      <w:pPr>
        <w:pStyle w:val="Heading1"/>
        <w:spacing w:after="160" w:before="340"/>
      </w:pPr>
      <w:r>
        <w:t xml:space="preserve">9. Hardware Requirements (40%)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200"/>
            <w:shd w:fill="E5E5E5" w:val="clear"/>
          </w:tcPr>
          <w:p>
            <w:r>
              <w:rPr>
                <w:b/>
                <w:bCs/>
                <w:color w:val="000000"/>
                <w:sz w:val="17"/>
                <w:szCs w:val="17"/>
              </w:rPr>
              <w:t xml:space="preserve">Component</w:t>
            </w:r>
          </w:p>
        </w:tc>
        <w:tc>
          <w:tcPr>
            <w:tcW w:type="dxa" w:w="5000"/>
            <w:shd w:fill="E5E5E5" w:val="clear"/>
          </w:tcPr>
          <w:p>
            <w:r>
              <w:rPr>
                <w:b/>
                <w:bCs/>
                <w:color w:val="000000"/>
                <w:sz w:val="17"/>
                <w:szCs w:val="17"/>
              </w:rPr>
              <w:t xml:space="preserve">Purpose</w:t>
            </w:r>
          </w:p>
        </w:tc>
      </w:tr>
      <w:tr>
        <w:tc>
          <w:tcPr>
            <w:tcW w:type="dxa" w:w="4200"/>
          </w:tcPr>
          <w:p>
            <w:r>
              <w:rPr>
                <w:b w:val="false"/>
                <w:bCs w:val="false"/>
                <w:color w:val="000000"/>
                <w:sz w:val="17"/>
                <w:szCs w:val="17"/>
              </w:rPr>
              <w:t xml:space="preserve">Ag/AgCl or stainless-steel surface electrodes</w:t>
            </w:r>
          </w:p>
        </w:tc>
        <w:tc>
          <w:tcPr>
            <w:tcW w:type="dxa" w:w="5000"/>
          </w:tcPr>
          <w:p>
            <w:r>
              <w:rPr>
                <w:b w:val="false"/>
                <w:bCs w:val="false"/>
                <w:color w:val="000000"/>
                <w:sz w:val="17"/>
                <w:szCs w:val="17"/>
              </w:rPr>
              <w:t xml:space="preserve">Non-invasive leaf/stem clip, bioelectric potential capture</w:t>
            </w:r>
          </w:p>
        </w:tc>
      </w:tr>
      <w:tr>
        <w:tc>
          <w:tcPr>
            <w:tcW w:type="dxa" w:w="4200"/>
          </w:tcPr>
          <w:p>
            <w:r>
              <w:rPr>
                <w:b w:val="false"/>
                <w:bCs w:val="false"/>
                <w:color w:val="000000"/>
                <w:sz w:val="17"/>
                <w:szCs w:val="17"/>
              </w:rPr>
              <w:t xml:space="preserve">Instrumentation amplifier (AD8232 or INA128/INA333)</w:t>
            </w:r>
          </w:p>
        </w:tc>
        <w:tc>
          <w:tcPr>
            <w:tcW w:type="dxa" w:w="5000"/>
          </w:tcPr>
          <w:p>
            <w:r>
              <w:rPr>
                <w:b w:val="false"/>
                <w:bCs w:val="false"/>
                <w:color w:val="000000"/>
                <w:sz w:val="17"/>
                <w:szCs w:val="17"/>
              </w:rPr>
              <w:t xml:space="preserve">Amplify/filter µV-level signal; AD8232 confirmed as current standard by 2026 literature</w:t>
            </w:r>
          </w:p>
        </w:tc>
      </w:tr>
      <w:tr>
        <w:tc>
          <w:tcPr>
            <w:tcW w:type="dxa" w:w="4200"/>
          </w:tcPr>
          <w:p>
            <w:r>
              <w:rPr>
                <w:b w:val="false"/>
                <w:bCs w:val="false"/>
                <w:color w:val="000000"/>
                <w:sz w:val="17"/>
                <w:szCs w:val="17"/>
              </w:rPr>
              <w:t xml:space="preserve">Soil moisture, temperature, light sensors (e.g., BME280)</w:t>
            </w:r>
          </w:p>
        </w:tc>
        <w:tc>
          <w:tcPr>
            <w:tcW w:type="dxa" w:w="5000"/>
          </w:tcPr>
          <w:p>
            <w:r>
              <w:rPr>
                <w:b w:val="false"/>
                <w:bCs w:val="false"/>
                <w:color w:val="000000"/>
                <w:sz w:val="17"/>
                <w:szCs w:val="17"/>
              </w:rPr>
              <w:t xml:space="preserve">Environmental context for multi-modal fusion</w:t>
            </w:r>
          </w:p>
        </w:tc>
      </w:tr>
      <w:tr>
        <w:tc>
          <w:tcPr>
            <w:tcW w:type="dxa" w:w="4200"/>
          </w:tcPr>
          <w:p>
            <w:r>
              <w:rPr>
                <w:b w:val="false"/>
                <w:bCs w:val="false"/>
                <w:color w:val="000000"/>
                <w:sz w:val="17"/>
                <w:szCs w:val="17"/>
              </w:rPr>
              <w:t xml:space="preserve">ESP32 / ESP32-S3 microcontroller</w:t>
            </w:r>
          </w:p>
        </w:tc>
        <w:tc>
          <w:tcPr>
            <w:tcW w:type="dxa" w:w="5000"/>
          </w:tcPr>
          <w:p>
            <w:r>
              <w:rPr>
                <w:b w:val="false"/>
                <w:bCs w:val="false"/>
                <w:color w:val="000000"/>
                <w:sz w:val="17"/>
                <w:szCs w:val="17"/>
              </w:rPr>
              <w:t xml:space="preserve">On-device inference; confirmed feasible for small models via TensorFlow Lite Micro (ESP-NN acceleration)</w:t>
            </w:r>
          </w:p>
        </w:tc>
      </w:tr>
      <w:tr>
        <w:tc>
          <w:tcPr>
            <w:tcW w:type="dxa" w:w="4200"/>
          </w:tcPr>
          <w:p>
            <w:r>
              <w:rPr>
                <w:b w:val="false"/>
                <w:bCs w:val="false"/>
                <w:color w:val="000000"/>
                <w:sz w:val="17"/>
                <w:szCs w:val="17"/>
              </w:rPr>
              <w:t xml:space="preserve">Battery + solar/charging module</w:t>
            </w:r>
          </w:p>
        </w:tc>
        <w:tc>
          <w:tcPr>
            <w:tcW w:type="dxa" w:w="5000"/>
          </w:tcPr>
          <w:p>
            <w:r>
              <w:rPr>
                <w:b w:val="false"/>
                <w:bCs w:val="false"/>
                <w:color w:val="000000"/>
                <w:sz w:val="17"/>
                <w:szCs w:val="17"/>
              </w:rPr>
              <w:t xml:space="preserve">Extended field deployment</w:t>
            </w:r>
          </w:p>
        </w:tc>
      </w:tr>
      <w:tr>
        <w:tc>
          <w:tcPr>
            <w:tcW w:type="dxa" w:w="4200"/>
          </w:tcPr>
          <w:p>
            <w:r>
              <w:rPr>
                <w:b w:val="false"/>
                <w:bCs w:val="false"/>
                <w:color w:val="000000"/>
                <w:sz w:val="17"/>
                <w:szCs w:val="17"/>
              </w:rPr>
              <w:t xml:space="preserve">Weatherproof enclosure</w:t>
            </w:r>
          </w:p>
        </w:tc>
        <w:tc>
          <w:tcPr>
            <w:tcW w:type="dxa" w:w="5000"/>
          </w:tcPr>
          <w:p>
            <w:r>
              <w:rPr>
                <w:b w:val="false"/>
                <w:bCs w:val="false"/>
                <w:color w:val="000000"/>
                <w:sz w:val="17"/>
                <w:szCs w:val="17"/>
              </w:rPr>
              <w:t xml:space="preserve">Field durability</w:t>
            </w:r>
          </w:p>
        </w:tc>
      </w:tr>
    </w:tbl>
    <w:p>
      <w:pPr>
        <w:spacing w:after="150"/>
      </w:pPr>
      <w:r>
        <w:rPr>
          <w:color w:val="000000"/>
        </w:rPr>
        <w:t xml:space="preserve">Confirmed technical constraint: Espressif's own benchmarks show small models run efficiently on ESP32-S3 (person-detection example: 2300ms → 54ms with ESP-NN acceleration), but larger models (~2MB) can take up to 60 seconds due to PSRAM spillover. Design constraint: keep the personalized model and bounded-memory buffer well under this threshold.</w:t>
      </w:r>
    </w:p>
    <w:p>
      <w:pPr>
        <w:pStyle w:val="Heading1"/>
        <w:spacing w:after="160" w:before="340"/>
      </w:pPr>
      <w:r>
        <w:t xml:space="preserve">10. Software Requirements (60%)</w:t>
      </w:r>
    </w:p>
    <w:p>
      <w:pPr>
        <w:pStyle w:val="ListParagraph"/>
        <w:numPr>
          <w:ilvl w:val="0"/>
          <w:numId w:val="2"/>
        </w:numPr>
        <w:spacing w:after="70"/>
      </w:pPr>
      <w:r>
        <w:rPr>
          <w:color w:val="000000"/>
        </w:rPr>
        <w:t xml:space="preserve">Signal denoising / artifact-removal pipeline (field-noise conditions, not lab-shielded).</w:t>
      </w:r>
    </w:p>
    <w:p>
      <w:pPr>
        <w:pStyle w:val="ListParagraph"/>
        <w:numPr>
          <w:ilvl w:val="0"/>
          <w:numId w:val="2"/>
        </w:numPr>
        <w:spacing w:after="70"/>
      </w:pPr>
      <w:r>
        <w:rPr>
          <w:color w:val="000000"/>
        </w:rPr>
        <w:t xml:space="preserve">Personalized bounded-memory baseline learning engine (core contribution).</w:t>
      </w:r>
    </w:p>
    <w:p>
      <w:pPr>
        <w:pStyle w:val="ListParagraph"/>
        <w:numPr>
          <w:ilvl w:val="0"/>
          <w:numId w:val="2"/>
        </w:numPr>
        <w:spacing w:after="70"/>
      </w:pPr>
      <w:r>
        <w:rPr>
          <w:color w:val="000000"/>
        </w:rPr>
        <w:t xml:space="preserve">Electrode-contact-quality diagnostic module (impedance self-check).</w:t>
      </w:r>
    </w:p>
    <w:p>
      <w:pPr>
        <w:pStyle w:val="ListParagraph"/>
        <w:numPr>
          <w:ilvl w:val="0"/>
          <w:numId w:val="2"/>
        </w:numPr>
        <w:spacing w:after="70"/>
      </w:pPr>
      <w:r>
        <w:rPr>
          <w:color w:val="000000"/>
        </w:rPr>
        <w:t xml:space="preserve">Confidence-gated update logic.</w:t>
      </w:r>
    </w:p>
    <w:p>
      <w:pPr>
        <w:pStyle w:val="ListParagraph"/>
        <w:numPr>
          <w:ilvl w:val="0"/>
          <w:numId w:val="2"/>
        </w:numPr>
        <w:spacing w:after="70"/>
      </w:pPr>
      <w:r>
        <w:rPr>
          <w:color w:val="000000"/>
        </w:rPr>
        <w:t xml:space="preserve">Multi-modal fusion classifier (bioelectric + soil/temp/light) for stress-type disambiguation.</w:t>
      </w:r>
    </w:p>
    <w:p>
      <w:pPr>
        <w:pStyle w:val="ListParagraph"/>
        <w:numPr>
          <w:ilvl w:val="0"/>
          <w:numId w:val="2"/>
        </w:numPr>
        <w:spacing w:after="70"/>
      </w:pPr>
      <w:r>
        <w:rPr>
          <w:color w:val="000000"/>
        </w:rPr>
        <w:t xml:space="preserve">Local alert generation; optional multi-plant dashboard.</w:t>
      </w:r>
    </w:p>
    <w:p>
      <w:pPr>
        <w:pStyle w:val="Heading1"/>
        <w:spacing w:after="160" w:before="340"/>
      </w:pPr>
      <w:r>
        <w:t xml:space="preserve">11. Experimental / Testing Plan</w:t>
      </w:r>
    </w:p>
    <w:p>
      <w:pPr>
        <w:spacing w:after="150"/>
      </w:pPr>
      <w:r>
        <w:rPr>
          <w:color w:val="000000"/>
        </w:rPr>
        <w:t xml:space="preserve">No greenhouse or lab required — potted plants (basil/spinach) on a windowsill or balcony, consistent with standard practice in the reviewed literature.</w:t>
      </w:r>
    </w:p>
    <w:p>
      <w:pPr>
        <w:pStyle w:val="ListParagraph"/>
        <w:numPr>
          <w:ilvl w:val="0"/>
          <w:numId w:val="2"/>
        </w:numPr>
        <w:spacing w:after="70"/>
      </w:pPr>
      <w:r>
        <w:rPr>
          <w:color w:val="000000"/>
        </w:rPr>
        <w:t xml:space="preserve">Group A: watered normally (control).</w:t>
      </w:r>
    </w:p>
    <w:p>
      <w:pPr>
        <w:pStyle w:val="ListParagraph"/>
        <w:numPr>
          <w:ilvl w:val="0"/>
          <w:numId w:val="2"/>
        </w:numPr>
        <w:spacing w:after="70"/>
      </w:pPr>
      <w:r>
        <w:rPr>
          <w:color w:val="000000"/>
        </w:rPr>
        <w:t xml:space="preserve">Group B: water withheld (drought stress).</w:t>
      </w:r>
    </w:p>
    <w:p>
      <w:pPr>
        <w:pStyle w:val="ListParagraph"/>
        <w:numPr>
          <w:ilvl w:val="0"/>
          <w:numId w:val="2"/>
        </w:numPr>
        <w:spacing w:after="70"/>
      </w:pPr>
      <w:r>
        <w:rPr>
          <w:color w:val="000000"/>
        </w:rPr>
        <w:t xml:space="preserve">Group C: mild controlled leaf damage (pest/physical stress simulation, no live pests needed).</w:t>
      </w:r>
    </w:p>
    <w:p>
      <w:pPr>
        <w:pStyle w:val="ListParagraph"/>
        <w:numPr>
          <w:ilvl w:val="0"/>
          <w:numId w:val="2"/>
        </w:numPr>
        <w:spacing w:after="70"/>
      </w:pPr>
      <w:r>
        <w:rPr>
          <w:color w:val="000000"/>
        </w:rPr>
        <w:t xml:space="preserve">Run 2–3 weeks; log continuously; record when visible symptoms first appear.</w:t>
      </w:r>
    </w:p>
    <w:p>
      <w:r>
        <w:br w:type="page"/>
      </w:r>
    </w:p>
    <w:p>
      <w:pPr>
        <w:pStyle w:val="Heading1"/>
        <w:spacing w:after="160" w:before="340"/>
      </w:pPr>
      <w:r>
        <w:t xml:space="preserve">12. Build Phases</w:t>
      </w:r>
    </w:p>
    <w:p>
      <w:pPr>
        <w:pStyle w:val="Heading2"/>
        <w:spacing w:after="120" w:before="260"/>
      </w:pPr>
      <w:r>
        <w:t xml:space="preserve">Phase 1 (Week 1) — Literature grounding and procurement</w:t>
      </w:r>
    </w:p>
    <w:p>
      <w:pPr>
        <w:pStyle w:val="ListParagraph"/>
        <w:numPr>
          <w:ilvl w:val="0"/>
          <w:numId w:val="2"/>
        </w:numPr>
        <w:spacing w:after="70"/>
      </w:pPr>
      <w:r>
        <w:rPr>
          <w:color w:val="000000"/>
        </w:rPr>
        <w:t xml:space="preserve">Read Internet of Plants and Lo et al. papers in full; order components.</w:t>
      </w:r>
    </w:p>
    <w:p>
      <w:pPr>
        <w:pStyle w:val="Heading2"/>
        <w:spacing w:after="120" w:before="260"/>
      </w:pPr>
      <w:r>
        <w:t xml:space="preserve">Phase 2 (Week 2) — Analog front-end</w:t>
      </w:r>
    </w:p>
    <w:p>
      <w:pPr>
        <w:pStyle w:val="ListParagraph"/>
        <w:numPr>
          <w:ilvl w:val="0"/>
          <w:numId w:val="2"/>
        </w:numPr>
        <w:spacing w:after="70"/>
      </w:pPr>
      <w:r>
        <w:rPr>
          <w:color w:val="000000"/>
        </w:rPr>
        <w:t xml:space="preserve">Wire electrodes → amplifier → ESP32 ADC; confirm signal deflection on gentle touch — minimum viable Review 1 demo.</w:t>
      </w:r>
    </w:p>
    <w:p>
      <w:pPr>
        <w:pStyle w:val="Heading2"/>
        <w:spacing w:after="120" w:before="260"/>
      </w:pPr>
      <w:r>
        <w:t xml:space="preserve">Phase 3 (Weeks 3–4) — Data collection (run in parallel)</w:t>
      </w:r>
    </w:p>
    <w:p>
      <w:pPr>
        <w:pStyle w:val="ListParagraph"/>
        <w:numPr>
          <w:ilvl w:val="0"/>
          <w:numId w:val="2"/>
        </w:numPr>
        <w:spacing w:after="70"/>
      </w:pPr>
      <w:r>
        <w:rPr>
          <w:color w:val="000000"/>
        </w:rPr>
        <w:t xml:space="preserve">Deploy Groups A/B/C as early as possible — this dataset is the critical path for everything downstream.</w:t>
      </w:r>
    </w:p>
    <w:p>
      <w:pPr>
        <w:pStyle w:val="Heading2"/>
        <w:spacing w:after="120" w:before="260"/>
      </w:pPr>
      <w:r>
        <w:t xml:space="preserve">Phase 4 (Weeks 4–5) — Software, in order</w:t>
      </w:r>
    </w:p>
    <w:p>
      <w:pPr>
        <w:pStyle w:val="ListParagraph"/>
        <w:numPr>
          <w:ilvl w:val="0"/>
          <w:numId w:val="2"/>
        </w:numPr>
        <w:spacing w:after="70"/>
      </w:pPr>
      <w:r>
        <w:rPr>
          <w:color w:val="000000"/>
        </w:rPr>
        <w:t xml:space="preserve">Denoising/filtering → feature extraction → basic classifier → personalized bounded-memory logic → electrode-drift check → confidence-gated updates.</w:t>
      </w:r>
    </w:p>
    <w:p>
      <w:pPr>
        <w:pStyle w:val="Heading2"/>
        <w:spacing w:after="120" w:before="260"/>
      </w:pPr>
      <w:r>
        <w:t xml:space="preserve">Ongoing</w:t>
      </w:r>
    </w:p>
    <w:p>
      <w:pPr>
        <w:pStyle w:val="ListParagraph"/>
        <w:numPr>
          <w:ilvl w:val="0"/>
          <w:numId w:val="2"/>
        </w:numPr>
        <w:spacing w:after="70"/>
      </w:pPr>
      <w:r>
        <w:rPr>
          <w:color w:val="000000"/>
        </w:rPr>
        <w:t xml:space="preserve">Maintain a running lab notebook of attempts, failures, and raw data — becomes Review 2/3 material and the paper's methodology section.</w:t>
      </w:r>
    </w:p>
    <w:p>
      <w:pPr>
        <w:pStyle w:val="Heading1"/>
        <w:spacing w:after="160" w:before="340"/>
      </w:pPr>
      <w:r>
        <w:t xml:space="preserve">13. Key Points for the Professor Pitch</w:t>
      </w:r>
    </w:p>
    <w:p>
      <w:pPr>
        <w:pStyle w:val="ListParagraph"/>
        <w:numPr>
          <w:ilvl w:val="0"/>
          <w:numId w:val="2"/>
        </w:numPr>
        <w:spacing w:after="70"/>
      </w:pPr>
      <w:r>
        <w:rPr>
          <w:color w:val="000000"/>
        </w:rPr>
        <w:t xml:space="preserve">Real, cited science: bioelectric plant-stress signals are established (150+ years); this is not speculative biology.</w:t>
      </w:r>
    </w:p>
    <w:p>
      <w:pPr>
        <w:pStyle w:val="ListParagraph"/>
        <w:numPr>
          <w:ilvl w:val="0"/>
          <w:numId w:val="2"/>
        </w:numPr>
        <w:spacing w:after="70"/>
      </w:pPr>
      <w:r>
        <w:rPr>
          <w:color w:val="000000"/>
        </w:rPr>
        <w:t xml:space="preserve">Real, cited gap: PhytoNode, Internet of Plants, and Lo et al. (2025) each independently confirm per-individual-plant personalization is unsolved — not an invented gap.</w:t>
      </w:r>
    </w:p>
    <w:p>
      <w:pPr>
        <w:pStyle w:val="ListParagraph"/>
        <w:numPr>
          <w:ilvl w:val="0"/>
          <w:numId w:val="2"/>
        </w:numPr>
        <w:spacing w:after="70"/>
      </w:pPr>
      <w:r>
        <w:rPr>
          <w:color w:val="000000"/>
        </w:rPr>
        <w:t xml:space="preserve">Narrow, defensible patent claim: personalization method + electrode-drift self-check, not a claim over the underlying science.</w:t>
      </w:r>
    </w:p>
    <w:p>
      <w:pPr>
        <w:pStyle w:val="ListParagraph"/>
        <w:numPr>
          <w:ilvl w:val="0"/>
          <w:numId w:val="2"/>
        </w:numPr>
        <w:spacing w:after="70"/>
      </w:pPr>
      <w:r>
        <w:rPr>
          <w:color w:val="000000"/>
        </w:rPr>
        <w:t xml:space="preserve">Technically grounded: hardware feasibility (ESP32 + TFLite Micro) and component choices (AD8232) confirmed against 2026 literature and real memory/latency benchmarks.</w:t>
      </w:r>
    </w:p>
    <w:p>
      <w:pPr>
        <w:pStyle w:val="ListParagraph"/>
        <w:numPr>
          <w:ilvl w:val="0"/>
          <w:numId w:val="2"/>
        </w:numPr>
        <w:spacing w:after="70"/>
      </w:pPr>
      <w:r>
        <w:rPr>
          <w:color w:val="000000"/>
        </w:rPr>
        <w:t xml:space="preserve">Realistic testing plan requiring no lab or greenhouse access.</w:t>
      </w:r>
    </w:p>
    <w:p>
      <w:pPr>
        <w:pStyle w:val="ListParagraph"/>
        <w:numPr>
          <w:ilvl w:val="0"/>
          <w:numId w:val="2"/>
        </w:numPr>
        <w:spacing w:after="70"/>
      </w:pPr>
      <w:r>
        <w:rPr>
          <w:color w:val="000000"/>
        </w:rPr>
        <w:t xml:space="preserve">Clear research paper output with a concrete, citable core comparison result.</w:t>
      </w:r>
    </w:p>
    <w:p>
      <w:pPr>
        <w:pStyle w:val="ListParagraph"/>
        <w:numPr>
          <w:ilvl w:val="0"/>
          <w:numId w:val="2"/>
        </w:numPr>
        <w:spacing w:after="70"/>
      </w:pPr>
      <w:r>
        <w:rPr>
          <w:color w:val="000000"/>
        </w:rPr>
        <w:t xml:space="preserve">Honest framing throughout: not claiming to have invented plant bioelectric sensing — claiming a specific, cited, narrow technical contribution on top of it.</w:t>
      </w:r>
    </w:p>
    <w:p>
      <w:pPr>
        <w:pBdr>
          <w:bottom w:val="single" w:color="AAAAAA" w:sz="6"/>
        </w:pBdr>
        <w:spacing w:after="200"/>
      </w:pPr>
    </w:p>
    <w:p>
      <w:r>
        <w:rPr>
          <w:i/>
          <w:iCs/>
          <w:color w:val="888888"/>
          <w:sz w:val="17"/>
          <w:szCs w:val="17"/>
        </w:rPr>
        <w:t xml:space="preserve">Prepared to accompany the PhytoSense pitch — Embedded Systems (Hardware 40% / Software 60%). All findings based on a structured, multi-round literature and patent search; independent verification via institutional library access (IEEE Xplore, Scopus) and formal prior-art search is recommended before any patent filing.</w:t>
      </w:r>
    </w:p>
    <w:sectPr>
      <w:pgSz w:w="12240" w:h="15840" w:orient="portrait"/>
      <w:pgMar w:top="1080" w:right="1150" w:bottom="108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2026-07-25T10:58:35.381Z</dcterms:created>
  <dcterms:modified xsi:type="dcterms:W3CDTF">2026-07-25T10:58:35.399Z</dcterms:modified>
</cp:coreProperties>
</file>

<file path=docProps/custom.xml><?xml version="1.0" encoding="utf-8"?>
<Properties xmlns="http://schemas.openxmlformats.org/officeDocument/2006/custom-properties" xmlns:vt="http://schemas.openxmlformats.org/officeDocument/2006/docPropsVTypes"/>
</file>