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algun Gothic"/>
          <w:b/>
          <w:color w:val="17365D"/>
          <w:sz w:val="46"/>
        </w:rPr>
        <w:t>DOCUMENT AGENT EVALUATION REPORT</w:t>
      </w:r>
    </w:p>
    <w:p>
      <w:pPr>
        <w:spacing w:after="280"/>
      </w:pPr>
      <w:r>
        <w:rPr>
          <w:rFonts w:ascii="Calibri" w:hAnsi="Calibri" w:eastAsia="Malgun Gothic"/>
          <w:b/>
          <w:color w:val="1F4D78"/>
          <w:sz w:val="28"/>
        </w:rPr>
        <w:t>실제 공개 문서 양식 8종 재측정 결과</w:t>
      </w:r>
    </w:p>
    <w:p>
      <w:pPr>
        <w:spacing w:after="40"/>
      </w:pPr>
      <w:r>
        <w:rPr>
          <w:rFonts w:ascii="Calibri" w:hAnsi="Calibri" w:eastAsia="Malgun Gothic"/>
          <w:b/>
          <w:color w:val="666666"/>
          <w:sz w:val="19"/>
        </w:rPr>
        <w:t xml:space="preserve">평가일: </w:t>
      </w:r>
      <w:r>
        <w:rPr>
          <w:rFonts w:ascii="Calibri" w:hAnsi="Calibri" w:eastAsia="Malgun Gothic"/>
          <w:color w:val="222222"/>
          <w:sz w:val="19"/>
        </w:rPr>
        <w:t>2026-08-13 (KST)</w:t>
      </w:r>
    </w:p>
    <w:p>
      <w:pPr>
        <w:spacing w:after="40"/>
      </w:pPr>
      <w:r>
        <w:rPr>
          <w:rFonts w:ascii="Calibri" w:hAnsi="Calibri" w:eastAsia="Malgun Gothic"/>
          <w:b/>
          <w:color w:val="666666"/>
          <w:sz w:val="19"/>
        </w:rPr>
        <w:t xml:space="preserve">코드 기준: </w:t>
      </w:r>
      <w:r>
        <w:rPr>
          <w:rFonts w:ascii="Calibri" w:hAnsi="Calibri" w:eastAsia="Malgun Gothic"/>
          <w:color w:val="222222"/>
          <w:sz w:val="19"/>
        </w:rPr>
        <w:t>origin/main  9298e1feb3d1</w:t>
      </w:r>
    </w:p>
    <w:p>
      <w:pPr>
        <w:spacing w:after="40"/>
      </w:pPr>
      <w:r>
        <w:rPr>
          <w:rFonts w:ascii="Calibri" w:hAnsi="Calibri" w:eastAsia="Malgun Gothic"/>
          <w:b/>
          <w:color w:val="666666"/>
          <w:sz w:val="19"/>
        </w:rPr>
        <w:t xml:space="preserve">모델: </w:t>
      </w:r>
      <w:r>
        <w:rPr>
          <w:rFonts w:ascii="Calibri" w:hAnsi="Calibri" w:eastAsia="Malgun Gothic"/>
          <w:color w:val="222222"/>
          <w:sz w:val="19"/>
        </w:rPr>
        <w:t>gemini-3.6-flash</w:t>
      </w:r>
    </w:p>
    <w:p>
      <w:pPr>
        <w:spacing w:after="40"/>
      </w:pPr>
      <w:r>
        <w:rPr>
          <w:rFonts w:ascii="Calibri" w:hAnsi="Calibri" w:eastAsia="Malgun Gothic"/>
          <w:b/>
          <w:color w:val="666666"/>
          <w:sz w:val="19"/>
        </w:rPr>
        <w:t xml:space="preserve">재측정 정책: </w:t>
      </w:r>
      <w:r>
        <w:rPr>
          <w:rFonts w:ascii="Calibri" w:hAnsi="Calibri" w:eastAsia="Malgun Gothic"/>
          <w:color w:val="222222"/>
          <w:sz w:val="19"/>
        </w:rPr>
        <w:t>최초 결과 없음 2건만 각 1회, 자동 재시도 없음, 호출 시작 간격 40초</w:t>
      </w:r>
    </w:p>
    <w:p>
      <w:pPr>
        <w:spacing w:before="200" w:after="200"/>
        <w:ind w:left="115" w:right="115"/>
        <w:shd w:fill="E8EEF5"/>
      </w:pPr>
      <w:r>
        <w:rPr>
          <w:rFonts w:ascii="Calibri" w:hAnsi="Calibri" w:eastAsia="Malgun Gothic"/>
          <w:b/>
          <w:color w:val="17365D"/>
          <w:sz w:val="21"/>
        </w:rPr>
        <w:t>결론 | 8개 고유 양식 중 7개에서 유효한 구조화 결과를 확보했다. 유효 결과의 필드 값은 98/98로 모두 정확했다. 문서 유형까지 포함한 완전 일치는 6/7이다. GSA 3025는 두 번 모두 응답 스키마 검증에 실패해 정확도 판정에서 제외했다.</w:t>
      </w:r>
    </w:p>
    <w:p>
      <w:pPr>
        <w:pStyle w:val="Heading1"/>
      </w:pPr>
      <w:r>
        <w:t>핵심 지표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1700"/>
        <w:gridCol w:w="1400"/>
        <w:gridCol w:w="3660"/>
      </w:tblGrid>
      <w:tr>
        <w:trPr>
          <w:tblHeader w:val="true"/>
          <w:cantSplit/>
        </w:trPr>
        <w:tc>
          <w:tcPr>
            <w:tcW w:type="dxa" w:w="2600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8"/>
              </w:rPr>
              <w:t>지표</w:t>
            </w:r>
          </w:p>
        </w:tc>
        <w:tc>
          <w:tcPr>
            <w:tcW w:type="dxa" w:w="1700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8"/>
              </w:rPr>
              <w:t>결과</w:t>
            </w:r>
          </w:p>
        </w:tc>
        <w:tc>
          <w:tcPr>
            <w:tcW w:type="dxa" w:w="1400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8"/>
              </w:rPr>
              <w:t>비율</w:t>
            </w:r>
          </w:p>
        </w:tc>
        <w:tc>
          <w:tcPr>
            <w:tcW w:type="dxa" w:w="3660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8"/>
              </w:rPr>
              <w:t>분모/해석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유효 구조화 결과</w:t>
            </w:r>
          </w:p>
        </w:tc>
        <w:tc>
          <w:tcPr>
            <w:tcW w:type="dxa" w:w="17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7 / 8</w:t>
            </w:r>
          </w:p>
        </w:tc>
        <w:tc>
          <w:tcPr>
            <w:tcW w:type="dxa" w:w="14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87.5%</w:t>
            </w:r>
          </w:p>
        </w:tc>
        <w:tc>
          <w:tcPr>
            <w:tcW w:type="dxa" w:w="366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최종 고유 양식 기준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완전 일치</w:t>
            </w:r>
          </w:p>
        </w:tc>
        <w:tc>
          <w:tcPr>
            <w:tcW w:type="dxa" w:w="17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6 / 7</w:t>
            </w:r>
          </w:p>
        </w:tc>
        <w:tc>
          <w:tcPr>
            <w:tcW w:type="dxa" w:w="14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85.7%</w:t>
            </w:r>
          </w:p>
        </w:tc>
        <w:tc>
          <w:tcPr>
            <w:tcW w:type="dxa" w:w="366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유효 결과 기준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전체 필드 값</w:t>
            </w:r>
          </w:p>
        </w:tc>
        <w:tc>
          <w:tcPr>
            <w:tcW w:type="dxa" w:w="17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98 / 98</w:t>
            </w:r>
          </w:p>
        </w:tc>
        <w:tc>
          <w:tcPr>
            <w:tcW w:type="dxa" w:w="14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100.0%</w:t>
            </w:r>
          </w:p>
        </w:tc>
        <w:tc>
          <w:tcPr>
            <w:tcW w:type="dxa" w:w="366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값+예상 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값이 있는 필드</w:t>
            </w:r>
          </w:p>
        </w:tc>
        <w:tc>
          <w:tcPr>
            <w:tcW w:type="dxa" w:w="17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74 / 74</w:t>
            </w:r>
          </w:p>
        </w:tc>
        <w:tc>
          <w:tcPr>
            <w:tcW w:type="dxa" w:w="14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100.0%</w:t>
            </w:r>
          </w:p>
        </w:tc>
        <w:tc>
          <w:tcPr>
            <w:tcW w:type="dxa" w:w="366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문자열 정확 일치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예상 null 필드</w:t>
            </w:r>
          </w:p>
        </w:tc>
        <w:tc>
          <w:tcPr>
            <w:tcW w:type="dxa" w:w="17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24 / 24</w:t>
            </w:r>
          </w:p>
        </w:tc>
        <w:tc>
          <w:tcPr>
            <w:tcW w:type="dxa" w:w="14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100.0%</w:t>
            </w:r>
          </w:p>
        </w:tc>
        <w:tc>
          <w:tcPr>
            <w:tcW w:type="dxa" w:w="366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null 판정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문서 유형</w:t>
            </w:r>
          </w:p>
        </w:tc>
        <w:tc>
          <w:tcPr>
            <w:tcW w:type="dxa" w:w="17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6 / 7</w:t>
            </w:r>
          </w:p>
        </w:tc>
        <w:tc>
          <w:tcPr>
            <w:tcW w:type="dxa" w:w="14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85.7%</w:t>
            </w:r>
          </w:p>
        </w:tc>
        <w:tc>
          <w:tcPr>
            <w:tcW w:type="dxa" w:w="366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사전 단일 라벨 기준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총 API 호출</w:t>
            </w:r>
          </w:p>
        </w:tc>
        <w:tc>
          <w:tcPr>
            <w:tcW w:type="dxa" w:w="17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10</w:t>
            </w:r>
          </w:p>
        </w:tc>
        <w:tc>
          <w:tcPr>
            <w:tcW w:type="dxa" w:w="14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366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최초 8회 + 재측정 2회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Calibri" w:hAnsi="Calibri" w:eastAsia="Malgun Gothic"/>
          <w:color w:val="222222"/>
          <w:sz w:val="22"/>
        </w:rPr>
        <w:t>주의: 100% 필드 정확도는 유효한 구조화 응답 7건에 한정된 조건부 값이다. 응답 생성 실패 1건을 포함한 전체 서비스 성공률과 구분해야 한다.</w:t>
      </w:r>
    </w:p>
    <w:p>
      <w:r>
        <w:br w:type="page"/>
      </w:r>
    </w:p>
    <w:p>
      <w:pPr>
        <w:pStyle w:val="Heading1"/>
      </w:pPr>
      <w:r>
        <w:t>1. 평가 목적과 범위</w:t>
      </w:r>
    </w:p>
    <w:p>
      <w:pPr>
        <w:spacing w:after="120"/>
      </w:pPr>
      <w:r>
        <w:rPr>
          <w:rFonts w:ascii="Calibri" w:hAnsi="Calibri" w:eastAsia="Malgun Gothic"/>
          <w:b/>
          <w:color w:val="1F4D78"/>
          <w:sz w:val="22"/>
        </w:rPr>
        <w:t>목적:</w:t>
      </w:r>
      <w:r>
        <w:rPr>
          <w:rFonts w:ascii="Calibri" w:hAnsi="Calibri" w:eastAsia="Malgun Gothic"/>
          <w:color w:val="222222"/>
          <w:sz w:val="22"/>
        </w:rPr>
        <w:t xml:space="preserve"> 회사마다 다른 문서 양식에서도 Document Agent가 지원하는 항목 식별과 값 추출을 얼마나 정확히 수행하는지 측정했다.</w:t>
      </w:r>
    </w:p>
    <w:p>
      <w:pPr>
        <w:spacing w:after="120"/>
      </w:pPr>
      <w:r>
        <w:rPr>
          <w:rFonts w:ascii="Calibri" w:hAnsi="Calibri" w:eastAsia="Malgun Gothic"/>
          <w:b/>
          <w:color w:val="1F4D78"/>
          <w:sz w:val="22"/>
        </w:rPr>
        <w:t>입력:</w:t>
      </w:r>
      <w:r>
        <w:rPr>
          <w:rFonts w:ascii="Calibri" w:hAnsi="Calibri" w:eastAsia="Malgun Gothic"/>
          <w:color w:val="222222"/>
          <w:sz w:val="22"/>
        </w:rPr>
        <w:t xml:space="preserve"> Adobe 및 미국 GSA의 공개 원본 양식 8종에 사전에 고정한 합성 평가값을 기입했다. 실제 기업의 발행 거래문서나 개인정보는 사용하지 않았다.</w:t>
      </w:r>
    </w:p>
    <w:p>
      <w:pPr>
        <w:spacing w:after="120"/>
      </w:pPr>
      <w:r>
        <w:rPr>
          <w:rFonts w:ascii="Calibri" w:hAnsi="Calibri" w:eastAsia="Malgun Gothic"/>
          <w:b/>
          <w:color w:val="1F4D78"/>
          <w:sz w:val="22"/>
        </w:rPr>
        <w:t>판정:</w:t>
      </w:r>
      <w:r>
        <w:rPr>
          <w:rFonts w:ascii="Calibri" w:hAnsi="Calibri" w:eastAsia="Malgun Gothic"/>
          <w:color w:val="222222"/>
          <w:sz w:val="22"/>
        </w:rPr>
        <w:t xml:space="preserve"> 모델 호출 전에 작성한 expected.json과 문서 유형, 14개 구조화 필드, 누락 필드 목록을 정확 일치로 비교했다.</w:t>
      </w:r>
    </w:p>
    <w:p>
      <w:pPr>
        <w:spacing w:after="120"/>
      </w:pPr>
      <w:r>
        <w:rPr>
          <w:rFonts w:ascii="Calibri" w:hAnsi="Calibri" w:eastAsia="Malgun Gothic"/>
          <w:b/>
          <w:color w:val="1F4D78"/>
          <w:sz w:val="22"/>
        </w:rPr>
        <w:t>포함:</w:t>
      </w:r>
      <w:r>
        <w:rPr>
          <w:rFonts w:ascii="Calibri" w:hAnsi="Calibri" w:eastAsia="Malgun Gothic"/>
          <w:color w:val="222222"/>
          <w:sz w:val="22"/>
        </w:rPr>
        <w:t xml:space="preserve"> 문서 유형 분류, 보이는 값 추출, 예상 null과 누락 항목 식별.</w:t>
      </w:r>
    </w:p>
    <w:p>
      <w:pPr>
        <w:spacing w:after="120"/>
      </w:pPr>
      <w:r>
        <w:rPr>
          <w:rFonts w:ascii="Calibri" w:hAnsi="Calibri" w:eastAsia="Malgun Gothic"/>
          <w:b/>
          <w:color w:val="1F4D78"/>
          <w:sz w:val="22"/>
        </w:rPr>
        <w:t>제외:</w:t>
      </w:r>
      <w:r>
        <w:rPr>
          <w:rFonts w:ascii="Calibri" w:hAnsi="Calibri" w:eastAsia="Malgun Gothic"/>
          <w:color w:val="222222"/>
          <w:sz w:val="22"/>
        </w:rPr>
        <w:t xml:space="preserve"> 문서 내용의 진위·조작 여부 판정. 또한 이번 8개 케이스는 각 1문서이므로 문서 간 값 불일치 검출 정확도는 측정하지 않았다.</w:t>
      </w:r>
    </w:p>
    <w:p>
      <w:pPr>
        <w:pStyle w:val="Heading1"/>
      </w:pPr>
      <w:r>
        <w:t>2. 실행 조건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6860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8"/>
              </w:rPr>
              <w:t>설정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코드</w:t>
            </w:r>
          </w:p>
        </w:tc>
        <w:tc>
          <w:tcPr>
            <w:tcW w:type="dxa" w:w="686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origin/main (9298e1feb3d1)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모델</w:t>
            </w:r>
          </w:p>
        </w:tc>
        <w:tc>
          <w:tcPr>
            <w:tcW w:type="dxa" w:w="686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gemini-3.6-flash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첫 실행</w:t>
            </w:r>
          </w:p>
        </w:tc>
        <w:tc>
          <w:tcPr>
            <w:tcW w:type="dxa" w:w="686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8개 양식 각 1회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재측정</w:t>
            </w:r>
          </w:p>
        </w:tc>
        <w:tc>
          <w:tcPr>
            <w:tcW w:type="dxa" w:w="686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결과 없음 2건만 각 1회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재시도</w:t>
            </w:r>
          </w:p>
        </w:tc>
        <w:tc>
          <w:tcPr>
            <w:tcW w:type="dxa" w:w="686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자동 재시도 없음 (GEMINI_MAX_ATTEMPTS=1)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호출 간격</w:t>
            </w:r>
          </w:p>
        </w:tc>
        <w:tc>
          <w:tcPr>
            <w:tcW w:type="dxa" w:w="686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시작 시각 기준 최소 40초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타임아웃</w:t>
            </w:r>
          </w:p>
        </w:tc>
        <w:tc>
          <w:tcPr>
            <w:tcW w:type="dxa" w:w="686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건당 120초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fixture 검증</w:t>
            </w:r>
          </w:p>
        </w:tc>
        <w:tc>
          <w:tcPr>
            <w:tcW w:type="dxa" w:w="686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8문서, 10페이지, 사전 검증 통과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최초 측정과 재측정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450"/>
        <w:gridCol w:w="1450"/>
        <w:gridCol w:w="1450"/>
        <w:gridCol w:w="3510"/>
      </w:tblGrid>
      <w:tr>
        <w:trPr>
          <w:tblHeader w:val="true"/>
          <w:cantSplit/>
        </w:trPr>
        <w:tc>
          <w:tcPr>
            <w:tcW w:type="dxa" w:w="1500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7"/>
              </w:rPr>
              <w:t>구분</w:t>
            </w:r>
          </w:p>
        </w:tc>
        <w:tc>
          <w:tcPr>
            <w:tcW w:type="dxa" w:w="1450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7"/>
              </w:rPr>
              <w:t>호출/양식</w:t>
            </w:r>
          </w:p>
        </w:tc>
        <w:tc>
          <w:tcPr>
            <w:tcW w:type="dxa" w:w="1450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7"/>
              </w:rPr>
              <w:t>유효 결과</w:t>
            </w:r>
          </w:p>
        </w:tc>
        <w:tc>
          <w:tcPr>
            <w:tcW w:type="dxa" w:w="1450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7"/>
              </w:rPr>
              <w:t>완전 일치</w:t>
            </w:r>
          </w:p>
        </w:tc>
        <w:tc>
          <w:tcPr>
            <w:tcW w:type="dxa" w:w="3510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최초</w:t>
            </w:r>
          </w:p>
        </w:tc>
        <w:tc>
          <w:tcPr>
            <w:tcW w:type="dxa" w:w="145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145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145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351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OF348: HTTP 503 / GSA3025: 스키마 검증 실패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재측정</w:t>
            </w:r>
          </w:p>
        </w:tc>
        <w:tc>
          <w:tcPr>
            <w:tcW w:type="dxa" w:w="145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45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45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351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OF348: 정확 일치 / GSA3025: 동일 검증 실패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최종 고유 양식</w:t>
            </w:r>
          </w:p>
        </w:tc>
        <w:tc>
          <w:tcPr>
            <w:tcW w:type="dxa" w:w="145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145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7</w:t>
            </w:r>
          </w:p>
        </w:tc>
        <w:tc>
          <w:tcPr>
            <w:tcW w:type="dxa" w:w="145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351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GSA3025 1건은 측정 불가</w:t>
            </w:r>
          </w:p>
        </w:tc>
      </w:tr>
    </w:tbl>
    <w:p>
      <w:pPr>
        <w:spacing w:after="20"/>
      </w:pPr>
    </w:p>
    <w:p>
      <w:pPr>
        <w:pStyle w:val="Heading1"/>
      </w:pPr>
      <w:r>
        <w:t>4. 양식별 최종 결과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2350"/>
        <w:gridCol w:w="3710"/>
      </w:tblGrid>
      <w:tr>
        <w:trPr>
          <w:tblHeader w:val="true"/>
          <w:cantSplit/>
        </w:trPr>
        <w:tc>
          <w:tcPr>
            <w:tcW w:type="dxa" w:w="3300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7"/>
              </w:rPr>
              <w:t>공개 원본 양식</w:t>
            </w:r>
          </w:p>
        </w:tc>
        <w:tc>
          <w:tcPr>
            <w:tcW w:type="dxa" w:w="2350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7"/>
              </w:rPr>
              <w:t>최종 상태</w:t>
            </w:r>
          </w:p>
        </w:tc>
        <w:tc>
          <w:tcPr>
            <w:tcW w:type="dxa" w:w="3710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7"/>
              </w:rPr>
              <w:t>상세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Adobe Proforma Invoice</w:t>
            </w:r>
          </w:p>
        </w:tc>
        <w:tc>
          <w:tcPr>
            <w:tcW w:type="dxa" w:w="235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정확 일치</w:t>
            </w:r>
          </w:p>
        </w:tc>
        <w:tc>
          <w:tcPr>
            <w:tcW w:type="dxa" w:w="371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유형·14필드·누락 목록 일치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GSA 3708 Invoice</w:t>
            </w:r>
          </w:p>
        </w:tc>
        <w:tc>
          <w:tcPr>
            <w:tcW w:type="dxa" w:w="235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정확 일치</w:t>
            </w:r>
          </w:p>
        </w:tc>
        <w:tc>
          <w:tcPr>
            <w:tcW w:type="dxa" w:w="371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유형·14필드·누락 목록 일치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GSA 300 Purchase Order</w:t>
            </w:r>
          </w:p>
        </w:tc>
        <w:tc>
          <w:tcPr>
            <w:tcW w:type="dxa" w:w="235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정확 일치</w:t>
            </w:r>
          </w:p>
        </w:tc>
        <w:tc>
          <w:tcPr>
            <w:tcW w:type="dxa" w:w="371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유형·14필드·누락 목록 일치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OF 348 Order Schedule</w:t>
            </w:r>
          </w:p>
        </w:tc>
        <w:tc>
          <w:tcPr>
            <w:tcW w:type="dxa" w:w="235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회복: 정확 일치</w:t>
            </w:r>
          </w:p>
        </w:tc>
        <w:tc>
          <w:tcPr>
            <w:tcW w:type="dxa" w:w="371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유형·14필드·누락 목록 일치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SF 26 Award/Contract</w:t>
            </w:r>
          </w:p>
        </w:tc>
        <w:tc>
          <w:tcPr>
            <w:tcW w:type="dxa" w:w="235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정확 일치</w:t>
            </w:r>
          </w:p>
        </w:tc>
        <w:tc>
          <w:tcPr>
            <w:tcW w:type="dxa" w:w="371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유형·14필드·누락 목록 일치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SF 1449 Solicitation/Contract/Order</w:t>
            </w:r>
          </w:p>
        </w:tc>
        <w:tc>
          <w:tcPr>
            <w:tcW w:type="dxa" w:w="235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shd w:fill="FCE8E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/>
                <w:color w:val="9B1C1C"/>
                <w:sz w:val="17"/>
              </w:rPr>
              <w:t>유형 라벨 불일치</w:t>
            </w:r>
          </w:p>
        </w:tc>
        <w:tc>
          <w:tcPr>
            <w:tcW w:type="dxa" w:w="371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필드 14/14 일치; CONTRACT 기대, PURCHASE_ORDER 출력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GSA 3025 Receiving Report</w:t>
            </w:r>
          </w:p>
        </w:tc>
        <w:tc>
          <w:tcPr>
            <w:tcW w:type="dxa" w:w="235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shd w:fill="FFF5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/>
                <w:color w:val="9B1C1C"/>
                <w:sz w:val="17"/>
              </w:rPr>
              <w:t>측정 불가: AI_RESPONSE_INVALID</w:t>
            </w:r>
          </w:p>
        </w:tc>
        <w:tc>
          <w:tcPr>
            <w:tcW w:type="dxa" w:w="371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최초·재측정 모두 구조 검증 실패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GSA 1678 Shipment Report</w:t>
            </w:r>
          </w:p>
        </w:tc>
        <w:tc>
          <w:tcPr>
            <w:tcW w:type="dxa" w:w="235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정확 일치</w:t>
            </w:r>
          </w:p>
        </w:tc>
        <w:tc>
          <w:tcPr>
            <w:tcW w:type="dxa" w:w="371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유형·14필드·누락 목록 일치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판정 해석</w:t>
      </w:r>
    </w:p>
    <w:p>
      <w:pPr>
        <w:spacing w:after="120"/>
      </w:pPr>
      <w:r>
        <w:rPr>
          <w:rFonts w:ascii="Calibri" w:hAnsi="Calibri" w:eastAsia="Malgun Gothic"/>
          <w:b/>
          <w:color w:val="1F4D78"/>
          <w:sz w:val="22"/>
        </w:rPr>
        <w:t>OF348:</w:t>
      </w:r>
      <w:r>
        <w:rPr>
          <w:rFonts w:ascii="Calibri" w:hAnsi="Calibri" w:eastAsia="Malgun Gothic"/>
          <w:color w:val="222222"/>
          <w:sz w:val="22"/>
        </w:rPr>
        <w:t xml:space="preserve"> 최초 HTTP 503은 정확도 오답이 아니며 재측정에서 유형과 14개 필드가 모두 정확했다. 최종 고유 양식 지표에는 재측정 결과를 사용했다.</w:t>
      </w:r>
    </w:p>
    <w:p>
      <w:pPr>
        <w:spacing w:after="120"/>
      </w:pPr>
      <w:r>
        <w:rPr>
          <w:rFonts w:ascii="Calibri" w:hAnsi="Calibri" w:eastAsia="Malgun Gothic"/>
          <w:b/>
          <w:color w:val="1F4D78"/>
          <w:sz w:val="22"/>
        </w:rPr>
        <w:t>GSA3025:</w:t>
      </w:r>
      <w:r>
        <w:rPr>
          <w:rFonts w:ascii="Calibri" w:hAnsi="Calibri" w:eastAsia="Malgun Gothic"/>
          <w:color w:val="222222"/>
          <w:sz w:val="22"/>
        </w:rPr>
        <w:t xml:space="preserve"> 두 호출 모두 AI_RESPONSE_INVALID로 종료돼 추출값 자체가 없다. 따라서 필드 정확도 분모에 넣지 않고 측정 불가로 남겼다. 다만 서비스 관점에서는 반복된 유효 응답 실패다.</w:t>
      </w:r>
    </w:p>
    <w:p>
      <w:pPr>
        <w:spacing w:after="120"/>
      </w:pPr>
      <w:r>
        <w:rPr>
          <w:rFonts w:ascii="Calibri" w:hAnsi="Calibri" w:eastAsia="Malgun Gothic"/>
          <w:b/>
          <w:color w:val="1F4D78"/>
          <w:sz w:val="22"/>
        </w:rPr>
        <w:t>SF1449:</w:t>
      </w:r>
      <w:r>
        <w:rPr>
          <w:rFonts w:ascii="Calibri" w:hAnsi="Calibri" w:eastAsia="Malgun Gothic"/>
          <w:color w:val="222222"/>
          <w:sz w:val="22"/>
        </w:rPr>
        <w:t xml:space="preserve"> 14개 필드와 누락 목록은 모두 정확했으나 사전 라벨 CONTRACT 대신 PURCHASE_ORDER로 분류했다. 공식 양식명이 Solicitation/Contract/Order인 다목적 양식이므로 엄격 점수는 오답으로 유지하되 명백한 의미 오류로 단정하지 않는다.</w:t>
      </w:r>
    </w:p>
    <w:p>
      <w:pPr>
        <w:pStyle w:val="Heading1"/>
      </w:pPr>
      <w:r>
        <w:t>6. 결론과 한계</w:t>
      </w:r>
    </w:p>
    <w:p>
      <w:pPr>
        <w:spacing w:before="200" w:after="200"/>
        <w:ind w:left="115" w:right="115"/>
        <w:shd w:fill="EAF4EC"/>
      </w:pPr>
      <w:r>
        <w:rPr>
          <w:rFonts w:ascii="Calibri" w:hAnsi="Calibri" w:eastAsia="Malgun Gothic"/>
          <w:b/>
          <w:color w:val="17365D"/>
          <w:sz w:val="21"/>
        </w:rPr>
        <w:t>지원 작업 기준 결론 | 유효 응답 7건에서 보이는 값과 예상 null은 98/98로 정확했다. 단일 문서 유형 라벨까지 포함한 완전 일치는 6/7였다. 가장 분명한 개선 과제는 GSA3025에서 반복된 구조화 응답 실패다.</w:t>
      </w:r>
    </w:p>
    <w:p>
      <w:pPr>
        <w:spacing w:after="120"/>
      </w:pPr>
      <w:r>
        <w:rPr>
          <w:rFonts w:ascii="Calibri" w:hAnsi="Calibri" w:eastAsia="Malgun Gothic"/>
          <w:b/>
          <w:color w:val="1F4D78"/>
          <w:sz w:val="22"/>
        </w:rPr>
        <w:t>일반화 한계:</w:t>
      </w:r>
      <w:r>
        <w:rPr>
          <w:rFonts w:ascii="Calibri" w:hAnsi="Calibri" w:eastAsia="Malgun Gothic"/>
          <w:color w:val="222222"/>
          <w:sz w:val="22"/>
        </w:rPr>
        <w:t xml:space="preserve"> 표본은 공개 양식 8종, 각 1개 값 세트이며 반복 표본이 충분하지 않다. 따라서 전체 기업 문서에 대한 통계적 정확도로 해석할 수 없다.</w:t>
      </w:r>
    </w:p>
    <w:p>
      <w:pPr>
        <w:spacing w:after="120"/>
      </w:pPr>
      <w:r>
        <w:rPr>
          <w:rFonts w:ascii="Calibri" w:hAnsi="Calibri" w:eastAsia="Malgun Gothic"/>
          <w:b/>
          <w:color w:val="1F4D78"/>
          <w:sz w:val="22"/>
        </w:rPr>
        <w:t>진위 판정 한계:</w:t>
      </w:r>
      <w:r>
        <w:rPr>
          <w:rFonts w:ascii="Calibri" w:hAnsi="Calibri" w:eastAsia="Malgun Gothic"/>
          <w:color w:val="222222"/>
          <w:sz w:val="22"/>
        </w:rPr>
        <w:t xml:space="preserve"> 문서에 적힌 값이 실제 거래 사실인지, 조작됐는지, 발행 주체가 진짜인지 판별하는 시험은 아니다. 이 부분은 외부 원장·서명·발행처 확인 또는 사람 검토가 필요하다.</w:t>
      </w:r>
    </w:p>
    <w:p>
      <w:pPr>
        <w:spacing w:after="120"/>
      </w:pPr>
      <w:r>
        <w:rPr>
          <w:rFonts w:ascii="Calibri" w:hAnsi="Calibri" w:eastAsia="Malgun Gothic"/>
          <w:b/>
          <w:color w:val="1F4D78"/>
          <w:sz w:val="22"/>
        </w:rPr>
        <w:t>불일치 검출 한계:</w:t>
      </w:r>
      <w:r>
        <w:rPr>
          <w:rFonts w:ascii="Calibri" w:hAnsi="Calibri" w:eastAsia="Malgun Gothic"/>
          <w:color w:val="222222"/>
          <w:sz w:val="22"/>
        </w:rPr>
        <w:t xml:space="preserve"> 이번 세트는 양식 적응력을 보기 위한 단일 문서 케이스다. 문서 간 값 불일치 검출 정확도는 별도의 다문서 시나리오 결과로 보고해야 한다.</w:t>
      </w:r>
    </w:p>
    <w:p>
      <w:r>
        <w:br w:type="page"/>
      </w:r>
    </w:p>
    <w:p>
      <w:pPr>
        <w:pStyle w:val="Heading1"/>
      </w:pPr>
      <w:r>
        <w:t>7. 공개 원본 출처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3300"/>
        <w:gridCol w:w="5410"/>
      </w:tblGrid>
      <w:tr>
        <w:trPr>
          <w:tblHeader w:val="true"/>
          <w:cantSplit/>
        </w:trPr>
        <w:tc>
          <w:tcPr>
            <w:tcW w:type="dxa" w:w="650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5"/>
              </w:rPr>
              <w:t>No.</w:t>
            </w:r>
          </w:p>
        </w:tc>
        <w:tc>
          <w:tcPr>
            <w:tcW w:type="dxa" w:w="3300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5"/>
              </w:rPr>
              <w:t>양식</w:t>
            </w:r>
          </w:p>
        </w:tc>
        <w:tc>
          <w:tcPr>
            <w:tcW w:type="dxa" w:w="5410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5"/>
              </w:rPr>
              <w:t>원문 URL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33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5"/>
              </w:rPr>
              <w:t>Adobe Proforma Invoice Template</w:t>
            </w:r>
          </w:p>
        </w:tc>
        <w:tc>
          <w:tcPr>
            <w:tcW w:type="dxa" w:w="541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5"/>
              </w:rPr>
              <w:t>https://www.adobe.com/dc-shared/assets/pdf/acrobat/business/resources/proforma-invoice-template.pdf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33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5"/>
              </w:rPr>
              <w:t>GSA Form 3708 Invoice</w:t>
            </w:r>
          </w:p>
        </w:tc>
        <w:tc>
          <w:tcPr>
            <w:tcW w:type="dxa" w:w="541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5"/>
              </w:rPr>
              <w:t>https://www.gsa.gov/cdnstatic/GSA3708-14.pdf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33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5"/>
              </w:rPr>
              <w:t>GSA Form 300 Order for Supplies and Services</w:t>
            </w:r>
          </w:p>
        </w:tc>
        <w:tc>
          <w:tcPr>
            <w:tcW w:type="dxa" w:w="541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5"/>
              </w:rPr>
              <w:t>https://www.gsa.gov/system/files/GSA300-21.pdf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5"/>
              </w:rPr>
              <w:t>4</w:t>
            </w:r>
          </w:p>
        </w:tc>
        <w:tc>
          <w:tcPr>
            <w:tcW w:type="dxa" w:w="33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5"/>
              </w:rPr>
              <w:t>Optional Form 348 Order Schedule Continuation</w:t>
            </w:r>
          </w:p>
        </w:tc>
        <w:tc>
          <w:tcPr>
            <w:tcW w:type="dxa" w:w="541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5"/>
              </w:rPr>
              <w:t>https://www.gsa.gov/cdnstatic/OF348-06.pdf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5"/>
              </w:rPr>
              <w:t>5</w:t>
            </w:r>
          </w:p>
        </w:tc>
        <w:tc>
          <w:tcPr>
            <w:tcW w:type="dxa" w:w="33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5"/>
              </w:rPr>
              <w:t>Standard Form 26 Award Contract</w:t>
            </w:r>
          </w:p>
        </w:tc>
        <w:tc>
          <w:tcPr>
            <w:tcW w:type="dxa" w:w="541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5"/>
              </w:rPr>
              <w:t>https://www.gsa.gov/system/files/SF26-22.pdf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5"/>
              </w:rPr>
              <w:t>6</w:t>
            </w:r>
          </w:p>
        </w:tc>
        <w:tc>
          <w:tcPr>
            <w:tcW w:type="dxa" w:w="33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5"/>
              </w:rPr>
              <w:t>Standard Form 1449 Solicitation Contract Order</w:t>
            </w:r>
          </w:p>
        </w:tc>
        <w:tc>
          <w:tcPr>
            <w:tcW w:type="dxa" w:w="541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5"/>
              </w:rPr>
              <w:t>https://www.gsa.gov/system/files/SF1449-21.pdf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5"/>
              </w:rPr>
              <w:t>7</w:t>
            </w:r>
          </w:p>
        </w:tc>
        <w:tc>
          <w:tcPr>
            <w:tcW w:type="dxa" w:w="33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5"/>
              </w:rPr>
              <w:t>GSA Form 3025 Receiving Report</w:t>
            </w:r>
          </w:p>
        </w:tc>
        <w:tc>
          <w:tcPr>
            <w:tcW w:type="dxa" w:w="541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5"/>
              </w:rPr>
              <w:t>https://www.gsa.gov/system/files/GSA3025-05.pdf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5"/>
              </w:rPr>
              <w:t>8</w:t>
            </w:r>
          </w:p>
        </w:tc>
        <w:tc>
          <w:tcPr>
            <w:tcW w:type="dxa" w:w="330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algun Gothic"/>
                <w:b w:val="0"/>
                <w:color w:val="222222"/>
                <w:sz w:val="15"/>
              </w:rPr>
              <w:t>GSA Form 1678 Status Report of Orders and Shipments</w:t>
            </w:r>
          </w:p>
        </w:tc>
        <w:tc>
          <w:tcPr>
            <w:tcW w:type="dxa" w:w="5410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5"/>
              </w:rPr>
              <w:t>https://www.gsa.gov/system/files/2025-04/GSA1678-15e.pdf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Calibri" w:hAnsi="Calibri" w:eastAsia="Malgun Gothic"/>
          <w:color w:val="222222"/>
          <w:sz w:val="22"/>
        </w:rPr>
        <w:t>원본 및 기입본 SHA-256은 source-manifest.json에 보존돼 있다. 모든 기입 값은 공개 원본 레이아웃에 넣은 합성 평가값이다.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algun Gothic"/>
        <w:b/>
        <w:color w:val="666666"/>
        <w:sz w:val="17"/>
      </w:rPr>
      <w:t>InvoiceX  |  Document Agent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