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widowControl/>
        <w:spacing w:before="0" w:after="40" w:line="240" w:lineRule="auto"/>
        <w:jc w:val="center"/>
      </w:pPr>
      <w:r>
        <w:rPr>
          <w:rFonts w:ascii="Angsana New" w:hAnsi="Angsana New" w:eastAsia="Angsana New"/>
          <w:b w:val="0"/>
          <w:i w:val="0"/>
          <w:sz w:val="32"/>
          <w:u w:val="none"/>
        </w:rPr>
        <w:t>สำนักงานสาธารณสุขจังหวัดศรีสะเกษ</w:t>
      </w:r>
    </w:p>
    <w:p>
      <w:pPr>
        <w:keepNext w:val="0"/>
        <w:widowControl/>
        <w:spacing w:before="280" w:after="80" w:line="240" w:lineRule="auto"/>
        <w:jc w:val="center"/>
      </w:pPr>
      <w:r>
        <w:rPr>
          <w:rFonts w:ascii="Angsana New" w:hAnsi="Angsana New" w:eastAsia="Angsana New"/>
          <w:b/>
          <w:i w:val="0"/>
          <w:color w:val="1F4D78"/>
          <w:sz w:val="48"/>
          <w:u w:val="none"/>
        </w:rPr>
        <w:t>ร่างโครงการ</w:t>
      </w:r>
    </w:p>
    <w:p>
      <w:pPr>
        <w:keepNext w:val="0"/>
        <w:widowControl/>
        <w:spacing w:before="0" w:after="60" w:line="252" w:lineRule="auto"/>
        <w:jc w:val="center"/>
      </w:pPr>
      <w:r>
        <w:rPr>
          <w:rFonts w:ascii="Angsana New" w:hAnsi="Angsana New" w:eastAsia="Angsana New"/>
          <w:b/>
          <w:i w:val="0"/>
          <w:sz w:val="40"/>
          <w:u w:val="single"/>
        </w:rPr>
        <w:t>พัฒนาและนำระบบ LawiRisk-SSK Evidence Intelligence มาใช้ในการสืบสวน วิเคราะห์ความเชื่อมโยง และบริหารจัดการพยานหลักฐานดิจิทัล</w:t>
      </w:r>
    </w:p>
    <w:p>
      <w:pPr>
        <w:keepNext w:val="0"/>
        <w:widowControl/>
        <w:spacing w:before="0" w:after="200" w:line="240" w:lineRule="auto"/>
        <w:jc w:val="center"/>
      </w:pPr>
      <w:r>
        <w:rPr>
          <w:rFonts w:ascii="Angsana New" w:hAnsi="Angsana New" w:eastAsia="Angsana New"/>
          <w:b w:val="0"/>
          <w:i w:val="0"/>
          <w:sz w:val="32"/>
          <w:u w:val="none"/>
        </w:rPr>
        <w:t>ประจำปีงบประมาณ พ.ศ. 2569</w:t>
      </w:r>
    </w:p>
    <w:p>
      <w:pPr>
        <w:keepNext w:val="0"/>
        <w:widowControl/>
        <w:spacing w:before="0" w:after="320" w:line="240" w:lineRule="auto"/>
        <w:jc w:val="center"/>
      </w:pPr>
      <w:r>
        <w:rPr>
          <w:rFonts w:ascii="Angsana New" w:hAnsi="Angsana New" w:eastAsia="Angsana New"/>
          <w:b/>
          <w:i w:val="0"/>
          <w:sz w:val="28"/>
          <w:u w:val="none"/>
        </w:rPr>
        <w:t xml:space="preserve">หมายเหตุ: </w:t>
      </w:r>
      <w:r>
        <w:rPr>
          <w:rFonts w:ascii="Angsana New" w:hAnsi="Angsana New" w:eastAsia="Angsana New"/>
          <w:b w:val="0"/>
          <w:i w:val="0"/>
          <w:sz w:val="28"/>
          <w:u w:val="single"/>
        </w:rPr>
        <w:t>ข้อความที่ขีดเส้นใต้เป็นข้อความที่เสนอให้เพิ่มหรือแก้ไขจากร่างเดิม</w:t>
      </w:r>
    </w:p>
    <w:p>
      <w:pPr>
        <w:pStyle w:val="Heading1"/>
        <w:keepNext/>
        <w:widowControl/>
        <w:spacing w:before="200" w:after="100" w:line="240" w:lineRule="auto"/>
        <w:jc w:val="left"/>
      </w:pPr>
      <w:r>
        <w:rPr>
          <w:rFonts w:ascii="Angsana New" w:hAnsi="Angsana New" w:eastAsia="Angsana New"/>
          <w:b/>
          <w:i w:val="0"/>
          <w:color w:val="1F4D78"/>
          <w:sz w:val="36"/>
          <w:u w:val="none"/>
        </w:rPr>
        <w:t>1. ชื่อโครงการ</w:t>
      </w:r>
    </w:p>
    <w:p>
      <w:pPr>
        <w:keepNext w:val="0"/>
        <w:widowControl/>
        <w:spacing w:before="0" w:after="120" w:line="300" w:lineRule="auto"/>
        <w:ind w:firstLine="720"/>
        <w:jc w:val="both"/>
      </w:pPr>
      <w:r>
        <w:rPr>
          <w:rFonts w:ascii="Angsana New" w:hAnsi="Angsana New" w:eastAsia="Angsana New"/>
          <w:b w:val="0"/>
          <w:i w:val="0"/>
          <w:sz w:val="32"/>
          <w:u w:val="single"/>
        </w:rPr>
        <w:t>โครงการพัฒนาและนำระบบ LawiRisk-SSK Evidence Intelligence มาใช้ในการสืบสวน วิเคราะห์ความเชื่อมโยง และบริหารจัดการพยานหลักฐานดิจิทัล สำนักงานสาธารณสุขจังหวัดศรีสะเกษ ประจำปีงบประมาณ พ.ศ. 2569</w:t>
      </w:r>
    </w:p>
    <w:p>
      <w:pPr>
        <w:pStyle w:val="Heading1"/>
        <w:keepNext/>
        <w:widowControl/>
        <w:spacing w:before="200" w:after="100" w:line="240" w:lineRule="auto"/>
        <w:jc w:val="left"/>
      </w:pPr>
      <w:r>
        <w:rPr>
          <w:rFonts w:ascii="Angsana New" w:hAnsi="Angsana New" w:eastAsia="Angsana New"/>
          <w:b/>
          <w:i w:val="0"/>
          <w:color w:val="1F4D78"/>
          <w:sz w:val="36"/>
          <w:u w:val="none"/>
        </w:rPr>
        <w:t>2. หลักการและเหตุผล</w:t>
      </w:r>
    </w:p>
    <w:p>
      <w:pPr>
        <w:keepNext w:val="0"/>
        <w:widowControl/>
        <w:spacing w:before="0" w:after="120" w:line="300" w:lineRule="auto"/>
        <w:ind w:firstLine="720"/>
        <w:jc w:val="both"/>
      </w:pPr>
      <w:r>
        <w:rPr>
          <w:rFonts w:ascii="Angsana New" w:hAnsi="Angsana New" w:eastAsia="Angsana New"/>
          <w:b w:val="0"/>
          <w:i w:val="0"/>
          <w:sz w:val="32"/>
          <w:u w:val="none"/>
        </w:rPr>
        <w:t>จากสถานการณ์เรื่องร้องเรียนด้านผลิตภัณฑ์และบริการสุขภาพในปัจจุบัน พบว่ามีแนวโน้มเพิ่มสูงขึ้น โดยเฉพาะเรื่องร้องเรียนเกี่ยวกับอาหาร อาหารเสริม ยา เครื่องสำอาง สถานพยาบาล คลินิก และสถานประกอบการเพื่อสุขภาพ ประกอบกับการจำหน่ายผลิตภัณฑ์และบริการผ่านช่องทางออนไลน์ทำให้รูปแบบการกระทำผิดมีความซับซ้อนและเปลี่ยนแปลงอย่างรวดเร็ว</w:t>
      </w:r>
    </w:p>
    <w:p>
      <w:pPr>
        <w:keepNext w:val="0"/>
        <w:widowControl/>
        <w:spacing w:before="0" w:after="120" w:line="300" w:lineRule="auto"/>
        <w:ind w:firstLine="720"/>
        <w:jc w:val="both"/>
      </w:pPr>
      <w:r>
        <w:rPr>
          <w:rFonts w:ascii="Angsana New" w:hAnsi="Angsana New" w:eastAsia="Angsana New"/>
          <w:b w:val="0"/>
          <w:i w:val="0"/>
          <w:sz w:val="32"/>
          <w:u w:val="none"/>
        </w:rPr>
        <w:t>จังหวัดศรีสะเกษมีเรื่องร้องเรียนเกี่ยวกับผลิตภัณฑ์และบริการสุขภาพไม่น้อยกว่า 50 เรื่องต่อปี ขณะที่พนักงานเจ้าหน้าที่ผู้รับผิดชอบงานกฎหมายและการดำเนินคดีมีอัตรากำลังไม่สอดคล้องกับภาระงาน การตรวจสอบพยานหลักฐานดิจิทัลในแต่ละเรื่องต้องใช้เวลาเฉลี่ยประมาณ 5-8 ชั่วโมง และข้อมูลสำคัญกระจายอยู่ในหลายรูปแบบ เช่น ภาพหน้าจอ URL หมายเลขโทรศัพท์ บัญชีธนาคาร ที่อยู่จัดส่ง เพจหรือบัญชีสื่อสังคมออนไลน์ และเอกสารประกอบคดี</w:t>
      </w:r>
    </w:p>
    <w:p>
      <w:pPr>
        <w:keepNext w:val="0"/>
        <w:widowControl/>
        <w:spacing w:before="0" w:after="120" w:line="300" w:lineRule="auto"/>
        <w:ind w:firstLine="720"/>
        <w:jc w:val="both"/>
      </w:pPr>
      <w:r>
        <w:rPr>
          <w:rFonts w:ascii="Angsana New" w:hAnsi="Angsana New" w:eastAsia="Angsana New"/>
          <w:b w:val="0"/>
          <w:i w:val="0"/>
          <w:sz w:val="32"/>
          <w:u w:val="none"/>
        </w:rPr>
        <w:t>ผู้กระทำผิดอาจสร้างเครือข่ายเพจหรือบัญชีอวตาร ใช้ชื่อหน้าร้านหลายชื่อ และเปลี่ยนช่องทางติดต่อเพื่อหลีกเลี่ยงการตรวจสอบ แม้หน้าร้านจะแตกต่างกัน แต่เบื้องหลังอาจมีจุดเชื่อมโยงร่วมกัน การตรวจสอบด้วยวิธีเดิมจึงใช้เวลามากและยากต่อการเชื่อมโยงข้อมูลข้ามเรื่องร้องเรียนหรือคดีในอดีต</w:t>
      </w:r>
    </w:p>
    <w:p>
      <w:pPr>
        <w:keepNext w:val="0"/>
        <w:widowControl/>
        <w:spacing w:before="0" w:after="120" w:line="300" w:lineRule="auto"/>
        <w:ind w:firstLine="720"/>
        <w:jc w:val="both"/>
      </w:pPr>
      <w:r>
        <w:rPr>
          <w:rFonts w:ascii="Angsana New" w:hAnsi="Angsana New" w:eastAsia="Angsana New"/>
          <w:b w:val="0"/>
          <w:i w:val="0"/>
          <w:sz w:val="32"/>
          <w:u w:val="single"/>
        </w:rPr>
        <w:t>สำนักงานสาธารณสุขจังหวัดศรีสะเกษจึงได้พัฒนา LawiRisk-SSK Evidence Intelligence เป็นระบบสนับสนุนการปฏิบัติงานสืบสวนและบริหารจัดการพยานหลักฐานดิจิทัล โดยมุ่งเน้นการรักษาความสมบูรณ์ของหลักฐาน การบันทึกแหล่งที่มาและประวัติการครอบครองหลักฐาน การจำกัดสิทธิการเข้าถึงรายคดี การวิเคราะห์ความเชื่อมโยงที่ตรวจสอบย้อนกลับได้ และการช่วยจัดทำร่างเอกสารทางกฎหมาย</w:t>
      </w:r>
    </w:p>
    <w:p>
      <w:pPr>
        <w:keepNext w:val="0"/>
        <w:widowControl/>
        <w:spacing w:before="0" w:after="120" w:line="300" w:lineRule="auto"/>
        <w:ind w:firstLine="720"/>
        <w:jc w:val="both"/>
      </w:pPr>
      <w:r>
        <w:rPr>
          <w:rFonts w:ascii="Angsana New" w:hAnsi="Angsana New" w:eastAsia="Angsana New"/>
          <w:b w:val="0"/>
          <w:i w:val="0"/>
          <w:sz w:val="32"/>
          <w:u w:val="single"/>
        </w:rPr>
        <w:t>ระบบดังกล่าวเป็นเพียงเครื่องมือสนับสนุนการวิเคราะห์ มิได้ใช้ตัดสินข้อเท็จจริง ข้อกฎหมาย ความผิด หรือผลทางคดีโดยอัตโนมัติ ผลวิเคราะห์และร่างเอกสารทุกฉบับต้องผ่านการตรวจสอบและรับรองโดยพนักงานเจ้าหน้าที่ผู้มีอำนาจก่อนนำไปใช้ในการดำเนินงาน</w:t>
      </w:r>
    </w:p>
    <w:p>
      <w:pPr>
        <w:keepNext w:val="0"/>
        <w:widowControl/>
        <w:spacing w:before="0" w:after="120" w:line="300" w:lineRule="auto"/>
        <w:ind w:firstLine="720"/>
        <w:jc w:val="both"/>
      </w:pPr>
      <w:r>
        <w:rPr>
          <w:rFonts w:ascii="Angsana New" w:hAnsi="Angsana New" w:eastAsia="Angsana New"/>
          <w:b w:val="0"/>
          <w:i w:val="0"/>
          <w:sz w:val="32"/>
          <w:u w:val="single"/>
        </w:rPr>
        <w:t>เพื่อให้การนำระบบไปใช้จริงมีมาตรฐานเดียวกัน จึงจำเป็นต้องกำหนดกระบวนงาน บทบาทผู้ใช้งาน มาตรการคุ้มครองข้อมูลส่วนบุคคล มาตรฐานการจัดการพยานหลักฐานดิจิทัล เกณฑ์ทดสอบและรับมอบระบบ ตลอดจนแผนบำรุงรักษาและติดตามผลอย่างชัดเจน</w:t>
      </w:r>
    </w:p>
    <w:p>
      <w:pPr>
        <w:pStyle w:val="Heading1"/>
        <w:keepNext/>
        <w:widowControl/>
        <w:spacing w:before="200" w:after="100" w:line="240" w:lineRule="auto"/>
        <w:jc w:val="left"/>
      </w:pPr>
      <w:r>
        <w:rPr>
          <w:rFonts w:ascii="Angsana New" w:hAnsi="Angsana New" w:eastAsia="Angsana New"/>
          <w:b/>
          <w:i w:val="0"/>
          <w:color w:val="1F4D78"/>
          <w:sz w:val="36"/>
          <w:u w:val="none"/>
        </w:rPr>
        <w:t>3. วัตถุประสงค์</w:t>
      </w:r>
    </w:p>
    <w:p>
      <w:pPr>
        <w:widowControl/>
        <w:numPr>
          <w:ilvl w:val="0"/>
          <w:numId w:val="10"/>
        </w:numPr>
        <w:spacing w:before="0" w:after="80" w:line="300" w:lineRule="auto"/>
        <w:ind w:left="720" w:hanging="360"/>
      </w:pPr>
      <w:r>
        <w:rPr>
          <w:rFonts w:ascii="Angsana New" w:hAnsi="Angsana New" w:eastAsia="Angsana New"/>
          <w:b w:val="0"/>
          <w:i w:val="0"/>
          <w:sz w:val="32"/>
          <w:u w:val="none"/>
        </w:rPr>
        <w:t>เพื่อพัฒนาระบบสืบค้นและวิเคราะห์ความเชื่อมโยงพยานหลักฐานดิจิทัล รวมถึงช่วยจัดทำร่างแบบฟอร์มและเอกสารทางกฎหมาย</w:t>
      </w:r>
    </w:p>
    <w:p>
      <w:pPr>
        <w:widowControl/>
        <w:numPr>
          <w:ilvl w:val="0"/>
          <w:numId w:val="10"/>
        </w:numPr>
        <w:spacing w:before="0" w:after="80" w:line="300" w:lineRule="auto"/>
        <w:ind w:left="720" w:hanging="360"/>
      </w:pPr>
      <w:r>
        <w:rPr>
          <w:rFonts w:ascii="Angsana New" w:hAnsi="Angsana New" w:eastAsia="Angsana New"/>
          <w:b w:val="0"/>
          <w:i w:val="0"/>
          <w:sz w:val="32"/>
          <w:u w:val="none"/>
        </w:rPr>
        <w:t>เพื่อพัฒนาศักยภาพพนักงานเจ้าหน้าที่ในการประยุกต์ใช้เทคโนโลยีดิจิทัลเพื่อการสืบสวน รวบรวมพยานหลักฐาน และบังคับใช้กฎหมายคุ้มครองผู้บริโภคได้อย่างรวดเร็วและมีประสิทธิภาพ</w:t>
      </w:r>
    </w:p>
    <w:p>
      <w:pPr>
        <w:widowControl/>
        <w:numPr>
          <w:ilvl w:val="0"/>
          <w:numId w:val="10"/>
        </w:numPr>
        <w:spacing w:before="0" w:after="80" w:line="300" w:lineRule="auto"/>
        <w:ind w:left="720" w:hanging="360"/>
      </w:pPr>
      <w:r>
        <w:rPr>
          <w:rFonts w:ascii="Angsana New" w:hAnsi="Angsana New" w:eastAsia="Angsana New"/>
          <w:b w:val="0"/>
          <w:i w:val="0"/>
          <w:sz w:val="32"/>
          <w:u w:val="single"/>
        </w:rPr>
        <w:t>เพื่อกำหนดมาตรฐานการรวบรวม เก็บรักษา ส่งมอบ ตรวจสอบ และส่งออกพยานหลักฐานดิจิทัลให้สามารถตรวจสอบย้อนกลับได้ตลอดวงจรชีวิตของหลักฐาน</w:t>
      </w:r>
    </w:p>
    <w:p>
      <w:pPr>
        <w:widowControl/>
        <w:numPr>
          <w:ilvl w:val="0"/>
          <w:numId w:val="10"/>
        </w:numPr>
        <w:spacing w:before="0" w:after="80" w:line="300" w:lineRule="auto"/>
        <w:ind w:left="720" w:hanging="360"/>
      </w:pPr>
      <w:r>
        <w:rPr>
          <w:rFonts w:ascii="Angsana New" w:hAnsi="Angsana New" w:eastAsia="Angsana New"/>
          <w:b w:val="0"/>
          <w:i w:val="0"/>
          <w:sz w:val="32"/>
          <w:u w:val="single"/>
        </w:rPr>
        <w:t>เพื่อจัดให้มีการควบคุมสิทธิการเข้าถึง การบันทึกประวัติการใช้งาน การสำรองและกู้คืนข้อมูล และมาตรการคุ้มครองข้อมูลส่วนบุคคลที่เหมาะสมกับระดับความเสี่ยง</w:t>
      </w:r>
    </w:p>
    <w:p>
      <w:pPr>
        <w:widowControl/>
        <w:numPr>
          <w:ilvl w:val="0"/>
          <w:numId w:val="10"/>
        </w:numPr>
        <w:spacing w:before="0" w:after="80" w:line="300" w:lineRule="auto"/>
        <w:ind w:left="720" w:hanging="360"/>
      </w:pPr>
      <w:r>
        <w:rPr>
          <w:rFonts w:ascii="Angsana New" w:hAnsi="Angsana New" w:eastAsia="Angsana New"/>
          <w:b w:val="0"/>
          <w:i w:val="0"/>
          <w:sz w:val="32"/>
          <w:u w:val="single"/>
        </w:rPr>
        <w:t>เพื่อทดลองใช้และประเมินประสิทธิผลของระบบก่อนขยายผล โดยให้คณะทำงานด้านกฎหมายตรวจสอบผลวิเคราะห์ทุกกรณีในระยะนำร่อง</w:t>
      </w:r>
    </w:p>
    <w:p>
      <w:pPr>
        <w:pStyle w:val="Heading1"/>
        <w:keepNext/>
        <w:widowControl/>
        <w:spacing w:before="200" w:after="100" w:line="240" w:lineRule="auto"/>
        <w:jc w:val="left"/>
      </w:pPr>
      <w:r>
        <w:rPr>
          <w:rFonts w:ascii="Angsana New" w:hAnsi="Angsana New" w:eastAsia="Angsana New"/>
          <w:b/>
          <w:i w:val="0"/>
          <w:color w:val="1F4D78"/>
          <w:sz w:val="36"/>
          <w:u w:val="none"/>
        </w:rPr>
        <w:t>4. กลุ่มเป้าหมาย</w:t>
      </w:r>
    </w:p>
    <w:p>
      <w:pPr>
        <w:widowControl/>
        <w:numPr>
          <w:ilvl w:val="0"/>
          <w:numId w:val="11"/>
        </w:numPr>
        <w:spacing w:before="0" w:after="80" w:line="300" w:lineRule="auto"/>
        <w:ind w:left="720" w:hanging="360"/>
      </w:pPr>
      <w:r>
        <w:rPr>
          <w:rFonts w:ascii="Angsana New" w:hAnsi="Angsana New" w:eastAsia="Angsana New"/>
          <w:b w:val="0"/>
          <w:i w:val="0"/>
          <w:sz w:val="32"/>
          <w:u w:val="single"/>
        </w:rPr>
        <w:t>คณะทำงานออกแบบ พัฒนา และกำกับดูแลระบบ LawiRisk-SSK Evidence Intelligence จำนวน 30 คน</w:t>
      </w:r>
    </w:p>
    <w:p>
      <w:pPr>
        <w:widowControl/>
        <w:numPr>
          <w:ilvl w:val="0"/>
          <w:numId w:val="11"/>
        </w:numPr>
        <w:spacing w:before="0" w:after="80" w:line="300" w:lineRule="auto"/>
        <w:ind w:left="720" w:hanging="360"/>
      </w:pPr>
      <w:r>
        <w:rPr>
          <w:rFonts w:ascii="Angsana New" w:hAnsi="Angsana New" w:eastAsia="Angsana New"/>
          <w:b w:val="0"/>
          <w:i w:val="0"/>
          <w:sz w:val="32"/>
          <w:u w:val="none"/>
        </w:rPr>
        <w:t>เจ้าหน้าที่ผู้รับผิดชอบงานคุ้มครองผู้บริโภคระดับโรงพยาบาลและโรงพยาบาลส่งเสริมสุขภาพตำบล จำนวน 50 คน</w:t>
      </w:r>
    </w:p>
    <w:p>
      <w:pPr>
        <w:widowControl/>
        <w:numPr>
          <w:ilvl w:val="0"/>
          <w:numId w:val="11"/>
        </w:numPr>
        <w:spacing w:before="0" w:after="80" w:line="300" w:lineRule="auto"/>
        <w:ind w:left="720" w:hanging="360"/>
      </w:pPr>
      <w:r>
        <w:rPr>
          <w:rFonts w:ascii="Angsana New" w:hAnsi="Angsana New" w:eastAsia="Angsana New"/>
          <w:b w:val="0"/>
          <w:i w:val="0"/>
          <w:sz w:val="32"/>
          <w:u w:val="none"/>
        </w:rPr>
        <w:t>คณะทำงานด้านกฎหมายและการดำเนินคดีผลิตภัณฑ์สุขภาพ สำนักงานสาธารณสุขจังหวัดศรีสะเกษ จำนวน 10 คน</w:t>
      </w:r>
    </w:p>
    <w:p>
      <w:pPr>
        <w:widowControl/>
        <w:numPr>
          <w:ilvl w:val="0"/>
          <w:numId w:val="11"/>
        </w:numPr>
        <w:spacing w:before="0" w:after="80" w:line="300" w:lineRule="auto"/>
        <w:ind w:left="720" w:hanging="360"/>
      </w:pPr>
      <w:r>
        <w:rPr>
          <w:rFonts w:ascii="Angsana New" w:hAnsi="Angsana New" w:eastAsia="Angsana New"/>
          <w:b w:val="0"/>
          <w:i w:val="0"/>
          <w:sz w:val="32"/>
          <w:u w:val="single"/>
        </w:rPr>
        <w:t>อสม. เชี่ยวชาญงานคุ้มครองผู้บริโภคและเครือข่ายภาคประชาชน จำนวน 30 คน โดยเข้ารับการอบรมเฉพาะการแจ้งเบาะแส การเก็บข้อมูลเบื้องต้น และการใช้บริการสำหรับประชาชน ไม่มีสิทธิเข้าถึงข้อมูลสำนวนคดี</w:t>
      </w:r>
    </w:p>
    <w:p>
      <w:pPr>
        <w:pStyle w:val="Heading1"/>
        <w:keepNext/>
        <w:widowControl/>
        <w:spacing w:before="200" w:after="100" w:line="240" w:lineRule="auto"/>
        <w:jc w:val="left"/>
      </w:pPr>
      <w:r>
        <w:rPr>
          <w:rFonts w:ascii="Angsana New" w:hAnsi="Angsana New" w:eastAsia="Angsana New"/>
          <w:b/>
          <w:i w:val="0"/>
          <w:color w:val="1F4D78"/>
          <w:sz w:val="36"/>
          <w:u w:val="none"/>
        </w:rPr>
        <w:t>5. ขอบเขตและคุณลักษณะขั้นต่ำของระบบ</w:t>
      </w:r>
    </w:p>
    <w:p>
      <w:pPr>
        <w:widowControl/>
        <w:numPr>
          <w:ilvl w:val="0"/>
          <w:numId w:val="12"/>
        </w:numPr>
        <w:spacing w:before="0" w:after="80" w:line="300" w:lineRule="auto"/>
        <w:ind w:left="720" w:hanging="360"/>
      </w:pPr>
      <w:r>
        <w:rPr>
          <w:rFonts w:ascii="Angsana New" w:hAnsi="Angsana New" w:eastAsia="Angsana New"/>
          <w:b w:val="0"/>
          <w:i w:val="0"/>
          <w:sz w:val="32"/>
          <w:u w:val="single"/>
        </w:rPr>
        <w:t>ระบบรับและบริหารเรื่องร้องเรียนหรือสำนวนคดี โดยกำหนดเลขอ้างอิง สถานะ ผู้รับผิดชอบ และลำดับเหตุการณ์ของแต่ละเรื่อง</w:t>
      </w:r>
    </w:p>
    <w:p>
      <w:pPr>
        <w:widowControl/>
        <w:numPr>
          <w:ilvl w:val="0"/>
          <w:numId w:val="12"/>
        </w:numPr>
        <w:spacing w:before="0" w:after="80" w:line="300" w:lineRule="auto"/>
        <w:ind w:left="720" w:hanging="360"/>
      </w:pPr>
      <w:r>
        <w:rPr>
          <w:rFonts w:ascii="Angsana New" w:hAnsi="Angsana New" w:eastAsia="Angsana New"/>
          <w:b w:val="0"/>
          <w:i w:val="0"/>
          <w:sz w:val="32"/>
          <w:u w:val="single"/>
        </w:rPr>
        <w:t>ระบบจัดเก็บพยานหลักฐานต้นฉบับโดยไม่แก้ไข พร้อมบันทึกผู้เก็บ วันเวลา แหล่งที่มา URL ข้อมูลกำกับ และค่าแฮช SHA-256 หรือวิธีการอื่นที่มีความน่าเชื่อถือเทียบเท่า</w:t>
      </w:r>
    </w:p>
    <w:p>
      <w:pPr>
        <w:widowControl/>
        <w:numPr>
          <w:ilvl w:val="0"/>
          <w:numId w:val="12"/>
        </w:numPr>
        <w:spacing w:before="0" w:after="80" w:line="300" w:lineRule="auto"/>
        <w:ind w:left="720" w:hanging="360"/>
      </w:pPr>
      <w:r>
        <w:rPr>
          <w:rFonts w:ascii="Angsana New" w:hAnsi="Angsana New" w:eastAsia="Angsana New"/>
          <w:b w:val="0"/>
          <w:i w:val="0"/>
          <w:sz w:val="32"/>
          <w:u w:val="single"/>
        </w:rPr>
        <w:t>ระบบบันทึกประวัติการครอบครองและการดำเนินการต่อหลักฐาน (Chain of Custody) รวมถึงการรับ ส่ง เปิดดู ดาวน์โหลด ส่งออก และการเปลี่ยนแปลงข้อมูลประกอบ</w:t>
      </w:r>
    </w:p>
    <w:p>
      <w:pPr>
        <w:widowControl/>
        <w:numPr>
          <w:ilvl w:val="0"/>
          <w:numId w:val="12"/>
        </w:numPr>
        <w:spacing w:before="0" w:after="80" w:line="300" w:lineRule="auto"/>
        <w:ind w:left="720" w:hanging="360"/>
      </w:pPr>
      <w:r>
        <w:rPr>
          <w:rFonts w:ascii="Angsana New" w:hAnsi="Angsana New" w:eastAsia="Angsana New"/>
          <w:b w:val="0"/>
          <w:i w:val="0"/>
          <w:sz w:val="32"/>
          <w:u w:val="single"/>
        </w:rPr>
        <w:t>ระบบวิเคราะห์และแสดงความเชื่อมโยงระหว่างบุคคล เพจ หมายเลขโทรศัพท์ บัญชีธนาคาร ที่อยู่ ผู้ให้บริการขนส่ง หรือข้อมูลอื่นที่เกี่ยวข้อง โดยทุกจุดเชื่อมโยงต้องย้อนกลับไปตรวจสอบหลักฐานต้นทางได้</w:t>
      </w:r>
    </w:p>
    <w:p>
      <w:pPr>
        <w:widowControl/>
        <w:numPr>
          <w:ilvl w:val="0"/>
          <w:numId w:val="12"/>
        </w:numPr>
        <w:spacing w:before="0" w:after="80" w:line="300" w:lineRule="auto"/>
        <w:ind w:left="720" w:hanging="360"/>
      </w:pPr>
      <w:r>
        <w:rPr>
          <w:rFonts w:ascii="Angsana New" w:hAnsi="Angsana New" w:eastAsia="Angsana New"/>
          <w:b w:val="0"/>
          <w:i w:val="0"/>
          <w:sz w:val="32"/>
          <w:u w:val="single"/>
        </w:rPr>
        <w:t>ระบบช่วยจัดทำร่างแบบฟอร์มหรือเอกสารทางกฎหมายจากข้อมูลที่เจ้าหน้าที่เลือก โดยแสดงแหล่งข้อมูลและสถานะว่าเป็นร่างรอตรวจสอบ</w:t>
      </w:r>
    </w:p>
    <w:p>
      <w:pPr>
        <w:widowControl/>
        <w:numPr>
          <w:ilvl w:val="0"/>
          <w:numId w:val="12"/>
        </w:numPr>
        <w:spacing w:before="0" w:after="80" w:line="300" w:lineRule="auto"/>
        <w:ind w:left="720" w:hanging="360"/>
      </w:pPr>
      <w:r>
        <w:rPr>
          <w:rFonts w:ascii="Angsana New" w:hAnsi="Angsana New" w:eastAsia="Angsana New"/>
          <w:b w:val="0"/>
          <w:i w:val="0"/>
          <w:sz w:val="32"/>
          <w:u w:val="single"/>
        </w:rPr>
        <w:t>ระบบกำหนดสิทธิตามบทบาทและรายคดี แยกอย่างน้อยเป็นผู้รับเรื่อง ผู้สืบสวน ผู้ตรวจทานด้านกฎหมาย ผู้อนุมัติ และผู้ดูแลระบบ</w:t>
      </w:r>
    </w:p>
    <w:p>
      <w:pPr>
        <w:widowControl/>
        <w:numPr>
          <w:ilvl w:val="0"/>
          <w:numId w:val="12"/>
        </w:numPr>
        <w:spacing w:before="0" w:after="80" w:line="300" w:lineRule="auto"/>
        <w:ind w:left="720" w:hanging="360"/>
      </w:pPr>
      <w:r>
        <w:rPr>
          <w:rFonts w:ascii="Angsana New" w:hAnsi="Angsana New" w:eastAsia="Angsana New"/>
          <w:b w:val="0"/>
          <w:i w:val="0"/>
          <w:sz w:val="32"/>
          <w:u w:val="single"/>
        </w:rPr>
        <w:t>ระบบบันทึกเหตุการณ์การใช้งาน (Audit Log) สำรองข้อมูล ทดสอบการกู้คืน และแจ้งเตือนเหตุผิดปกติที่สำคัญ</w:t>
      </w:r>
    </w:p>
    <w:p>
      <w:pPr>
        <w:widowControl/>
        <w:numPr>
          <w:ilvl w:val="0"/>
          <w:numId w:val="12"/>
        </w:numPr>
        <w:spacing w:before="0" w:after="80" w:line="300" w:lineRule="auto"/>
        <w:ind w:left="720" w:hanging="360"/>
      </w:pPr>
      <w:r>
        <w:rPr>
          <w:rFonts w:ascii="Angsana New" w:hAnsi="Angsana New" w:eastAsia="Angsana New"/>
          <w:b w:val="0"/>
          <w:i w:val="0"/>
          <w:sz w:val="32"/>
          <w:u w:val="single"/>
        </w:rPr>
        <w:t>ระบบต้องแยกข้อมูลบริการประชาชนออกจากข้อมูลสำนวนคดี และไม่เปิดเผยข้อมูลคดีหรือข้อมูลส่วนบุคคลแก่ อสม. เครือข่าย หรือบุคคลที่ไม่มีอำนาจหน้าที่</w:t>
      </w:r>
    </w:p>
    <w:p>
      <w:pPr>
        <w:pStyle w:val="Heading1"/>
        <w:keepNext/>
        <w:widowControl/>
        <w:spacing w:before="200" w:after="100" w:line="240" w:lineRule="auto"/>
        <w:jc w:val="left"/>
      </w:pPr>
      <w:r>
        <w:rPr>
          <w:rFonts w:ascii="Angsana New" w:hAnsi="Angsana New" w:eastAsia="Angsana New"/>
          <w:b/>
          <w:i w:val="0"/>
          <w:color w:val="1F4D78"/>
          <w:sz w:val="36"/>
          <w:u w:val="none"/>
        </w:rPr>
        <w:t>6. วิธีดำเนินการ</w:t>
      </w:r>
    </w:p>
    <w:p>
      <w:pPr>
        <w:widowControl/>
        <w:numPr>
          <w:ilvl w:val="0"/>
          <w:numId w:val="13"/>
        </w:numPr>
        <w:spacing w:before="0" w:after="80" w:line="300" w:lineRule="auto"/>
        <w:ind w:left="720" w:hanging="360"/>
      </w:pPr>
      <w:r>
        <w:rPr>
          <w:rFonts w:ascii="Angsana New" w:hAnsi="Angsana New" w:eastAsia="Angsana New"/>
          <w:b w:val="0"/>
          <w:i w:val="0"/>
          <w:sz w:val="32"/>
          <w:u w:val="single"/>
        </w:rPr>
        <w:t>แต่งตั้งคณะทำงานด้านบริหารโครงการ ด้านกฎหมาย ด้านเทคโนโลยีสารสนเทศ ด้านคุ้มครองข้อมูลส่วนบุคคล และตัวแทนผู้ใช้งาน พร้อมกำหนดผู้รับผิดชอบแต่ละงาน</w:t>
      </w:r>
    </w:p>
    <w:p>
      <w:pPr>
        <w:widowControl/>
        <w:numPr>
          <w:ilvl w:val="0"/>
          <w:numId w:val="13"/>
        </w:numPr>
        <w:spacing w:before="0" w:after="80" w:line="300" w:lineRule="auto"/>
        <w:ind w:left="720" w:hanging="360"/>
      </w:pPr>
      <w:r>
        <w:rPr>
          <w:rFonts w:ascii="Angsana New" w:hAnsi="Angsana New" w:eastAsia="Angsana New"/>
          <w:b w:val="0"/>
          <w:i w:val="0"/>
          <w:sz w:val="32"/>
          <w:u w:val="single"/>
        </w:rPr>
        <w:t>ประชุมคณะทำงานเพื่อวิเคราะห์กระบวนงาน กำหนดความต้องการ พจนานุกรมข้อมูล แบบฟอร์มทางกฎหมาย ระดับสิทธิผู้ใช้ และเกณฑ์รับมอบระบบ จำนวน 1 ครั้ง ผู้เข้าร่วม 20 คน</w:t>
      </w:r>
    </w:p>
    <w:p>
      <w:pPr>
        <w:widowControl/>
        <w:numPr>
          <w:ilvl w:val="0"/>
          <w:numId w:val="13"/>
        </w:numPr>
        <w:spacing w:before="0" w:after="80" w:line="300" w:lineRule="auto"/>
        <w:ind w:left="720" w:hanging="360"/>
      </w:pPr>
      <w:r>
        <w:rPr>
          <w:rFonts w:ascii="Angsana New" w:hAnsi="Angsana New" w:eastAsia="Angsana New"/>
          <w:b w:val="0"/>
          <w:i w:val="0"/>
          <w:sz w:val="32"/>
          <w:u w:val="single"/>
        </w:rPr>
        <w:t>จัดทำมาตรฐานวิธีปฏิบัติงาน (SOP) สำหรับการรวบรวมพยานหลักฐานดิจิทัล การคำนวณค่าแฮช การจัดทำ Chain of Custody การตรวจทานผลวิเคราะห์ และการส่งออกชุดหลักฐาน</w:t>
      </w:r>
    </w:p>
    <w:p>
      <w:pPr>
        <w:widowControl/>
        <w:numPr>
          <w:ilvl w:val="0"/>
          <w:numId w:val="13"/>
        </w:numPr>
        <w:spacing w:before="0" w:after="80" w:line="300" w:lineRule="auto"/>
        <w:ind w:left="720" w:hanging="360"/>
      </w:pPr>
      <w:r>
        <w:rPr>
          <w:rFonts w:ascii="Angsana New" w:hAnsi="Angsana New" w:eastAsia="Angsana New"/>
          <w:b w:val="0"/>
          <w:i w:val="0"/>
          <w:sz w:val="32"/>
          <w:u w:val="single"/>
        </w:rPr>
        <w:t>ประเมินความเสี่ยงด้านข้อมูลส่วนบุคคลและความมั่นคงปลอดภัย จัดทำรายการกิจกรรมประมวลผลข้อมูล กำหนดระยะเวลาเก็บรักษาและทำลายข้อมูล รวมถึงแผนรับมือเหตุละเมิดหรือระบบขัดข้อง</w:t>
      </w:r>
    </w:p>
    <w:p>
      <w:pPr>
        <w:widowControl/>
        <w:numPr>
          <w:ilvl w:val="0"/>
          <w:numId w:val="13"/>
        </w:numPr>
        <w:spacing w:before="0" w:after="80" w:line="300" w:lineRule="auto"/>
        <w:ind w:left="720" w:hanging="360"/>
      </w:pPr>
      <w:r>
        <w:rPr>
          <w:rFonts w:ascii="Angsana New" w:hAnsi="Angsana New" w:eastAsia="Angsana New"/>
          <w:b w:val="0"/>
          <w:i w:val="0"/>
          <w:sz w:val="32"/>
          <w:u w:val="single"/>
        </w:rPr>
        <w:t>ปรับปรุงระบบและทดสอบด้วยข้อมูลจำลองหรือข้อมูลที่ปกปิดตัวบุคคล ก่อนใช้ข้อมูลจริง พร้อมทดสอบการควบคุมสิทธิ Audit Log การสำรองและกู้คืนข้อมูล</w:t>
      </w:r>
    </w:p>
    <w:p>
      <w:pPr>
        <w:widowControl/>
        <w:numPr>
          <w:ilvl w:val="0"/>
          <w:numId w:val="13"/>
        </w:numPr>
        <w:spacing w:before="0" w:after="80" w:line="300" w:lineRule="auto"/>
        <w:ind w:left="720" w:hanging="360"/>
      </w:pPr>
      <w:r>
        <w:rPr>
          <w:rFonts w:ascii="Angsana New" w:hAnsi="Angsana New" w:eastAsia="Angsana New"/>
          <w:b w:val="0"/>
          <w:i w:val="0"/>
          <w:sz w:val="32"/>
          <w:u w:val="single"/>
        </w:rPr>
        <w:t>ทดสอบการยอมรับโดยผู้ใช้ (UAT) กับกรณีศึกษาหรือเรื่องร้องเรียนไม่น้อยกว่า 20 เรื่อง โดยคณะทำงานด้านกฎหมายตรวจสอบผลทุกกรณี และแก้ไขข้อบกพร่องระดับร้ายแรงก่อนเปิดใช้งาน</w:t>
      </w:r>
    </w:p>
    <w:p>
      <w:pPr>
        <w:widowControl/>
        <w:numPr>
          <w:ilvl w:val="0"/>
          <w:numId w:val="13"/>
        </w:numPr>
        <w:spacing w:before="0" w:after="80" w:line="300" w:lineRule="auto"/>
        <w:ind w:left="720" w:hanging="360"/>
      </w:pPr>
      <w:r>
        <w:rPr>
          <w:rFonts w:ascii="Angsana New" w:hAnsi="Angsana New" w:eastAsia="Angsana New"/>
          <w:b w:val="0"/>
          <w:i w:val="0"/>
          <w:sz w:val="32"/>
          <w:u w:val="single"/>
        </w:rPr>
        <w:t>จัดอบรมเชิงปฏิบัติการจำนวน 1 ครั้ง รวม 120 คน โดยแบ่งเนื้อหาเป็นหลักสูตรเจ้าหน้าที่ 90 คน และหลักสูตร อสม./เครือข่ายภาคประชาชน 30 คน</w:t>
      </w:r>
    </w:p>
    <w:p>
      <w:pPr>
        <w:widowControl/>
        <w:numPr>
          <w:ilvl w:val="0"/>
          <w:numId w:val="13"/>
        </w:numPr>
        <w:spacing w:before="0" w:after="80" w:line="300" w:lineRule="auto"/>
        <w:ind w:left="720" w:hanging="360"/>
      </w:pPr>
      <w:r>
        <w:rPr>
          <w:rFonts w:ascii="Angsana New" w:hAnsi="Angsana New" w:eastAsia="Angsana New"/>
          <w:b w:val="0"/>
          <w:i w:val="0"/>
          <w:sz w:val="32"/>
          <w:u w:val="single"/>
        </w:rPr>
        <w:t>เปิดใช้งานนำร่อง ติดตามสถิติการใช้งาน ระยะเวลาปฏิบัติงาน ความถูกต้องของผลวิเคราะห์ เหตุการณ์ด้านความปลอดภัย และข้อเสนอแนะของผู้ใช้ เป็นเวลาไม่น้อยกว่า 3 เดือน</w:t>
      </w:r>
    </w:p>
    <w:p>
      <w:pPr>
        <w:widowControl/>
        <w:numPr>
          <w:ilvl w:val="0"/>
          <w:numId w:val="13"/>
        </w:numPr>
        <w:spacing w:before="0" w:after="80" w:line="300" w:lineRule="auto"/>
        <w:ind w:left="720" w:hanging="360"/>
      </w:pPr>
      <w:r>
        <w:rPr>
          <w:rFonts w:ascii="Angsana New" w:hAnsi="Angsana New" w:eastAsia="Angsana New"/>
          <w:b w:val="0"/>
          <w:i w:val="0"/>
          <w:sz w:val="32"/>
          <w:u w:val="single"/>
        </w:rPr>
        <w:t>สรุปผลการดำเนินงานและเสนอผู้บริหารพิจารณาการขยายผลหรือปรับปรุงระบบในระยะต่อไป</w:t>
      </w:r>
    </w:p>
    <w:p>
      <w:pPr>
        <w:pStyle w:val="Heading1"/>
        <w:keepNext/>
        <w:widowControl/>
        <w:spacing w:before="200" w:after="100" w:line="240" w:lineRule="auto"/>
        <w:jc w:val="left"/>
      </w:pPr>
      <w:r>
        <w:rPr>
          <w:rFonts w:ascii="Angsana New" w:hAnsi="Angsana New" w:eastAsia="Angsana New"/>
          <w:b/>
          <w:i w:val="0"/>
          <w:color w:val="1F4D78"/>
          <w:sz w:val="36"/>
          <w:u w:val="none"/>
        </w:rPr>
        <w:t>7. สถานที่ดำเนินการ</w:t>
      </w:r>
    </w:p>
    <w:p>
      <w:pPr>
        <w:keepNext w:val="0"/>
        <w:widowControl/>
        <w:spacing w:before="0" w:after="120" w:line="300" w:lineRule="auto"/>
        <w:ind w:firstLine="720"/>
        <w:jc w:val="both"/>
      </w:pPr>
      <w:r>
        <w:rPr>
          <w:rFonts w:ascii="Angsana New" w:hAnsi="Angsana New" w:eastAsia="Angsana New"/>
          <w:b w:val="0"/>
          <w:i w:val="0"/>
          <w:sz w:val="32"/>
          <w:u w:val="none"/>
        </w:rPr>
        <w:t>ห้องประชุมสำนักงานสาธารณสุขจังหวัดศรีสะเกษ และระบบประชุมออนไลน์ของหน่วยงาน</w:t>
      </w:r>
    </w:p>
    <w:p>
      <w:pPr>
        <w:keepNext w:val="0"/>
        <w:widowControl/>
        <w:spacing w:before="0" w:after="120" w:line="300" w:lineRule="auto"/>
        <w:ind w:firstLine="720"/>
        <w:jc w:val="both"/>
      </w:pPr>
      <w:r>
        <w:rPr>
          <w:rFonts w:ascii="Angsana New" w:hAnsi="Angsana New" w:eastAsia="Angsana New"/>
          <w:b w:val="0"/>
          <w:i w:val="0"/>
          <w:sz w:val="32"/>
          <w:u w:val="single"/>
        </w:rPr>
        <w:t>การทดสอบและใช้งานระบบให้ดำเนินการผ่านอุปกรณ์และเครือข่ายที่หน่วยงานอนุญาต โดยหลีกเลี่ยงการจัดเก็บพยานหลักฐานลงในอุปกรณ์ส่วนบุคคล</w:t>
      </w:r>
    </w:p>
    <w:p>
      <w:pPr>
        <w:pStyle w:val="Heading1"/>
        <w:keepNext/>
        <w:widowControl/>
        <w:spacing w:before="200" w:after="100" w:line="240" w:lineRule="auto"/>
        <w:jc w:val="left"/>
      </w:pPr>
      <w:r>
        <w:rPr>
          <w:rFonts w:ascii="Angsana New" w:hAnsi="Angsana New" w:eastAsia="Angsana New"/>
          <w:b/>
          <w:i w:val="0"/>
          <w:color w:val="1F4D78"/>
          <w:sz w:val="36"/>
          <w:u w:val="none"/>
        </w:rPr>
        <w:t>8. ระยะเวลาดำเนินการ</w:t>
      </w:r>
    </w:p>
    <w:p>
      <w:pPr>
        <w:keepNext w:val="0"/>
        <w:widowControl/>
        <w:spacing w:before="0" w:after="120" w:line="300" w:lineRule="auto"/>
        <w:ind w:firstLine="720"/>
        <w:jc w:val="both"/>
      </w:pPr>
      <w:r>
        <w:rPr>
          <w:rFonts w:ascii="Angsana New" w:hAnsi="Angsana New" w:eastAsia="Angsana New"/>
          <w:b w:val="0"/>
          <w:i w:val="0"/>
          <w:sz w:val="32"/>
          <w:u w:val="single"/>
        </w:rPr>
        <w:t>เดือนสิงหาคม พ.ศ. 2569 ถึงเดือนธันวาคม พ.ศ. 2569 โดยกิจกรรมที่มีการเบิกจ่ายจากงบประมาณประจำปี พ.ศ. 2569 ให้ดำเนินการภายในวันที่ 30 กันยายน พ.ศ. 2569 ส่วนการติดตามผลตั้งแต่เดือนตุลาคมถึงธันวาคม พ.ศ. 2569 ให้ใช้ทรัพยากรประจำของหน่วยงานและดำเนินการตามความเห็นชอบของฝ่ายการเงิน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Angsana New" w:hAnsi="Angsana New" w:eastAsia="Angsana New"/>
                <w:b/>
                <w:i w:val="0"/>
                <w:color w:val="1F4D78"/>
                <w:sz w:val="28"/>
                <w:u w:val="none"/>
              </w:rPr>
              <w:t>ช่วงเวลา</w:t>
            </w:r>
          </w:p>
        </w:tc>
        <w:tc>
          <w:tcPr>
            <w:tcW w:type="dxa" w:w="716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Angsana New" w:hAnsi="Angsana New" w:eastAsia="Angsana New"/>
                <w:b/>
                <w:i w:val="0"/>
                <w:color w:val="1F4D78"/>
                <w:sz w:val="28"/>
                <w:u w:val="none"/>
              </w:rPr>
              <w:t>กิจกรรมสำคัญ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Angsana New" w:hAnsi="Angsana New" w:eastAsia="Angsana New"/>
                <w:b w:val="0"/>
                <w:i w:val="0"/>
                <w:sz w:val="28"/>
                <w:u w:val="single"/>
              </w:rPr>
              <w:t>สิงหาคม 2569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Angsana New" w:hAnsi="Angsana New" w:eastAsia="Angsana New"/>
                <w:b w:val="0"/>
                <w:i w:val="0"/>
                <w:sz w:val="28"/>
                <w:u w:val="single"/>
              </w:rPr>
              <w:t>แต่งตั้งคณะทำงาน วิเคราะห์กระบวนงาน จัดทำข้อกำหนดข้อมูลและสิทธิผู้ใช้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Angsana New" w:hAnsi="Angsana New" w:eastAsia="Angsana New"/>
                <w:b w:val="0"/>
                <w:i w:val="0"/>
                <w:sz w:val="28"/>
                <w:u w:val="single"/>
              </w:rPr>
              <w:t>สิงหาคม-กันยายน 2569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Angsana New" w:hAnsi="Angsana New" w:eastAsia="Angsana New"/>
                <w:b w:val="0"/>
                <w:i w:val="0"/>
                <w:sz w:val="28"/>
                <w:u w:val="single"/>
              </w:rPr>
              <w:t>ปรับปรุงระบบ จัดทำคู่มือและมาตรฐานการจัดการพยานหลักฐาน ทดสอบระบบและความปลอดภัย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Angsana New" w:hAnsi="Angsana New" w:eastAsia="Angsana New"/>
                <w:b w:val="0"/>
                <w:i w:val="0"/>
                <w:sz w:val="28"/>
                <w:u w:val="single"/>
              </w:rPr>
              <w:t>กันยายน 2569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Angsana New" w:hAnsi="Angsana New" w:eastAsia="Angsana New"/>
                <w:b w:val="0"/>
                <w:i w:val="0"/>
                <w:sz w:val="28"/>
                <w:u w:val="single"/>
              </w:rPr>
              <w:t>ทดสอบการยอมรับโดยผู้ใช้ (UAT) อบรม และเปิดใช้งานนำร่อง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Angsana New" w:hAnsi="Angsana New" w:eastAsia="Angsana New"/>
                <w:b w:val="0"/>
                <w:i w:val="0"/>
                <w:sz w:val="28"/>
                <w:u w:val="single"/>
              </w:rPr>
              <w:t>ตุลาคม-ธันวาคม 2569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Angsana New" w:hAnsi="Angsana New" w:eastAsia="Angsana New"/>
                <w:b w:val="0"/>
                <w:i w:val="0"/>
                <w:sz w:val="28"/>
                <w:u w:val="single"/>
              </w:rPr>
              <w:t>ติดตามผล ประเมินตัวชี้วัด แก้ไขข้อบกพร่อง และจัดทำรายงาน โดยใช้ทรัพยากรประจำของหน่วยงาน</w:t>
            </w:r>
          </w:p>
        </w:tc>
      </w:tr>
    </w:tbl>
    <w:p>
      <w:pPr>
        <w:widowControl/>
      </w:pPr>
    </w:p>
    <w:p>
      <w:pPr>
        <w:pStyle w:val="Heading1"/>
        <w:keepNext/>
        <w:widowControl/>
        <w:spacing w:before="200" w:after="100" w:line="240" w:lineRule="auto"/>
        <w:jc w:val="left"/>
      </w:pPr>
      <w:r>
        <w:rPr>
          <w:rFonts w:ascii="Angsana New" w:hAnsi="Angsana New" w:eastAsia="Angsana New"/>
          <w:b/>
          <w:i w:val="0"/>
          <w:color w:val="1F4D78"/>
          <w:sz w:val="36"/>
          <w:u w:val="none"/>
        </w:rPr>
        <w:t>9. งบประมาณ</w:t>
      </w:r>
    </w:p>
    <w:p>
      <w:pPr>
        <w:keepNext w:val="0"/>
        <w:widowControl/>
        <w:spacing w:before="0" w:after="120" w:line="300" w:lineRule="auto"/>
        <w:ind w:firstLine="720"/>
        <w:jc w:val="both"/>
      </w:pPr>
      <w:r>
        <w:rPr>
          <w:rFonts w:ascii="Angsana New" w:hAnsi="Angsana New" w:eastAsia="Angsana New"/>
          <w:b w:val="0"/>
          <w:i w:val="0"/>
          <w:sz w:val="32"/>
          <w:u w:val="none"/>
        </w:rPr>
        <w:t>ค่าใช้จ่ายในการดำเนินงานเบิกจากงบประมาณโครงการพัฒนางานคุ้มครองผู้บริโภคด้านผลิตภัณฑ์สุขภาพ สำนักงานสาธารณสุขจังหวัดศรีสะเกษ รวมเป็นเงินทั้งสิ้น 22,600 บาท (สองหมื่นสองพันหกร้อยบาทถ้วน) โดยมีรายละเอียดดังนี้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1200"/>
        <w:gridCol w:w="6560"/>
        <w:gridCol w:w="1600"/>
      </w:tblGrid>
      <w:tr>
        <w:trPr>
          <w:tblHeader w:val="true"/>
        </w:trPr>
        <w:tc>
          <w:tcPr>
            <w:tcW w:type="dxa" w:w="12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Angsana New" w:hAnsi="Angsana New" w:eastAsia="Angsana New"/>
                <w:b/>
                <w:i w:val="0"/>
                <w:color w:val="1F4D78"/>
                <w:sz w:val="28"/>
                <w:u w:val="none"/>
              </w:rPr>
              <w:t>รายการ</w:t>
            </w:r>
          </w:p>
        </w:tc>
        <w:tc>
          <w:tcPr>
            <w:tcW w:type="dxa" w:w="656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Angsana New" w:hAnsi="Angsana New" w:eastAsia="Angsana New"/>
                <w:b/>
                <w:i w:val="0"/>
                <w:color w:val="1F4D78"/>
                <w:sz w:val="28"/>
                <w:u w:val="none"/>
              </w:rPr>
              <w:t>รายละเอียด</w:t>
            </w:r>
          </w:p>
        </w:tc>
        <w:tc>
          <w:tcPr>
            <w:tcW w:type="dxa" w:w="16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Angsana New" w:hAnsi="Angsana New" w:eastAsia="Angsana New"/>
                <w:b/>
                <w:i w:val="0"/>
                <w:color w:val="1F4D78"/>
                <w:sz w:val="28"/>
                <w:u w:val="none"/>
              </w:rPr>
              <w:t>จำนวนเงิน (บาท)</w:t>
            </w:r>
          </w:p>
        </w:tc>
      </w:tr>
      <w:tr>
        <w:trPr>
          <w:cantSplit/>
        </w:trPr>
        <w:tc>
          <w:tcPr>
            <w:tcW w:type="dxa" w:w="1200"/>
            <w:shd w:fill="F4F6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Angsana New" w:hAnsi="Angsana New" w:eastAsia="Angsana New"/>
                <w:b w:val="0"/>
                <w:i w:val="0"/>
                <w:sz w:val="28"/>
                <w:u w:val="none"/>
              </w:rPr>
              <w:t>1</w:t>
            </w:r>
          </w:p>
        </w:tc>
        <w:tc>
          <w:tcPr>
            <w:tcW w:type="dxa" w:w="6560"/>
            <w:shd w:fill="F4F6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Angsana New" w:hAnsi="Angsana New" w:eastAsia="Angsana New"/>
                <w:b w:val="0"/>
                <w:i w:val="0"/>
                <w:sz w:val="28"/>
                <w:u w:val="single"/>
              </w:rPr>
              <w:t>กิจกรรมประชุมคณะทำงานกำหนดความต้องการและทบทวนระบบ (1 ครั้ง 20 คน)</w:t>
            </w:r>
          </w:p>
        </w:tc>
        <w:tc>
          <w:tcPr>
            <w:tcW w:type="dxa" w:w="1600"/>
            <w:shd w:fill="F4F6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right"/>
            </w:pPr>
            <w:r>
              <w:rPr>
                <w:rFonts w:ascii="Angsana New" w:hAnsi="Angsana New" w:eastAsia="Angsana New"/>
                <w:b w:val="0"/>
                <w:i w:val="0"/>
                <w:sz w:val="28"/>
                <w:u w:val="none"/>
              </w:rPr>
              <w:t>2,800</w:t>
            </w:r>
          </w:p>
        </w:tc>
      </w:tr>
      <w:tr>
        <w:trPr>
          <w:cantSplit/>
        </w:trPr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Angsana New" w:hAnsi="Angsana New" w:eastAsia="Angsana New"/>
                <w:b w:val="0"/>
                <w:i w:val="0"/>
                <w:sz w:val="28"/>
                <w:u w:val="none"/>
              </w:rPr>
              <w:t>1.1</w:t>
            </w:r>
          </w:p>
        </w:tc>
        <w:tc>
          <w:tcPr>
            <w:tcW w:type="dxa" w:w="6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Angsana New" w:hAnsi="Angsana New" w:eastAsia="Angsana New"/>
                <w:b w:val="0"/>
                <w:i w:val="0"/>
                <w:sz w:val="28"/>
                <w:u w:val="single"/>
              </w:rPr>
              <w:t>ค่าอาหารกลางวัน (20 คน x 80 บาท x 1 มื้อ)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right"/>
            </w:pPr>
            <w:r>
              <w:rPr>
                <w:rFonts w:ascii="Angsana New" w:hAnsi="Angsana New" w:eastAsia="Angsana New"/>
                <w:b w:val="0"/>
                <w:i w:val="0"/>
                <w:sz w:val="28"/>
                <w:u w:val="none"/>
              </w:rPr>
              <w:t>1,600</w:t>
            </w:r>
          </w:p>
        </w:tc>
      </w:tr>
      <w:tr>
        <w:trPr>
          <w:cantSplit/>
        </w:trPr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Angsana New" w:hAnsi="Angsana New" w:eastAsia="Angsana New"/>
                <w:b w:val="0"/>
                <w:i w:val="0"/>
                <w:sz w:val="28"/>
                <w:u w:val="none"/>
              </w:rPr>
              <w:t>1.2</w:t>
            </w:r>
          </w:p>
        </w:tc>
        <w:tc>
          <w:tcPr>
            <w:tcW w:type="dxa" w:w="6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Angsana New" w:hAnsi="Angsana New" w:eastAsia="Angsana New"/>
                <w:b w:val="0"/>
                <w:i w:val="0"/>
                <w:sz w:val="28"/>
                <w:u w:val="single"/>
              </w:rPr>
              <w:t>ค่าอาหารว่างและเครื่องดื่ม (20 คน x 30 บาท x 2 มื้อ)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right"/>
            </w:pPr>
            <w:r>
              <w:rPr>
                <w:rFonts w:ascii="Angsana New" w:hAnsi="Angsana New" w:eastAsia="Angsana New"/>
                <w:b w:val="0"/>
                <w:i w:val="0"/>
                <w:sz w:val="28"/>
                <w:u w:val="none"/>
              </w:rPr>
              <w:t>1,200</w:t>
            </w:r>
          </w:p>
        </w:tc>
      </w:tr>
      <w:tr>
        <w:trPr>
          <w:cantSplit/>
        </w:trPr>
        <w:tc>
          <w:tcPr>
            <w:tcW w:type="dxa" w:w="1200"/>
            <w:shd w:fill="F4F6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Angsana New" w:hAnsi="Angsana New" w:eastAsia="Angsana New"/>
                <w:b w:val="0"/>
                <w:i w:val="0"/>
                <w:sz w:val="28"/>
                <w:u w:val="none"/>
              </w:rPr>
              <w:t>2</w:t>
            </w:r>
          </w:p>
        </w:tc>
        <w:tc>
          <w:tcPr>
            <w:tcW w:type="dxa" w:w="6560"/>
            <w:shd w:fill="F4F6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Angsana New" w:hAnsi="Angsana New" w:eastAsia="Angsana New"/>
                <w:b w:val="0"/>
                <w:i w:val="0"/>
                <w:sz w:val="28"/>
                <w:u w:val="single"/>
              </w:rPr>
              <w:t>กิจกรรมอบรมเชิงปฏิบัติการใช้งานระบบ (1 ครั้ง 120 คน)</w:t>
            </w:r>
          </w:p>
        </w:tc>
        <w:tc>
          <w:tcPr>
            <w:tcW w:type="dxa" w:w="1600"/>
            <w:shd w:fill="F4F6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right"/>
            </w:pPr>
            <w:r>
              <w:rPr>
                <w:rFonts w:ascii="Angsana New" w:hAnsi="Angsana New" w:eastAsia="Angsana New"/>
                <w:b w:val="0"/>
                <w:i w:val="0"/>
                <w:sz w:val="28"/>
                <w:u w:val="none"/>
              </w:rPr>
              <w:t>19,800</w:t>
            </w:r>
          </w:p>
        </w:tc>
      </w:tr>
      <w:tr>
        <w:trPr>
          <w:cantSplit/>
        </w:trPr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Angsana New" w:hAnsi="Angsana New" w:eastAsia="Angsana New"/>
                <w:b w:val="0"/>
                <w:i w:val="0"/>
                <w:sz w:val="28"/>
                <w:u w:val="none"/>
              </w:rPr>
              <w:t>2.1</w:t>
            </w:r>
          </w:p>
        </w:tc>
        <w:tc>
          <w:tcPr>
            <w:tcW w:type="dxa" w:w="6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Angsana New" w:hAnsi="Angsana New" w:eastAsia="Angsana New"/>
                <w:b w:val="0"/>
                <w:i w:val="0"/>
                <w:sz w:val="28"/>
                <w:u w:val="single"/>
              </w:rPr>
              <w:t>ค่าอาหารกลางวัน (120 คน x 80 บาท x 1 มื้อ)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right"/>
            </w:pPr>
            <w:r>
              <w:rPr>
                <w:rFonts w:ascii="Angsana New" w:hAnsi="Angsana New" w:eastAsia="Angsana New"/>
                <w:b w:val="0"/>
                <w:i w:val="0"/>
                <w:sz w:val="28"/>
                <w:u w:val="none"/>
              </w:rPr>
              <w:t>9,600</w:t>
            </w:r>
          </w:p>
        </w:tc>
      </w:tr>
      <w:tr>
        <w:trPr>
          <w:cantSplit/>
        </w:trPr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Angsana New" w:hAnsi="Angsana New" w:eastAsia="Angsana New"/>
                <w:b w:val="0"/>
                <w:i w:val="0"/>
                <w:sz w:val="28"/>
                <w:u w:val="none"/>
              </w:rPr>
              <w:t>2.2</w:t>
            </w:r>
          </w:p>
        </w:tc>
        <w:tc>
          <w:tcPr>
            <w:tcW w:type="dxa" w:w="6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Angsana New" w:hAnsi="Angsana New" w:eastAsia="Angsana New"/>
                <w:b w:val="0"/>
                <w:i w:val="0"/>
                <w:sz w:val="28"/>
                <w:u w:val="single"/>
              </w:rPr>
              <w:t>ค่าอาหารว่างและเครื่องดื่ม (120 คน x 30 บาท x 1 มื้อ)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right"/>
            </w:pPr>
            <w:r>
              <w:rPr>
                <w:rFonts w:ascii="Angsana New" w:hAnsi="Angsana New" w:eastAsia="Angsana New"/>
                <w:b w:val="0"/>
                <w:i w:val="0"/>
                <w:sz w:val="28"/>
                <w:u w:val="none"/>
              </w:rPr>
              <w:t>3,600</w:t>
            </w:r>
          </w:p>
        </w:tc>
      </w:tr>
      <w:tr>
        <w:trPr>
          <w:cantSplit/>
        </w:trPr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Angsana New" w:hAnsi="Angsana New" w:eastAsia="Angsana New"/>
                <w:b w:val="0"/>
                <w:i w:val="0"/>
                <w:sz w:val="28"/>
                <w:u w:val="none"/>
              </w:rPr>
              <w:t>2.3</w:t>
            </w:r>
          </w:p>
        </w:tc>
        <w:tc>
          <w:tcPr>
            <w:tcW w:type="dxa" w:w="6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Angsana New" w:hAnsi="Angsana New" w:eastAsia="Angsana New"/>
                <w:b w:val="0"/>
                <w:i w:val="0"/>
                <w:sz w:val="28"/>
                <w:u w:val="single"/>
              </w:rPr>
              <w:t>ค่าสมนาคุณวิทยากรบรรยายหลัก (2 คน x 600 บาท x 3 ชั่วโมง)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right"/>
            </w:pPr>
            <w:r>
              <w:rPr>
                <w:rFonts w:ascii="Angsana New" w:hAnsi="Angsana New" w:eastAsia="Angsana New"/>
                <w:b w:val="0"/>
                <w:i w:val="0"/>
                <w:sz w:val="28"/>
                <w:u w:val="none"/>
              </w:rPr>
              <w:t>3,600</w:t>
            </w:r>
          </w:p>
        </w:tc>
      </w:tr>
      <w:tr>
        <w:trPr>
          <w:cantSplit/>
        </w:trPr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Angsana New" w:hAnsi="Angsana New" w:eastAsia="Angsana New"/>
                <w:b w:val="0"/>
                <w:i w:val="0"/>
                <w:sz w:val="28"/>
                <w:u w:val="none"/>
              </w:rPr>
              <w:t>2.4</w:t>
            </w:r>
          </w:p>
        </w:tc>
        <w:tc>
          <w:tcPr>
            <w:tcW w:type="dxa" w:w="6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Angsana New" w:hAnsi="Angsana New" w:eastAsia="Angsana New"/>
                <w:b w:val="0"/>
                <w:i w:val="0"/>
                <w:sz w:val="28"/>
                <w:u w:val="single"/>
              </w:rPr>
              <w:t>ค่าพาหนะจ่ายจริงสำหรับ อสม./เครือข่ายภาคประชาชน (30 คน x 100 บาท)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right"/>
            </w:pPr>
            <w:r>
              <w:rPr>
                <w:rFonts w:ascii="Angsana New" w:hAnsi="Angsana New" w:eastAsia="Angsana New"/>
                <w:b w:val="0"/>
                <w:i w:val="0"/>
                <w:sz w:val="28"/>
                <w:u w:val="none"/>
              </w:rPr>
              <w:t>3,000</w:t>
            </w:r>
          </w:p>
        </w:tc>
      </w:tr>
      <w:tr>
        <w:trPr>
          <w:cantSplit/>
        </w:trPr>
        <w:tc>
          <w:tcPr>
            <w:tcW w:type="dxa" w:w="1200"/>
            <w:shd w:fill="DDEB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center"/>
            </w:pPr>
            <w:r>
              <w:rPr>
                <w:rFonts w:ascii="Angsana New" w:hAnsi="Angsana New" w:eastAsia="Angsana New"/>
                <w:b/>
                <w:i w:val="0"/>
                <w:sz w:val="28"/>
                <w:u w:val="none"/>
              </w:rPr>
            </w:r>
          </w:p>
        </w:tc>
        <w:tc>
          <w:tcPr>
            <w:tcW w:type="dxa" w:w="6560"/>
            <w:shd w:fill="DDEB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rPr>
                <w:rFonts w:ascii="Angsana New" w:hAnsi="Angsana New" w:eastAsia="Angsana New"/>
                <w:b/>
                <w:i w:val="0"/>
                <w:sz w:val="28"/>
                <w:u w:val="single"/>
              </w:rPr>
              <w:t>รวมเป็นเงินงบประมาณทั้งสิ้น</w:t>
            </w:r>
          </w:p>
        </w:tc>
        <w:tc>
          <w:tcPr>
            <w:tcW w:type="dxa" w:w="1600"/>
            <w:shd w:fill="DDEB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keepNext w:val="0"/>
              <w:spacing w:before="0" w:after="0" w:line="276" w:lineRule="auto"/>
              <w:jc w:val="right"/>
            </w:pPr>
            <w:r>
              <w:rPr>
                <w:rFonts w:ascii="Angsana New" w:hAnsi="Angsana New" w:eastAsia="Angsana New"/>
                <w:b/>
                <w:i w:val="0"/>
                <w:sz w:val="28"/>
                <w:u w:val="none"/>
              </w:rPr>
              <w:t>22,600</w:t>
            </w:r>
          </w:p>
        </w:tc>
      </w:tr>
    </w:tbl>
    <w:p>
      <w:pPr>
        <w:widowControl/>
      </w:pPr>
    </w:p>
    <w:p>
      <w:pPr>
        <w:keepNext w:val="0"/>
        <w:widowControl/>
        <w:spacing w:before="0" w:after="120" w:line="300" w:lineRule="auto"/>
        <w:ind w:firstLine="720"/>
        <w:jc w:val="both"/>
      </w:pPr>
      <w:r>
        <w:rPr>
          <w:rFonts w:ascii="Angsana New" w:hAnsi="Angsana New" w:eastAsia="Angsana New"/>
          <w:b w:val="0"/>
          <w:i w:val="0"/>
          <w:sz w:val="32"/>
          <w:u w:val="single"/>
        </w:rPr>
        <w:t>การวิเคราะห์ ออกแบบ ปรับปรุง ทดสอบ และดูแลระบบดำเนินการโดยบุคลากรของหน่วยงานหรือทรัพยากรที่หน่วยงานมีอยู่เดิม โดยไม่เบิกค่าใช้จ่ายเพิ่มเติมจากโครงการนี้ หากมีค่าใช้บริการภายนอก ค่าโครงสร้างพื้นฐาน หรือค่าบำรุงรักษาเพิ่มเติม ให้เสนอขออนุมัติและดำเนินการตามระเบียบที่เกี่ยวข้องแยกต่างหาก</w:t>
      </w:r>
    </w:p>
    <w:p>
      <w:pPr>
        <w:keepNext w:val="0"/>
        <w:widowControl/>
        <w:spacing w:before="0" w:after="120" w:line="300" w:lineRule="auto"/>
        <w:ind w:firstLine="0"/>
        <w:jc w:val="both"/>
      </w:pPr>
      <w:r>
        <w:rPr>
          <w:rFonts w:ascii="Angsana New" w:hAnsi="Angsana New" w:eastAsia="Angsana New"/>
          <w:b w:val="0"/>
          <w:i w:val="0"/>
          <w:sz w:val="32"/>
          <w:u w:val="none"/>
        </w:rPr>
        <w:t>หมายเหตุ: ค่าใช้จ่ายทุกรายการสามารถถัวเฉลี่ยกันได้ตามที่จ่ายจริง โดยไม่เกินอัตราตามระเบียบของทางราชการ และอยู่ภายในวงเงินงบประมาณที่ได้รับอนุมัติ</w:t>
      </w:r>
    </w:p>
    <w:p>
      <w:pPr>
        <w:pStyle w:val="Heading1"/>
        <w:keepNext/>
        <w:widowControl/>
        <w:spacing w:before="200" w:after="100" w:line="240" w:lineRule="auto"/>
        <w:jc w:val="left"/>
      </w:pPr>
      <w:r>
        <w:rPr>
          <w:rFonts w:ascii="Angsana New" w:hAnsi="Angsana New" w:eastAsia="Angsana New"/>
          <w:b/>
          <w:i w:val="0"/>
          <w:color w:val="1F4D78"/>
          <w:sz w:val="36"/>
          <w:u w:val="none"/>
        </w:rPr>
        <w:t>10. การประเมินผล</w:t>
      </w:r>
    </w:p>
    <w:p>
      <w:pPr>
        <w:pStyle w:val="Heading2"/>
        <w:keepNext/>
        <w:widowControl/>
        <w:spacing w:before="140" w:after="60" w:line="240" w:lineRule="auto"/>
        <w:jc w:val="left"/>
      </w:pPr>
      <w:r>
        <w:rPr>
          <w:rFonts w:ascii="Angsana New" w:hAnsi="Angsana New" w:eastAsia="Angsana New"/>
          <w:b/>
          <w:i w:val="0"/>
          <w:color w:val="000000"/>
          <w:sz w:val="32"/>
          <w:u w:val="none"/>
        </w:rPr>
        <w:t>10.1 ตัวชี้วัดโครงการ</w:t>
      </w:r>
    </w:p>
    <w:p>
      <w:pPr>
        <w:widowControl/>
        <w:numPr>
          <w:ilvl w:val="0"/>
          <w:numId w:val="14"/>
        </w:numPr>
        <w:spacing w:before="0" w:after="80" w:line="300" w:lineRule="auto"/>
        <w:ind w:left="720" w:hanging="360"/>
      </w:pPr>
      <w:r>
        <w:rPr>
          <w:rFonts w:ascii="Angsana New" w:hAnsi="Angsana New" w:eastAsia="Angsana New"/>
          <w:b w:val="0"/>
          <w:i w:val="0"/>
          <w:sz w:val="32"/>
          <w:u w:val="none"/>
        </w:rPr>
        <w:t>มีระบบ LawiRisk-SSK Evidence Intelligence ที่สามารถจัดเก็บ สืบค้น วิเคราะห์ และแสดงความเชื่อมโยงของพยานหลักฐานดิจิทัลได้</w:t>
      </w:r>
    </w:p>
    <w:p>
      <w:pPr>
        <w:widowControl/>
        <w:numPr>
          <w:ilvl w:val="0"/>
          <w:numId w:val="14"/>
        </w:numPr>
        <w:spacing w:before="0" w:after="80" w:line="300" w:lineRule="auto"/>
        <w:ind w:left="720" w:hanging="360"/>
      </w:pPr>
      <w:r>
        <w:rPr>
          <w:rFonts w:ascii="Angsana New" w:hAnsi="Angsana New" w:eastAsia="Angsana New"/>
          <w:b w:val="0"/>
          <w:i w:val="0"/>
          <w:sz w:val="32"/>
          <w:u w:val="single"/>
        </w:rPr>
        <w:t>กรณีทดสอบสำคัญผ่านเกณฑ์ร้อยละ 100 และไม่มีข้อบกพร่องหรือช่องโหว่ระดับร้ายแรงที่ยังไม่ได้แก้ไขก่อนเปิดใช้งาน</w:t>
      </w:r>
    </w:p>
    <w:p>
      <w:pPr>
        <w:widowControl/>
        <w:numPr>
          <w:ilvl w:val="0"/>
          <w:numId w:val="14"/>
        </w:numPr>
        <w:spacing w:before="0" w:after="80" w:line="300" w:lineRule="auto"/>
        <w:ind w:left="720" w:hanging="360"/>
      </w:pPr>
      <w:r>
        <w:rPr>
          <w:rFonts w:ascii="Angsana New" w:hAnsi="Angsana New" w:eastAsia="Angsana New"/>
          <w:b w:val="0"/>
          <w:i w:val="0"/>
          <w:sz w:val="32"/>
          <w:u w:val="single"/>
        </w:rPr>
        <w:t>พยานหลักฐานในกรณีทดสอบมีแหล่งที่มา วันเวลา ผู้เก็บ ค่าแฮช และประวัติ Chain of Custody ครบถ้วนร้อยละ 100</w:t>
      </w:r>
    </w:p>
    <w:p>
      <w:pPr>
        <w:widowControl/>
        <w:numPr>
          <w:ilvl w:val="0"/>
          <w:numId w:val="14"/>
        </w:numPr>
        <w:spacing w:before="0" w:after="80" w:line="300" w:lineRule="auto"/>
        <w:ind w:left="720" w:hanging="360"/>
      </w:pPr>
      <w:r>
        <w:rPr>
          <w:rFonts w:ascii="Angsana New" w:hAnsi="Angsana New" w:eastAsia="Angsana New"/>
          <w:b w:val="0"/>
          <w:i w:val="0"/>
          <w:sz w:val="32"/>
          <w:u w:val="single"/>
        </w:rPr>
        <w:t>ความแม่นยำและความครอบคลุมของการแสดงจุดเชื่อมโยงเป็นไปตามเกณฑ์ที่คณะทำงานกำหนดก่อนทดสอบ โดยเสนอเป้าหมายไม่น้อยกว่าร้อยละ 90 ในชุดข้อมูลที่ผู้เชี่ยวชาญรับรอง</w:t>
      </w:r>
    </w:p>
    <w:p>
      <w:pPr>
        <w:widowControl/>
        <w:numPr>
          <w:ilvl w:val="0"/>
          <w:numId w:val="14"/>
        </w:numPr>
        <w:spacing w:before="0" w:after="80" w:line="300" w:lineRule="auto"/>
        <w:ind w:left="720" w:hanging="360"/>
      </w:pPr>
      <w:r>
        <w:rPr>
          <w:rFonts w:ascii="Angsana New" w:hAnsi="Angsana New" w:eastAsia="Angsana New"/>
          <w:b w:val="0"/>
          <w:i w:val="0"/>
          <w:sz w:val="32"/>
          <w:u w:val="single"/>
        </w:rPr>
        <w:t>ระยะเวลามัธยฐานในการสืบค้น วิเคราะห์ และจัดทำร่างเอกสารลดลงไม่น้อยกว่าร้อยละ 60 หรือเหลือไม่เกิน 2 ชั่วโมงต่อเรื่อง</w:t>
      </w:r>
    </w:p>
    <w:p>
      <w:pPr>
        <w:widowControl/>
        <w:numPr>
          <w:ilvl w:val="0"/>
          <w:numId w:val="14"/>
        </w:numPr>
        <w:spacing w:before="0" w:after="80" w:line="300" w:lineRule="auto"/>
        <w:ind w:left="720" w:hanging="360"/>
      </w:pPr>
      <w:r>
        <w:rPr>
          <w:rFonts w:ascii="Angsana New" w:hAnsi="Angsana New" w:eastAsia="Angsana New"/>
          <w:b w:val="0"/>
          <w:i w:val="0"/>
          <w:sz w:val="32"/>
          <w:u w:val="single"/>
        </w:rPr>
        <w:t>ผู้เข้ารับการอบรมไม่น้อยกว่าร้อยละ 80 มีคะแนนหลังอบรมไม่น้อยกว่าร้อยละ 80</w:t>
      </w:r>
    </w:p>
    <w:p>
      <w:pPr>
        <w:widowControl/>
        <w:numPr>
          <w:ilvl w:val="0"/>
          <w:numId w:val="14"/>
        </w:numPr>
        <w:spacing w:before="0" w:after="80" w:line="300" w:lineRule="auto"/>
        <w:ind w:left="720" w:hanging="360"/>
      </w:pPr>
      <w:r>
        <w:rPr>
          <w:rFonts w:ascii="Angsana New" w:hAnsi="Angsana New" w:eastAsia="Angsana New"/>
          <w:b w:val="0"/>
          <w:i w:val="0"/>
          <w:sz w:val="32"/>
          <w:u w:val="single"/>
        </w:rPr>
        <w:t>ผู้ได้รับสิทธิใช้งานอย่างน้อยร้อยละ 80 มีการเข้าใช้งานจริงภายใน 3 เดือนหลังเปิดใช้</w:t>
      </w:r>
    </w:p>
    <w:p>
      <w:pPr>
        <w:widowControl/>
        <w:numPr>
          <w:ilvl w:val="0"/>
          <w:numId w:val="14"/>
        </w:numPr>
        <w:spacing w:before="0" w:after="80" w:line="300" w:lineRule="auto"/>
        <w:ind w:left="720" w:hanging="360"/>
      </w:pPr>
      <w:r>
        <w:rPr>
          <w:rFonts w:ascii="Angsana New" w:hAnsi="Angsana New" w:eastAsia="Angsana New"/>
          <w:b w:val="0"/>
          <w:i w:val="0"/>
          <w:sz w:val="32"/>
          <w:u w:val="single"/>
        </w:rPr>
        <w:t>ไม่มีการเปิดเผยข้อมูลคดีแก่ผู้ไม่มีอำนาจ และเหตุการณ์ด้านความปลอดภัยที่เกิดขึ้นได้รับการบันทึก ตรวจสอบ และดำเนินการตามแผนตอบสนองร้อยละ 100</w:t>
      </w:r>
    </w:p>
    <w:p>
      <w:pPr>
        <w:pStyle w:val="Heading2"/>
        <w:keepNext/>
        <w:widowControl/>
        <w:spacing w:before="140" w:after="60" w:line="240" w:lineRule="auto"/>
        <w:jc w:val="left"/>
      </w:pPr>
      <w:r>
        <w:rPr>
          <w:rFonts w:ascii="Angsana New" w:hAnsi="Angsana New" w:eastAsia="Angsana New"/>
          <w:b/>
          <w:i w:val="0"/>
          <w:color w:val="000000"/>
          <w:sz w:val="32"/>
          <w:u w:val="none"/>
        </w:rPr>
        <w:t>10.2 เครื่องมือและวิธีการประเมินผล</w:t>
      </w:r>
    </w:p>
    <w:p>
      <w:pPr>
        <w:widowControl/>
        <w:numPr>
          <w:ilvl w:val="0"/>
          <w:numId w:val="15"/>
        </w:numPr>
        <w:spacing w:before="0" w:after="80" w:line="300" w:lineRule="auto"/>
        <w:ind w:left="720" w:hanging="360"/>
      </w:pPr>
      <w:r>
        <w:rPr>
          <w:rFonts w:ascii="Angsana New" w:hAnsi="Angsana New" w:eastAsia="Angsana New"/>
          <w:b w:val="0"/>
          <w:i w:val="0"/>
          <w:sz w:val="32"/>
          <w:u w:val="single"/>
        </w:rPr>
        <w:t>แบบทดสอบก่อนและหลังการอบรมสำหรับผู้ใช้งานแต่ละบทบาท</w:t>
      </w:r>
    </w:p>
    <w:p>
      <w:pPr>
        <w:widowControl/>
        <w:numPr>
          <w:ilvl w:val="0"/>
          <w:numId w:val="15"/>
        </w:numPr>
        <w:spacing w:before="0" w:after="80" w:line="300" w:lineRule="auto"/>
        <w:ind w:left="720" w:hanging="360"/>
      </w:pPr>
      <w:r>
        <w:rPr>
          <w:rFonts w:ascii="Angsana New" w:hAnsi="Angsana New" w:eastAsia="Angsana New"/>
          <w:b w:val="0"/>
          <w:i w:val="0"/>
          <w:sz w:val="32"/>
          <w:u w:val="single"/>
        </w:rPr>
        <w:t>แบบบันทึกเวลาและขั้นตอนการปฏิบัติงานก่อนและหลังใช้ระบบ</w:t>
      </w:r>
    </w:p>
    <w:p>
      <w:pPr>
        <w:widowControl/>
        <w:numPr>
          <w:ilvl w:val="0"/>
          <w:numId w:val="15"/>
        </w:numPr>
        <w:spacing w:before="0" w:after="80" w:line="300" w:lineRule="auto"/>
        <w:ind w:left="720" w:hanging="360"/>
      </w:pPr>
      <w:r>
        <w:rPr>
          <w:rFonts w:ascii="Angsana New" w:hAnsi="Angsana New" w:eastAsia="Angsana New"/>
          <w:b w:val="0"/>
          <w:i w:val="0"/>
          <w:sz w:val="32"/>
          <w:u w:val="single"/>
        </w:rPr>
        <w:t>ชุดกรณีทดสอบที่คณะทำงานด้านกฎหมายรับรอง พร้อมแบบตรวจความถูกต้องและความครอบคลุมของจุดเชื่อมโยง</w:t>
      </w:r>
    </w:p>
    <w:p>
      <w:pPr>
        <w:widowControl/>
        <w:numPr>
          <w:ilvl w:val="0"/>
          <w:numId w:val="15"/>
        </w:numPr>
        <w:spacing w:before="0" w:after="80" w:line="300" w:lineRule="auto"/>
        <w:ind w:left="720" w:hanging="360"/>
      </w:pPr>
      <w:r>
        <w:rPr>
          <w:rFonts w:ascii="Angsana New" w:hAnsi="Angsana New" w:eastAsia="Angsana New"/>
          <w:b w:val="0"/>
          <w:i w:val="0"/>
          <w:sz w:val="32"/>
          <w:u w:val="single"/>
        </w:rPr>
        <w:t>รายงาน UAT รายงานการทดสอบสิทธิผู้ใช้ รายงานช่องโหว่ และหลักฐานการแก้ไข</w:t>
      </w:r>
    </w:p>
    <w:p>
      <w:pPr>
        <w:widowControl/>
        <w:numPr>
          <w:ilvl w:val="0"/>
          <w:numId w:val="15"/>
        </w:numPr>
        <w:spacing w:before="0" w:after="80" w:line="300" w:lineRule="auto"/>
        <w:ind w:left="720" w:hanging="360"/>
      </w:pPr>
      <w:r>
        <w:rPr>
          <w:rFonts w:ascii="Angsana New" w:hAnsi="Angsana New" w:eastAsia="Angsana New"/>
          <w:b w:val="0"/>
          <w:i w:val="0"/>
          <w:sz w:val="32"/>
          <w:u w:val="single"/>
        </w:rPr>
        <w:t>รายงาน Audit Log สถิติการเข้าใช้งาน รายงานเหตุผิดปกติ และผลการทดสอบการกู้คืนข้อมูล</w:t>
      </w:r>
    </w:p>
    <w:p>
      <w:pPr>
        <w:widowControl/>
        <w:numPr>
          <w:ilvl w:val="0"/>
          <w:numId w:val="15"/>
        </w:numPr>
        <w:spacing w:before="0" w:after="80" w:line="300" w:lineRule="auto"/>
        <w:ind w:left="720" w:hanging="360"/>
      </w:pPr>
      <w:r>
        <w:rPr>
          <w:rFonts w:ascii="Angsana New" w:hAnsi="Angsana New" w:eastAsia="Angsana New"/>
          <w:b w:val="0"/>
          <w:i w:val="0"/>
          <w:sz w:val="32"/>
          <w:u w:val="single"/>
        </w:rPr>
        <w:t>แบบประเมินความพึงพอใจและข้อเสนอแนะของเจ้าหน้าที่ อสม. และเครือข่ายตามขอบเขตที่แต่ละกลุ่มได้รับอนุญาต</w:t>
      </w:r>
    </w:p>
    <w:p>
      <w:pPr>
        <w:pStyle w:val="Heading1"/>
        <w:keepNext/>
        <w:widowControl/>
        <w:spacing w:before="200" w:after="100" w:line="240" w:lineRule="auto"/>
        <w:jc w:val="left"/>
      </w:pPr>
      <w:r>
        <w:rPr>
          <w:rFonts w:ascii="Angsana New" w:hAnsi="Angsana New" w:eastAsia="Angsana New"/>
          <w:b/>
          <w:i w:val="0"/>
          <w:color w:val="1F4D78"/>
          <w:sz w:val="36"/>
          <w:u w:val="none"/>
        </w:rPr>
        <w:t>11. ผลที่คาดว่าจะได้รับ</w:t>
      </w:r>
    </w:p>
    <w:p>
      <w:pPr>
        <w:pStyle w:val="Heading2"/>
        <w:keepNext/>
        <w:widowControl/>
        <w:spacing w:before="140" w:after="60" w:line="240" w:lineRule="auto"/>
        <w:jc w:val="left"/>
      </w:pPr>
      <w:r>
        <w:rPr>
          <w:rFonts w:ascii="Angsana New" w:hAnsi="Angsana New" w:eastAsia="Angsana New"/>
          <w:b/>
          <w:i w:val="0"/>
          <w:color w:val="000000"/>
          <w:sz w:val="32"/>
          <w:u w:val="none"/>
        </w:rPr>
        <w:t>11.1 เชิงผลผลิต (Output)</w:t>
      </w:r>
    </w:p>
    <w:p>
      <w:pPr>
        <w:widowControl/>
        <w:numPr>
          <w:ilvl w:val="0"/>
          <w:numId w:val="16"/>
        </w:numPr>
        <w:spacing w:before="0" w:after="80" w:line="300" w:lineRule="auto"/>
        <w:ind w:left="720" w:hanging="360"/>
      </w:pPr>
      <w:r>
        <w:rPr>
          <w:rFonts w:ascii="Angsana New" w:hAnsi="Angsana New" w:eastAsia="Angsana New"/>
          <w:b w:val="0"/>
          <w:i w:val="0"/>
          <w:sz w:val="32"/>
          <w:u w:val="single"/>
        </w:rPr>
        <w:t>ได้ระบบ LawiRisk-SSK Evidence Intelligence สำหรับสืบค้น วิเคราะห์ความเชื่อมโยง และบริหารจัดการพยานหลักฐานดิจิทัล</w:t>
      </w:r>
    </w:p>
    <w:p>
      <w:pPr>
        <w:widowControl/>
        <w:numPr>
          <w:ilvl w:val="0"/>
          <w:numId w:val="16"/>
        </w:numPr>
        <w:spacing w:before="0" w:after="80" w:line="300" w:lineRule="auto"/>
        <w:ind w:left="720" w:hanging="360"/>
      </w:pPr>
      <w:r>
        <w:rPr>
          <w:rFonts w:ascii="Angsana New" w:hAnsi="Angsana New" w:eastAsia="Angsana New"/>
          <w:b w:val="0"/>
          <w:i w:val="0"/>
          <w:sz w:val="32"/>
          <w:u w:val="single"/>
        </w:rPr>
        <w:t>ได้มาตรฐานวิธีปฏิบัติงาน คู่มือผู้ใช้ คู่มือผู้ดูแลระบบ แบบฟอร์ม Chain of Custody และเกณฑ์ตรวจรับระบบ</w:t>
      </w:r>
    </w:p>
    <w:p>
      <w:pPr>
        <w:widowControl/>
        <w:numPr>
          <w:ilvl w:val="0"/>
          <w:numId w:val="16"/>
        </w:numPr>
        <w:spacing w:before="0" w:after="80" w:line="300" w:lineRule="auto"/>
        <w:ind w:left="720" w:hanging="360"/>
      </w:pPr>
      <w:r>
        <w:rPr>
          <w:rFonts w:ascii="Angsana New" w:hAnsi="Angsana New" w:eastAsia="Angsana New"/>
          <w:b w:val="0"/>
          <w:i w:val="0"/>
          <w:sz w:val="32"/>
          <w:u w:val="single"/>
        </w:rPr>
        <w:t>มีเจ้าหน้าที่และเครือข่ายผ่านการอบรมตามบทบาทและขอบเขตสิทธิที่กำหนด</w:t>
      </w:r>
    </w:p>
    <w:p>
      <w:pPr>
        <w:pStyle w:val="Heading2"/>
        <w:keepNext/>
        <w:widowControl/>
        <w:spacing w:before="140" w:after="60" w:line="240" w:lineRule="auto"/>
        <w:jc w:val="left"/>
      </w:pPr>
      <w:r>
        <w:rPr>
          <w:rFonts w:ascii="Angsana New" w:hAnsi="Angsana New" w:eastAsia="Angsana New"/>
          <w:b/>
          <w:i w:val="0"/>
          <w:color w:val="000000"/>
          <w:sz w:val="32"/>
          <w:u w:val="none"/>
        </w:rPr>
        <w:t>11.2 เชิงผลลัพธ์ (Outcome)</w:t>
      </w:r>
    </w:p>
    <w:p>
      <w:pPr>
        <w:widowControl/>
        <w:numPr>
          <w:ilvl w:val="0"/>
          <w:numId w:val="17"/>
        </w:numPr>
        <w:spacing w:before="0" w:after="80" w:line="300" w:lineRule="auto"/>
        <w:ind w:left="720" w:hanging="360"/>
      </w:pPr>
      <w:r>
        <w:rPr>
          <w:rFonts w:ascii="Angsana New" w:hAnsi="Angsana New" w:eastAsia="Angsana New"/>
          <w:b w:val="0"/>
          <w:i w:val="0"/>
          <w:sz w:val="32"/>
          <w:u w:val="single"/>
        </w:rPr>
        <w:t>กลุ่มงานคุ้มครองผู้บริโภคสามารถจัดการพยานหลักฐานของเรื่องร้องเรียนและเชื่อมโยงข้อมูลข้ามคดีได้รวดเร็วและตรวจสอบย้อนกลับได้</w:t>
      </w:r>
    </w:p>
    <w:p>
      <w:pPr>
        <w:widowControl/>
        <w:numPr>
          <w:ilvl w:val="0"/>
          <w:numId w:val="17"/>
        </w:numPr>
        <w:spacing w:before="0" w:after="80" w:line="300" w:lineRule="auto"/>
        <w:ind w:left="720" w:hanging="360"/>
      </w:pPr>
      <w:r>
        <w:rPr>
          <w:rFonts w:ascii="Angsana New" w:hAnsi="Angsana New" w:eastAsia="Angsana New"/>
          <w:b w:val="0"/>
          <w:i w:val="0"/>
          <w:sz w:val="32"/>
          <w:u w:val="single"/>
        </w:rPr>
        <w:t>พนักงานเจ้าหน้าที่ลดเวลางานซ้ำซ้อนและมีข้อมูลประกอบการพิจารณาที่เป็นระบบ โดยยังคงเป็นผู้รับผิดชอบการวินิจฉัยข้อเท็จจริงและข้อกฎหมาย</w:t>
      </w:r>
    </w:p>
    <w:p>
      <w:pPr>
        <w:widowControl/>
        <w:numPr>
          <w:ilvl w:val="0"/>
          <w:numId w:val="17"/>
        </w:numPr>
        <w:spacing w:before="0" w:after="80" w:line="300" w:lineRule="auto"/>
        <w:ind w:left="720" w:hanging="360"/>
      </w:pPr>
      <w:r>
        <w:rPr>
          <w:rFonts w:ascii="Angsana New" w:hAnsi="Angsana New" w:eastAsia="Angsana New"/>
          <w:b w:val="0"/>
          <w:i w:val="0"/>
          <w:sz w:val="32"/>
          <w:u w:val="single"/>
        </w:rPr>
        <w:t>ผู้บริโภคได้รับการคุ้มครองจากการเฝ้าระวังและบังคับใช้กฎหมายที่รวดเร็วขึ้น โดยข้อมูลส่วนบุคคลและข้อมูลคดีได้รับการป้องกันตามสิทธิและความจำเป็น</w:t>
      </w:r>
    </w:p>
    <w:p>
      <w:pPr>
        <w:pStyle w:val="Heading1"/>
        <w:keepNext/>
        <w:widowControl/>
        <w:spacing w:before="200" w:after="100" w:line="240" w:lineRule="auto"/>
        <w:jc w:val="left"/>
      </w:pPr>
      <w:r>
        <w:rPr>
          <w:rFonts w:ascii="Angsana New" w:hAnsi="Angsana New" w:eastAsia="Angsana New"/>
          <w:b/>
          <w:i w:val="0"/>
          <w:color w:val="1F4D78"/>
          <w:sz w:val="36"/>
          <w:u w:val="none"/>
        </w:rPr>
        <w:t>12. การกำกับดูแลข้อมูล กฎหมาย และความมั่นคงปลอดภัย</w:t>
      </w:r>
    </w:p>
    <w:p>
      <w:pPr>
        <w:widowControl/>
        <w:numPr>
          <w:ilvl w:val="0"/>
          <w:numId w:val="18"/>
        </w:numPr>
        <w:spacing w:before="0" w:after="80" w:line="300" w:lineRule="auto"/>
        <w:ind w:left="720" w:hanging="360"/>
      </w:pPr>
      <w:r>
        <w:rPr>
          <w:rFonts w:ascii="Angsana New" w:hAnsi="Angsana New" w:eastAsia="Angsana New"/>
          <w:b w:val="0"/>
          <w:i w:val="0"/>
          <w:sz w:val="32"/>
          <w:u w:val="single"/>
        </w:rPr>
        <w:t>กำหนดให้สำนักงานสาธารณสุขจังหวัดศรีสะเกษเป็นเจ้าของระบบและผู้ควบคุมข้อมูลตามบทบาทหน้าที่ โดยมอบหมายผู้ดูแลระบบ ผู้รับผิดชอบข้อมูล ผู้ตรวจทานด้านกฎหมาย และผู้ประสานงานด้านคุ้มครองข้อมูลส่วนบุคคลเป็นลายลักษณ์อักษร</w:t>
      </w:r>
    </w:p>
    <w:p>
      <w:pPr>
        <w:widowControl/>
        <w:numPr>
          <w:ilvl w:val="0"/>
          <w:numId w:val="18"/>
        </w:numPr>
        <w:spacing w:before="0" w:after="80" w:line="300" w:lineRule="auto"/>
        <w:ind w:left="720" w:hanging="360"/>
      </w:pPr>
      <w:r>
        <w:rPr>
          <w:rFonts w:ascii="Angsana New" w:hAnsi="Angsana New" w:eastAsia="Angsana New"/>
          <w:b w:val="0"/>
          <w:i w:val="0"/>
          <w:sz w:val="32"/>
          <w:u w:val="single"/>
        </w:rPr>
        <w:t>จัดทำรายการกิจกรรมการประมวลผลข้อมูลส่วนบุคคล กำหนดวัตถุประสงค์และฐานการประมวลผล ประเภทข้อมูล ผู้รับข้อมูล ระยะเวลาเก็บรักษา มาตรการรักษาความมั่นคงปลอดภัย และช่องทางใช้สิทธิของเจ้าของข้อมูล</w:t>
      </w:r>
    </w:p>
    <w:p>
      <w:pPr>
        <w:widowControl/>
        <w:numPr>
          <w:ilvl w:val="0"/>
          <w:numId w:val="18"/>
        </w:numPr>
        <w:spacing w:before="0" w:after="80" w:line="300" w:lineRule="auto"/>
        <w:ind w:left="720" w:hanging="360"/>
      </w:pPr>
      <w:r>
        <w:rPr>
          <w:rFonts w:ascii="Angsana New" w:hAnsi="Angsana New" w:eastAsia="Angsana New"/>
          <w:b w:val="0"/>
          <w:i w:val="0"/>
          <w:sz w:val="32"/>
          <w:u w:val="single"/>
        </w:rPr>
        <w:t>ใช้หลักการให้สิทธิเท่าที่จำเป็นต่อหน้าที่ ทบทวนสิทธิเป็นระยะ และเพิกถอนสิทธิทันทีเมื่อพ้นหน้าที่หรือยุติการปฏิบัติงาน</w:t>
      </w:r>
    </w:p>
    <w:p>
      <w:pPr>
        <w:widowControl/>
        <w:numPr>
          <w:ilvl w:val="0"/>
          <w:numId w:val="18"/>
        </w:numPr>
        <w:spacing w:before="0" w:after="80" w:line="300" w:lineRule="auto"/>
        <w:ind w:left="720" w:hanging="360"/>
      </w:pPr>
      <w:r>
        <w:rPr>
          <w:rFonts w:ascii="Angsana New" w:hAnsi="Angsana New" w:eastAsia="Angsana New"/>
          <w:b w:val="0"/>
          <w:i w:val="0"/>
          <w:sz w:val="32"/>
          <w:u w:val="single"/>
        </w:rPr>
        <w:t>เก็บต้นฉบับพยานหลักฐานแยกจากข้อมูลที่ระบบสร้างขึ้น ห้ามเขียนทับต้นฉบับ และให้ตรวจสอบค่าแฮชก่อนส่งมอบหรือส่งออกหลักฐาน</w:t>
      </w:r>
    </w:p>
    <w:p>
      <w:pPr>
        <w:widowControl/>
        <w:numPr>
          <w:ilvl w:val="0"/>
          <w:numId w:val="18"/>
        </w:numPr>
        <w:spacing w:before="0" w:after="80" w:line="300" w:lineRule="auto"/>
        <w:ind w:left="720" w:hanging="360"/>
      </w:pPr>
      <w:r>
        <w:rPr>
          <w:rFonts w:ascii="Angsana New" w:hAnsi="Angsana New" w:eastAsia="Angsana New"/>
          <w:b w:val="0"/>
          <w:i w:val="0"/>
          <w:sz w:val="32"/>
          <w:u w:val="single"/>
        </w:rPr>
        <w:t>ผลวิเคราะห์ของระบบต้องแสดงแหล่งข้อมูลและข้อจำกัด ห้ามนำผลที่ระบบสร้างขึ้นไปใช้กล่าวหาหรือดำเนินคดีโดยไม่มีการตรวจสอบจากพนักงานเจ้าหน้าที่</w:t>
      </w:r>
    </w:p>
    <w:p>
      <w:pPr>
        <w:widowControl/>
        <w:numPr>
          <w:ilvl w:val="0"/>
          <w:numId w:val="18"/>
        </w:numPr>
        <w:spacing w:before="0" w:after="80" w:line="300" w:lineRule="auto"/>
        <w:ind w:left="720" w:hanging="360"/>
      </w:pPr>
      <w:r>
        <w:rPr>
          <w:rFonts w:ascii="Angsana New" w:hAnsi="Angsana New" w:eastAsia="Angsana New"/>
          <w:b w:val="0"/>
          <w:i w:val="0"/>
          <w:sz w:val="32"/>
          <w:u w:val="single"/>
        </w:rPr>
        <w:t>จัดทำแผนสำรองและกู้คืนข้อมูล แผนรับมือเหตุละเมิดข้อมูลหรือระบบถูกโจมตี และช่องทางรายงานเหตุแก่ผู้บริหาร ผู้รับผิดชอบความมั่นคงปลอดภัย และผู้เกี่ยวข้อง</w:t>
      </w:r>
    </w:p>
    <w:p>
      <w:pPr>
        <w:widowControl/>
        <w:numPr>
          <w:ilvl w:val="0"/>
          <w:numId w:val="18"/>
        </w:numPr>
        <w:spacing w:before="0" w:after="80" w:line="300" w:lineRule="auto"/>
        <w:ind w:left="720" w:hanging="360"/>
      </w:pPr>
      <w:r>
        <w:rPr>
          <w:rFonts w:ascii="Angsana New" w:hAnsi="Angsana New" w:eastAsia="Angsana New"/>
          <w:b w:val="0"/>
          <w:i w:val="0"/>
          <w:sz w:val="32"/>
          <w:u w:val="single"/>
        </w:rPr>
        <w:t>ทบทวนให้สอดคล้องกับกฎหมายว่าด้วยธุรกรรมทางอิเล็กทรอนิกส์ กฎหมายคุ้มครองข้อมูลส่วนบุคคล กฎหมายเฉพาะที่เกี่ยวข้อง และแนวทางธรรมาภิบาลปัญญาประดิษฐ์ที่หน่วยงานกำหนด</w:t>
      </w:r>
    </w:p>
    <w:p>
      <w:pPr>
        <w:pStyle w:val="Heading1"/>
        <w:keepNext/>
        <w:widowControl/>
        <w:spacing w:before="200" w:after="100" w:line="240" w:lineRule="auto"/>
        <w:jc w:val="left"/>
      </w:pPr>
      <w:r>
        <w:rPr>
          <w:rFonts w:ascii="Angsana New" w:hAnsi="Angsana New" w:eastAsia="Angsana New"/>
          <w:b/>
          <w:i w:val="0"/>
          <w:color w:val="1F4D78"/>
          <w:sz w:val="36"/>
          <w:u w:val="none"/>
        </w:rPr>
        <w:t>13. แผนบำรุงรักษาและความต่อเนื่อง</w:t>
      </w:r>
    </w:p>
    <w:p>
      <w:pPr>
        <w:widowControl/>
        <w:numPr>
          <w:ilvl w:val="0"/>
          <w:numId w:val="19"/>
        </w:numPr>
        <w:spacing w:before="0" w:after="80" w:line="300" w:lineRule="auto"/>
        <w:ind w:left="720" w:hanging="360"/>
      </w:pPr>
      <w:r>
        <w:rPr>
          <w:rFonts w:ascii="Angsana New" w:hAnsi="Angsana New" w:eastAsia="Angsana New"/>
          <w:b w:val="0"/>
          <w:i w:val="0"/>
          <w:sz w:val="32"/>
          <w:u w:val="single"/>
        </w:rPr>
        <w:t>มอบหมายผู้ดูแลระบบหลักและผู้ปฏิบัติหน้าที่แทน พร้อมกำหนดช่องทางแจ้งปัญหาและระยะเวลาตอบสนองตามระดับความรุนแรง</w:t>
      </w:r>
    </w:p>
    <w:p>
      <w:pPr>
        <w:widowControl/>
        <w:numPr>
          <w:ilvl w:val="0"/>
          <w:numId w:val="19"/>
        </w:numPr>
        <w:spacing w:before="0" w:after="80" w:line="300" w:lineRule="auto"/>
        <w:ind w:left="720" w:hanging="360"/>
      </w:pPr>
      <w:r>
        <w:rPr>
          <w:rFonts w:ascii="Angsana New" w:hAnsi="Angsana New" w:eastAsia="Angsana New"/>
          <w:b w:val="0"/>
          <w:i w:val="0"/>
          <w:sz w:val="32"/>
          <w:u w:val="single"/>
        </w:rPr>
        <w:t>สำรองข้อมูลตามรอบที่กำหนดและทดสอบการกู้คืนอย่างน้อยปีละ 2 ครั้ง หรือเมื่อมีการเปลี่ยนแปลงระบบที่สำคัญ</w:t>
      </w:r>
    </w:p>
    <w:p>
      <w:pPr>
        <w:widowControl/>
        <w:numPr>
          <w:ilvl w:val="0"/>
          <w:numId w:val="19"/>
        </w:numPr>
        <w:spacing w:before="0" w:after="80" w:line="300" w:lineRule="auto"/>
        <w:ind w:left="720" w:hanging="360"/>
      </w:pPr>
      <w:r>
        <w:rPr>
          <w:rFonts w:ascii="Angsana New" w:hAnsi="Angsana New" w:eastAsia="Angsana New"/>
          <w:b w:val="0"/>
          <w:i w:val="0"/>
          <w:sz w:val="32"/>
          <w:u w:val="single"/>
        </w:rPr>
        <w:t>ติดตามข้อผิดพลาด ช่องโหว่ และความถูกต้องของผลวิเคราะห์ พร้อมบันทึกเวอร์ชันและการเปลี่ยนแปลงของระบบ</w:t>
      </w:r>
    </w:p>
    <w:p>
      <w:pPr>
        <w:widowControl/>
        <w:numPr>
          <w:ilvl w:val="0"/>
          <w:numId w:val="19"/>
        </w:numPr>
        <w:spacing w:before="0" w:after="80" w:line="300" w:lineRule="auto"/>
        <w:ind w:left="720" w:hanging="360"/>
      </w:pPr>
      <w:r>
        <w:rPr>
          <w:rFonts w:ascii="Angsana New" w:hAnsi="Angsana New" w:eastAsia="Angsana New"/>
          <w:b w:val="0"/>
          <w:i w:val="0"/>
          <w:sz w:val="32"/>
          <w:u w:val="single"/>
        </w:rPr>
        <w:t>ทบทวนแบบฟอร์ม ฐานกฎหมาย แหล่งข้อมูล และสิทธิผู้ใช้อย่างน้อยปีละ 1 ครั้ง หรือเมื่อกฎหมายหรือกระบวนงานเปลี่ยนแปลง</w:t>
      </w:r>
    </w:p>
    <w:p>
      <w:pPr>
        <w:widowControl/>
        <w:numPr>
          <w:ilvl w:val="0"/>
          <w:numId w:val="19"/>
        </w:numPr>
        <w:spacing w:before="0" w:after="80" w:line="300" w:lineRule="auto"/>
        <w:ind w:left="720" w:hanging="360"/>
      </w:pPr>
      <w:r>
        <w:rPr>
          <w:rFonts w:ascii="Angsana New" w:hAnsi="Angsana New" w:eastAsia="Angsana New"/>
          <w:b w:val="0"/>
          <w:i w:val="0"/>
          <w:sz w:val="32"/>
          <w:u w:val="single"/>
        </w:rPr>
        <w:t>จัดทำแผนส่งออกข้อมูลและย้ายระบบเพื่อป้องกันการผูกติดกับผู้ให้บริการรายเดียว และให้หน่วยงานสามารถเข้าถึงข้อมูลและรหัสต้นฉบับที่จำเป็นต่อการดำเนินงานต่อเนื่อง</w:t>
      </w:r>
    </w:p>
    <w:p>
      <w:pPr>
        <w:pStyle w:val="Heading1"/>
        <w:keepNext/>
        <w:widowControl/>
        <w:spacing w:before="200" w:after="100" w:line="240" w:lineRule="auto"/>
        <w:jc w:val="left"/>
      </w:pPr>
      <w:r>
        <w:rPr>
          <w:rFonts w:ascii="Angsana New" w:hAnsi="Angsana New" w:eastAsia="Angsana New"/>
          <w:b/>
          <w:i w:val="0"/>
          <w:color w:val="1F4D78"/>
          <w:sz w:val="36"/>
          <w:u w:val="none"/>
        </w:rPr>
        <w:t>14. ผู้รับผิดชอบโครงการ</w:t>
      </w:r>
    </w:p>
    <w:p>
      <w:pPr>
        <w:keepNext w:val="0"/>
        <w:widowControl/>
        <w:spacing w:before="0" w:after="120" w:line="300" w:lineRule="auto"/>
        <w:ind w:firstLine="720"/>
        <w:jc w:val="both"/>
      </w:pPr>
      <w:r>
        <w:rPr>
          <w:rFonts w:ascii="Angsana New" w:hAnsi="Angsana New" w:eastAsia="Angsana New"/>
          <w:b w:val="0"/>
          <w:i w:val="0"/>
          <w:sz w:val="32"/>
          <w:u w:val="none"/>
        </w:rPr>
        <w:t>กลุ่มงานคุ้มครองผู้บริโภคและเภสัชสาธารณสุข สำนักงานสาธารณสุขจังหวัดศรีสะเกษ</w:t>
      </w:r>
    </w:p>
    <w:p>
      <w:pPr>
        <w:keepNext w:val="0"/>
        <w:widowControl/>
        <w:spacing w:before="0" w:after="120" w:line="300" w:lineRule="auto"/>
        <w:ind w:firstLine="720"/>
        <w:jc w:val="both"/>
      </w:pPr>
      <w:r>
        <w:rPr>
          <w:rFonts w:ascii="Angsana New" w:hAnsi="Angsana New" w:eastAsia="Angsana New"/>
          <w:b w:val="0"/>
          <w:i w:val="0"/>
          <w:sz w:val="32"/>
          <w:u w:val="single"/>
        </w:rPr>
        <w:t>คณะทำงานกำกับดูแลระบบ LawiRisk-SSK Evidence Intelligence ซึ่งประกอบด้วยผู้แทนด้านกฎหมาย เทคโนโลยีสารสนเทศ คุ้มครองข้อมูลส่วนบุคคล และผู้ใช้งานระบบ</w:t>
      </w:r>
    </w:p>
    <w:p>
      <w:pPr>
        <w:pStyle w:val="Heading1"/>
        <w:keepNext/>
        <w:widowControl/>
        <w:spacing w:before="200" w:after="100" w:line="240" w:lineRule="auto"/>
        <w:jc w:val="left"/>
      </w:pPr>
      <w:r>
        <w:rPr>
          <w:rFonts w:ascii="Angsana New" w:hAnsi="Angsana New" w:eastAsia="Angsana New"/>
          <w:b/>
          <w:i w:val="0"/>
          <w:color w:val="1F4D78"/>
          <w:sz w:val="36"/>
          <w:u w:val="none"/>
        </w:rPr>
        <w:t>15. เอกสารประกอบที่ต้องจัดทำก่อนเปิดใช้ข้อมูลจริง</w:t>
      </w:r>
    </w:p>
    <w:p>
      <w:pPr>
        <w:widowControl/>
        <w:numPr>
          <w:ilvl w:val="0"/>
          <w:numId w:val="20"/>
        </w:numPr>
        <w:spacing w:before="0" w:after="80" w:line="300" w:lineRule="auto"/>
        <w:ind w:left="720" w:hanging="360"/>
      </w:pPr>
      <w:r>
        <w:rPr>
          <w:rFonts w:ascii="Angsana New" w:hAnsi="Angsana New" w:eastAsia="Angsana New"/>
          <w:b w:val="0"/>
          <w:i w:val="0"/>
          <w:sz w:val="32"/>
          <w:u w:val="single"/>
        </w:rPr>
        <w:t>คำสั่งแต่งตั้งคณะทำงานและตารางกำหนดผู้รับผิดชอบ (RACI)</w:t>
      </w:r>
    </w:p>
    <w:p>
      <w:pPr>
        <w:widowControl/>
        <w:numPr>
          <w:ilvl w:val="0"/>
          <w:numId w:val="20"/>
        </w:numPr>
        <w:spacing w:before="0" w:after="80" w:line="300" w:lineRule="auto"/>
        <w:ind w:left="720" w:hanging="360"/>
      </w:pPr>
      <w:r>
        <w:rPr>
          <w:rFonts w:ascii="Angsana New" w:hAnsi="Angsana New" w:eastAsia="Angsana New"/>
          <w:b w:val="0"/>
          <w:i w:val="0"/>
          <w:sz w:val="32"/>
          <w:u w:val="single"/>
        </w:rPr>
        <w:t>ขอบเขตความต้องการและเกณฑ์ตรวจรับระบบ</w:t>
      </w:r>
    </w:p>
    <w:p>
      <w:pPr>
        <w:widowControl/>
        <w:numPr>
          <w:ilvl w:val="0"/>
          <w:numId w:val="20"/>
        </w:numPr>
        <w:spacing w:before="0" w:after="80" w:line="300" w:lineRule="auto"/>
        <w:ind w:left="720" w:hanging="360"/>
      </w:pPr>
      <w:r>
        <w:rPr>
          <w:rFonts w:ascii="Angsana New" w:hAnsi="Angsana New" w:eastAsia="Angsana New"/>
          <w:b w:val="0"/>
          <w:i w:val="0"/>
          <w:sz w:val="32"/>
          <w:u w:val="single"/>
        </w:rPr>
        <w:t>พจนานุกรมข้อมูลและตารางสิทธิผู้ใช้</w:t>
      </w:r>
    </w:p>
    <w:p>
      <w:pPr>
        <w:widowControl/>
        <w:numPr>
          <w:ilvl w:val="0"/>
          <w:numId w:val="20"/>
        </w:numPr>
        <w:spacing w:before="0" w:after="80" w:line="300" w:lineRule="auto"/>
        <w:ind w:left="720" w:hanging="360"/>
      </w:pPr>
      <w:r>
        <w:rPr>
          <w:rFonts w:ascii="Angsana New" w:hAnsi="Angsana New" w:eastAsia="Angsana New"/>
          <w:b w:val="0"/>
          <w:i w:val="0"/>
          <w:sz w:val="32"/>
          <w:u w:val="single"/>
        </w:rPr>
        <w:t>SOP การจัดการพยานหลักฐานดิจิทัลและแบบฟอร์ม Chain of Custody</w:t>
      </w:r>
    </w:p>
    <w:p>
      <w:pPr>
        <w:widowControl/>
        <w:numPr>
          <w:ilvl w:val="0"/>
          <w:numId w:val="20"/>
        </w:numPr>
        <w:spacing w:before="0" w:after="80" w:line="300" w:lineRule="auto"/>
        <w:ind w:left="720" w:hanging="360"/>
      </w:pPr>
      <w:r>
        <w:rPr>
          <w:rFonts w:ascii="Angsana New" w:hAnsi="Angsana New" w:eastAsia="Angsana New"/>
          <w:b w:val="0"/>
          <w:i w:val="0"/>
          <w:sz w:val="32"/>
          <w:u w:val="single"/>
        </w:rPr>
        <w:t>รายการกิจกรรมประมวลผลข้อมูลส่วนบุคคล ประกาศความเป็นส่วนตัว และตารางระยะเวลาเก็บรักษาข้อมูล</w:t>
      </w:r>
    </w:p>
    <w:p>
      <w:pPr>
        <w:widowControl/>
        <w:numPr>
          <w:ilvl w:val="0"/>
          <w:numId w:val="20"/>
        </w:numPr>
        <w:spacing w:before="0" w:after="80" w:line="300" w:lineRule="auto"/>
        <w:ind w:left="720" w:hanging="360"/>
      </w:pPr>
      <w:r>
        <w:rPr>
          <w:rFonts w:ascii="Angsana New" w:hAnsi="Angsana New" w:eastAsia="Angsana New"/>
          <w:b w:val="0"/>
          <w:i w:val="0"/>
          <w:sz w:val="32"/>
          <w:u w:val="single"/>
        </w:rPr>
        <w:t>รายงาน UAT รายงานทดสอบความมั่นคงปลอดภัย และหลักฐานการแก้ไขข้อบกพร่อง</w:t>
      </w:r>
    </w:p>
    <w:p>
      <w:pPr>
        <w:widowControl/>
        <w:numPr>
          <w:ilvl w:val="0"/>
          <w:numId w:val="20"/>
        </w:numPr>
        <w:spacing w:before="0" w:after="80" w:line="300" w:lineRule="auto"/>
        <w:ind w:left="720" w:hanging="360"/>
      </w:pPr>
      <w:r>
        <w:rPr>
          <w:rFonts w:ascii="Angsana New" w:hAnsi="Angsana New" w:eastAsia="Angsana New"/>
          <w:b w:val="0"/>
          <w:i w:val="0"/>
          <w:sz w:val="32"/>
          <w:u w:val="single"/>
        </w:rPr>
        <w:t>แผนสำรองและกู้คืนข้อมูล แผนรับมือเหตุผิดปกติ และแผนบำรุงรักษา</w:t>
      </w:r>
    </w:p>
    <w:p>
      <w:pPr>
        <w:widowControl/>
        <w:numPr>
          <w:ilvl w:val="0"/>
          <w:numId w:val="20"/>
        </w:numPr>
        <w:spacing w:before="0" w:after="80" w:line="300" w:lineRule="auto"/>
        <w:ind w:left="720" w:hanging="360"/>
      </w:pPr>
      <w:r>
        <w:rPr>
          <w:rFonts w:ascii="Angsana New" w:hAnsi="Angsana New" w:eastAsia="Angsana New"/>
          <w:b w:val="0"/>
          <w:i w:val="0"/>
          <w:sz w:val="32"/>
          <w:u w:val="single"/>
        </w:rPr>
        <w:t>คู่มือผู้ใช้ คู่มือผู้ดูแลระบบ และหลักฐานการฝึกอบรม</w:t>
      </w:r>
    </w:p>
    <w:p>
      <w:pPr>
        <w:keepNext w:val="0"/>
        <w:pageBreakBefore/>
        <w:widowControl/>
        <w:spacing w:before="0" w:after="360" w:line="240" w:lineRule="auto"/>
        <w:jc w:val="center"/>
      </w:pPr>
      <w:r>
        <w:rPr>
          <w:rFonts w:ascii="Angsana New" w:hAnsi="Angsana New" w:eastAsia="Angsana New"/>
          <w:b w:val="0"/>
          <w:i w:val="0"/>
          <w:sz w:val="32"/>
          <w:u w:val="none"/>
        </w:rPr>
        <w:t>การลงนาม</w:t>
      </w:r>
    </w:p>
    <w:p>
      <w:pPr>
        <w:keepNext w:val="0"/>
        <w:widowControl/>
        <w:spacing w:before="0" w:after="60" w:line="240" w:lineRule="auto"/>
        <w:jc w:val="center"/>
      </w:pPr>
      <w:r>
        <w:rPr>
          <w:rFonts w:ascii="Angsana New" w:hAnsi="Angsana New" w:eastAsia="Angsana New"/>
          <w:b w:val="0"/>
          <w:i w:val="0"/>
          <w:sz w:val="32"/>
          <w:u w:val="none"/>
        </w:rPr>
        <w:t>(ลงชื่อ) ............................................................ ผู้เสนอโครงการ</w:t>
      </w:r>
    </w:p>
    <w:p>
      <w:pPr>
        <w:keepNext w:val="0"/>
        <w:widowControl/>
        <w:spacing w:before="0" w:after="0" w:line="240" w:lineRule="auto"/>
        <w:jc w:val="center"/>
      </w:pPr>
      <w:r>
        <w:rPr>
          <w:rFonts w:ascii="Angsana New" w:hAnsi="Angsana New" w:eastAsia="Angsana New"/>
          <w:b w:val="0"/>
          <w:i w:val="0"/>
          <w:sz w:val="32"/>
          <w:u w:val="none"/>
        </w:rPr>
        <w:t>(นศ.ภ. จตุพร เรืองวิไลกฤตย์)</w:t>
      </w:r>
    </w:p>
    <w:p>
      <w:pPr>
        <w:keepNext w:val="0"/>
        <w:widowControl/>
        <w:spacing w:before="0" w:after="0" w:line="240" w:lineRule="auto"/>
        <w:jc w:val="center"/>
      </w:pPr>
      <w:r>
        <w:rPr>
          <w:rFonts w:ascii="Angsana New" w:hAnsi="Angsana New" w:eastAsia="Angsana New"/>
          <w:b w:val="0"/>
          <w:i w:val="0"/>
          <w:sz w:val="32"/>
          <w:u w:val="none"/>
        </w:rPr>
        <w:t>นักศึกษาเภสัชศาสตร์ชั้นปีที่ 6</w:t>
      </w:r>
    </w:p>
    <w:p>
      <w:pPr>
        <w:keepNext w:val="0"/>
        <w:widowControl/>
        <w:spacing w:before="0" w:after="200" w:line="240" w:lineRule="auto"/>
        <w:jc w:val="center"/>
      </w:pPr>
      <w:r>
        <w:rPr>
          <w:rFonts w:ascii="Angsana New" w:hAnsi="Angsana New" w:eastAsia="Angsana New"/>
          <w:b w:val="0"/>
          <w:i w:val="0"/>
          <w:sz w:val="32"/>
          <w:u w:val="none"/>
        </w:rPr>
      </w:r>
    </w:p>
    <w:p>
      <w:pPr>
        <w:keepNext w:val="0"/>
        <w:widowControl/>
        <w:spacing w:before="0" w:after="60" w:line="240" w:lineRule="auto"/>
        <w:jc w:val="center"/>
      </w:pPr>
      <w:r>
        <w:rPr>
          <w:rFonts w:ascii="Angsana New" w:hAnsi="Angsana New" w:eastAsia="Angsana New"/>
          <w:b w:val="0"/>
          <w:i w:val="0"/>
          <w:sz w:val="32"/>
          <w:u w:val="none"/>
        </w:rPr>
        <w:t>(ลงชื่อ) ............................................................ ผู้เสนอโครงการ</w:t>
      </w:r>
    </w:p>
    <w:p>
      <w:pPr>
        <w:keepNext w:val="0"/>
        <w:widowControl/>
        <w:spacing w:before="0" w:after="0" w:line="240" w:lineRule="auto"/>
        <w:jc w:val="center"/>
      </w:pPr>
      <w:r>
        <w:rPr>
          <w:rFonts w:ascii="Angsana New" w:hAnsi="Angsana New" w:eastAsia="Angsana New"/>
          <w:b w:val="0"/>
          <w:i w:val="0"/>
          <w:sz w:val="32"/>
          <w:u w:val="none"/>
        </w:rPr>
        <w:t>(นางสาวมัลลิกา สุพล)</w:t>
      </w:r>
    </w:p>
    <w:p>
      <w:pPr>
        <w:keepNext w:val="0"/>
        <w:widowControl/>
        <w:spacing w:before="0" w:after="0" w:line="240" w:lineRule="auto"/>
        <w:jc w:val="center"/>
      </w:pPr>
      <w:r>
        <w:rPr>
          <w:rFonts w:ascii="Angsana New" w:hAnsi="Angsana New" w:eastAsia="Angsana New"/>
          <w:b w:val="0"/>
          <w:i w:val="0"/>
          <w:sz w:val="32"/>
          <w:u w:val="none"/>
        </w:rPr>
        <w:t>เภสัชกรชำนาญการ</w:t>
      </w:r>
    </w:p>
    <w:p>
      <w:pPr>
        <w:keepNext w:val="0"/>
        <w:widowControl/>
        <w:spacing w:before="0" w:after="200" w:line="240" w:lineRule="auto"/>
        <w:jc w:val="center"/>
      </w:pPr>
      <w:r>
        <w:rPr>
          <w:rFonts w:ascii="Angsana New" w:hAnsi="Angsana New" w:eastAsia="Angsana New"/>
          <w:b w:val="0"/>
          <w:i w:val="0"/>
          <w:sz w:val="32"/>
          <w:u w:val="none"/>
        </w:rPr>
      </w:r>
    </w:p>
    <w:p>
      <w:pPr>
        <w:keepNext w:val="0"/>
        <w:widowControl/>
        <w:spacing w:before="0" w:after="60" w:line="240" w:lineRule="auto"/>
        <w:jc w:val="center"/>
      </w:pPr>
      <w:r>
        <w:rPr>
          <w:rFonts w:ascii="Angsana New" w:hAnsi="Angsana New" w:eastAsia="Angsana New"/>
          <w:b w:val="0"/>
          <w:i w:val="0"/>
          <w:sz w:val="32"/>
          <w:u w:val="none"/>
        </w:rPr>
        <w:t>(ลงชื่อ) ............................................................ ผู้เห็นชอบโครงการ</w:t>
      </w:r>
    </w:p>
    <w:p>
      <w:pPr>
        <w:keepNext w:val="0"/>
        <w:widowControl/>
        <w:spacing w:before="0" w:after="0" w:line="240" w:lineRule="auto"/>
        <w:jc w:val="center"/>
      </w:pPr>
      <w:r>
        <w:rPr>
          <w:rFonts w:ascii="Angsana New" w:hAnsi="Angsana New" w:eastAsia="Angsana New"/>
          <w:b w:val="0"/>
          <w:i w:val="0"/>
          <w:sz w:val="32"/>
          <w:u w:val="none"/>
        </w:rPr>
        <w:t>(นายไพฑูรย์ แก้วภมร)</w:t>
      </w:r>
    </w:p>
    <w:p>
      <w:pPr>
        <w:keepNext w:val="0"/>
        <w:widowControl/>
        <w:spacing w:before="0" w:after="0" w:line="240" w:lineRule="auto"/>
        <w:jc w:val="center"/>
      </w:pPr>
      <w:r>
        <w:rPr>
          <w:rFonts w:ascii="Angsana New" w:hAnsi="Angsana New" w:eastAsia="Angsana New"/>
          <w:b w:val="0"/>
          <w:i w:val="0"/>
          <w:sz w:val="32"/>
          <w:u w:val="none"/>
        </w:rPr>
        <w:t>เภสัชกรเชี่ยวชาญ</w:t>
      </w:r>
    </w:p>
    <w:p>
      <w:pPr>
        <w:keepNext w:val="0"/>
        <w:widowControl/>
        <w:spacing w:before="0" w:after="0" w:line="240" w:lineRule="auto"/>
        <w:jc w:val="center"/>
      </w:pPr>
      <w:r>
        <w:rPr>
          <w:rFonts w:ascii="Angsana New" w:hAnsi="Angsana New" w:eastAsia="Angsana New"/>
          <w:b w:val="0"/>
          <w:i w:val="0"/>
          <w:sz w:val="32"/>
          <w:u w:val="none"/>
        </w:rPr>
        <w:t>(รองนายแพทย์สาธารณสุขจังหวัดศรีสะเกษ)</w:t>
      </w:r>
    </w:p>
    <w:p>
      <w:pPr>
        <w:keepNext w:val="0"/>
        <w:widowControl/>
        <w:spacing w:before="0" w:after="200" w:line="240" w:lineRule="auto"/>
        <w:jc w:val="center"/>
      </w:pPr>
      <w:r>
        <w:rPr>
          <w:rFonts w:ascii="Angsana New" w:hAnsi="Angsana New" w:eastAsia="Angsana New"/>
          <w:b w:val="0"/>
          <w:i w:val="0"/>
          <w:sz w:val="32"/>
          <w:u w:val="none"/>
        </w:rPr>
      </w:r>
    </w:p>
    <w:p>
      <w:pPr>
        <w:keepNext w:val="0"/>
        <w:widowControl/>
        <w:spacing w:before="0" w:after="60" w:line="240" w:lineRule="auto"/>
        <w:jc w:val="center"/>
      </w:pPr>
      <w:r>
        <w:rPr>
          <w:rFonts w:ascii="Angsana New" w:hAnsi="Angsana New" w:eastAsia="Angsana New"/>
          <w:b w:val="0"/>
          <w:i w:val="0"/>
          <w:sz w:val="32"/>
          <w:u w:val="none"/>
        </w:rPr>
        <w:t>(ลงชื่อ) ............................................................ ผู้อนุมัติโครงการ</w:t>
      </w:r>
    </w:p>
    <w:p>
      <w:pPr>
        <w:keepNext w:val="0"/>
        <w:widowControl/>
        <w:spacing w:before="0" w:after="0" w:line="240" w:lineRule="auto"/>
        <w:jc w:val="center"/>
      </w:pPr>
      <w:r>
        <w:rPr>
          <w:rFonts w:ascii="Angsana New" w:hAnsi="Angsana New" w:eastAsia="Angsana New"/>
          <w:b w:val="0"/>
          <w:i w:val="0"/>
          <w:sz w:val="32"/>
          <w:u w:val="none"/>
        </w:rPr>
        <w:t>(นายทนง วีระแสงพงษ์)</w:t>
      </w:r>
    </w:p>
    <w:p>
      <w:pPr>
        <w:keepNext w:val="0"/>
        <w:widowControl/>
        <w:spacing w:before="0" w:after="0" w:line="240" w:lineRule="auto"/>
        <w:jc w:val="center"/>
      </w:pPr>
      <w:r>
        <w:rPr>
          <w:rFonts w:ascii="Angsana New" w:hAnsi="Angsana New" w:eastAsia="Angsana New"/>
          <w:b w:val="0"/>
          <w:i w:val="0"/>
          <w:sz w:val="32"/>
          <w:u w:val="none"/>
        </w:rPr>
        <w:t>นายแพทย์สาธารณสุขจังหวัดศรีสะเกษ</w:t>
      </w:r>
    </w:p>
    <w:p>
      <w:pPr>
        <w:keepNext w:val="0"/>
        <w:widowControl/>
        <w:spacing w:before="0" w:after="0" w:line="240" w:lineRule="auto"/>
        <w:jc w:val="center"/>
      </w:pPr>
      <w:r>
        <w:rPr>
          <w:rFonts w:ascii="Angsana New" w:hAnsi="Angsana New" w:eastAsia="Angsana New"/>
          <w:b w:val="0"/>
          <w:i w:val="0"/>
          <w:sz w:val="32"/>
          <w:u w:val="none"/>
        </w:rPr>
        <w:t>ปฏิบัติราชการแทนผู้ว่าราชการจังหวัดศรีสะเกษ</w:t>
      </w:r>
    </w:p>
    <w:p>
      <w:pPr>
        <w:keepNext w:val="0"/>
        <w:widowControl/>
        <w:spacing w:before="0" w:after="200" w:line="240" w:lineRule="auto"/>
        <w:jc w:val="center"/>
      </w:pPr>
      <w:r>
        <w:rPr>
          <w:rFonts w:ascii="Angsana New" w:hAnsi="Angsana New" w:eastAsia="Angsana New"/>
          <w:b w:val="0"/>
          <w:i w:val="0"/>
          <w:sz w:val="32"/>
          <w:u w:val="none"/>
        </w:rPr>
      </w:r>
    </w:p>
    <w:sectPr w:rsidR="00FC693F" w:rsidRPr="0006063C" w:rsidSect="00034616">
      <w:footerReference w:type="default" r:id="rId9"/>
      <w:pgSz w:w="11906" w:h="16838"/>
      <w:pgMar w:top="1247" w:right="1134" w:bottom="1247" w:left="141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spacing w:before="0" w:after="0" w:line="240" w:lineRule="auto"/>
      <w:jc w:val="center"/>
    </w:pPr>
    <w:r>
      <w:rPr>
        <w:rFonts w:ascii="Angsana New" w:hAnsi="Angsana New" w:eastAsia="Angsana New"/>
        <w:b w:val="0"/>
        <w:i w:val="0"/>
        <w:color w:val="5C5C5C"/>
        <w:sz w:val="20"/>
        <w:u w:val="none"/>
      </w:rPr>
      <w:t xml:space="preserve">หน้า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</w:p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</w:pPr>
    </w:lvl>
  </w:abstractNum>
  <w:num w:numId="14">
    <w:abstractNumId w:val="13"/>
  </w:num>
  <w:abstractNum w:abstractNumId="14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</w:pPr>
    </w:lvl>
  </w:abstractNum>
  <w:num w:numId="15">
    <w:abstractNumId w:val="14"/>
  </w:num>
  <w:abstractNum w:abstractNumId="15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</w:pPr>
    </w:lvl>
  </w:abstractNum>
  <w:num w:numId="16">
    <w:abstractNumId w:val="15"/>
  </w:num>
  <w:abstractNum w:abstractNumId="16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</w:pPr>
    </w:lvl>
  </w:abstractNum>
  <w:num w:numId="17">
    <w:abstractNumId w:val="16"/>
  </w:num>
  <w:abstractNum w:abstractNumId="17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</w:pPr>
    </w:lvl>
  </w:abstractNum>
  <w:num w:numId="18">
    <w:abstractNumId w:val="17"/>
  </w:num>
  <w:abstractNum w:abstractNumId="18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</w:pPr>
    </w:lvl>
  </w:abstractNum>
  <w:num w:numId="19">
    <w:abstractNumId w:val="18"/>
  </w:num>
  <w:abstractNum w:abstractNumId="19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</w:pPr>
    </w:lvl>
  </w:abstractNum>
  <w:num w:numId="2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ngsana New" w:hAnsi="Angsana New" w:eastAsia="Angsana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ngsana New" w:hAnsi="Angsana New" w:eastAsia="Angsana New"/>
      <w:b/>
      <w:bCs/>
      <w:color w:val="1F4D7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ngsana New" w:hAnsi="Angsana New" w:eastAsia="Angsana New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ร่างโครงการ LawiRisk-SSK Evidence Intelligence</dc:title>
  <dc:subject>ฉบับขีดเส้นใต้ข้อความเสนอเพิ่มเติมและแก้ไข</dc:subject>
  <dc:creator>สำนักงานสาธารณสุขจังหวัดศรีสะเกษ</dc:creator>
  <cp:keywords>LawiRisk-SSK, Evidence Intelligence, พยานหลักฐานดิจิทัล, Chain of Custody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