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*Thiện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Sản phẩm nào bán chạy nhất ?</w:t>
      </w:r>
    </w:p>
    <w:p w:rsidR="00000000" w:rsidDel="00000000" w:rsidP="00000000" w:rsidRDefault="00000000" w:rsidRPr="00000000" w14:paraId="00000008">
      <w:pPr>
        <w:ind w:firstLine="2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7695"/>
        <w:tblGridChange w:id="0">
          <w:tblGrid>
            <w:gridCol w:w="1215"/>
            <w:gridCol w:w="7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 Charts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 ProductID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quantitative: Quantity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Express: quantitative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Spatial region: categorical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Separate: vertical position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Align: horizontal position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Order:length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Compare, lookup value</w:t>
            </w:r>
          </w:p>
        </w:tc>
      </w:tr>
    </w:tbl>
    <w:p w:rsidR="00000000" w:rsidDel="00000000" w:rsidP="00000000" w:rsidRDefault="00000000" w:rsidRPr="00000000" w14:paraId="00000016">
      <w:pPr>
        <w:ind w:firstLine="2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3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1230"/>
        <w:tblGridChange w:id="0">
          <w:tblGrid>
            <w:gridCol w:w="2175"/>
            <w:gridCol w:w="570"/>
            <w:gridCol w:w="12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Effectiveness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Discriminability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 popout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Perceptual 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firstLine="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Phương thức thanh toán nào được sử dụng nhiều hơn giữa Ewallet và Credit card ?</w:t>
      </w:r>
    </w:p>
    <w:p w:rsidR="00000000" w:rsidDel="00000000" w:rsidP="00000000" w:rsidRDefault="00000000" w:rsidRPr="00000000" w14:paraId="0000002B">
      <w:pPr>
        <w:spacing w:before="60" w:lineRule="auto"/>
        <w:ind w:firstLine="20"/>
        <w:rPr/>
      </w:pPr>
      <w:r w:rsidDel="00000000" w:rsidR="00000000" w:rsidRPr="00000000">
        <w:rPr>
          <w:rtl w:val="0"/>
        </w:rPr>
        <w:t xml:space="preserve">Derived Attribute: TotalPayment (Số lượt sử dụng phương thức thanh toán).</w:t>
      </w:r>
    </w:p>
    <w:tbl>
      <w:tblPr>
        <w:tblStyle w:val="Table3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5010"/>
        <w:tblGridChange w:id="0">
          <w:tblGrid>
            <w:gridCol w:w="1215"/>
            <w:gridCol w:w="50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 Charts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 YearWorked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quantitative: Payment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Mark: line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Position: horizontal and vertical</w:t>
            </w:r>
          </w:p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Align: lengths ( quantitative)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Separate, order: horizontal region (ordered)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items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3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1230"/>
        <w:tblGridChange w:id="0">
          <w:tblGrid>
            <w:gridCol w:w="2175"/>
            <w:gridCol w:w="570"/>
            <w:gridCol w:w="12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Effectiveness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Discriminability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 popout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Perceptual 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